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7835">
      <w:pPr>
        <w:spacing w:before="156" w:beforeLines="50" w:after="156" w:afterLines="50" w:line="400" w:lineRule="exact"/>
        <w:ind w:firstLine="723" w:firstLineChars="300"/>
        <w:rPr>
          <w:rFonts w:hint="eastAsia" w:ascii="宋体" w:hAnsi="宋体"/>
          <w:b/>
          <w:bCs/>
          <w:iCs/>
          <w:sz w:val="24"/>
        </w:rPr>
      </w:pPr>
      <w:r>
        <w:rPr>
          <w:rFonts w:hint="eastAsia" w:ascii="宋体" w:hAnsi="宋体"/>
          <w:b/>
          <w:bCs/>
          <w:iCs/>
          <w:sz w:val="24"/>
        </w:rPr>
        <w:t>证券代码：603194                           证券简称：中力股份</w:t>
      </w:r>
    </w:p>
    <w:p w14:paraId="57AE5FCC">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浙江中力机械股份有限公司投资者关系活动记录表</w:t>
      </w:r>
    </w:p>
    <w:p w14:paraId="579DE714">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6</w:t>
      </w:r>
      <w:r>
        <w:rPr>
          <w:rFonts w:hint="eastAsia" w:ascii="宋体" w:hAnsi="宋体"/>
          <w:bCs/>
          <w:iCs/>
          <w:sz w:val="24"/>
          <w:szCs w:val="24"/>
        </w:rPr>
        <w:t>-0</w:t>
      </w:r>
      <w:r>
        <w:rPr>
          <w:rFonts w:hint="eastAsia" w:ascii="宋体" w:hAnsi="宋体"/>
          <w:bCs/>
          <w:iCs/>
          <w:sz w:val="24"/>
          <w:szCs w:val="24"/>
          <w:lang w:val="en-US" w:eastAsia="zh-CN"/>
        </w:rPr>
        <w:t>01</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29E8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vAlign w:val="center"/>
          </w:tcPr>
          <w:p w14:paraId="5FB6DF87">
            <w:pPr>
              <w:rPr>
                <w:rFonts w:hint="eastAsia" w:ascii="宋体" w:hAnsi="宋体"/>
                <w:b/>
                <w:bCs/>
                <w:iCs/>
                <w:sz w:val="24"/>
                <w:szCs w:val="24"/>
              </w:rPr>
            </w:pPr>
            <w:r>
              <w:rPr>
                <w:rFonts w:hint="eastAsia" w:ascii="宋体" w:hAnsi="宋体"/>
                <w:b/>
                <w:bCs/>
                <w:iCs/>
                <w:sz w:val="24"/>
                <w:szCs w:val="24"/>
              </w:rPr>
              <w:t>投资者关系</w:t>
            </w:r>
          </w:p>
          <w:p w14:paraId="05AA2227">
            <w:pPr>
              <w:rPr>
                <w:rFonts w:hint="eastAsia" w:ascii="宋体" w:hAnsi="宋体"/>
                <w:b/>
                <w:bCs/>
                <w:iCs/>
                <w:sz w:val="24"/>
                <w:szCs w:val="24"/>
              </w:rPr>
            </w:pPr>
            <w:r>
              <w:rPr>
                <w:rFonts w:hint="eastAsia" w:ascii="宋体" w:hAnsi="宋体"/>
                <w:b/>
                <w:bCs/>
                <w:iCs/>
                <w:sz w:val="24"/>
                <w:szCs w:val="24"/>
              </w:rPr>
              <w:t>活动类别</w:t>
            </w:r>
          </w:p>
          <w:p w14:paraId="6AECD90E">
            <w:pPr>
              <w:rPr>
                <w:rFonts w:hint="eastAsia" w:ascii="宋体" w:hAnsi="宋体"/>
                <w:b/>
                <w:bCs/>
                <w:iCs/>
                <w:sz w:val="24"/>
                <w:szCs w:val="24"/>
              </w:rPr>
            </w:pPr>
          </w:p>
        </w:tc>
        <w:tc>
          <w:tcPr>
            <w:tcW w:w="6693" w:type="dxa"/>
          </w:tcPr>
          <w:p w14:paraId="1B4FD258">
            <w:pPr>
              <w:spacing w:line="480" w:lineRule="atLeast"/>
              <w:rPr>
                <w:rFonts w:hint="eastAsia" w:ascii="宋体" w:hAnsi="宋体"/>
                <w:bCs/>
                <w:iCs/>
                <w:sz w:val="24"/>
                <w:szCs w:val="24"/>
              </w:rPr>
            </w:pP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60452EF1">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5926BD80">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3E40AB32">
            <w:pPr>
              <w:tabs>
                <w:tab w:val="left" w:pos="3045"/>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现场参观</w:t>
            </w:r>
            <w:r>
              <w:rPr>
                <w:rFonts w:ascii="宋体" w:hAnsi="宋体"/>
                <w:bCs/>
                <w:iCs/>
                <w:sz w:val="24"/>
                <w:szCs w:val="24"/>
              </w:rPr>
              <w:tab/>
            </w:r>
          </w:p>
          <w:p w14:paraId="51F472E2">
            <w:pPr>
              <w:tabs>
                <w:tab w:val="center" w:pos="3199"/>
              </w:tabs>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其他 （</w:t>
            </w:r>
            <w:r>
              <w:rPr>
                <w:rFonts w:hint="eastAsia" w:ascii="宋体" w:hAnsi="宋体"/>
                <w:sz w:val="24"/>
                <w:szCs w:val="24"/>
                <w:u w:val="single"/>
              </w:rPr>
              <w:t>请文字说明其他活动内容）</w:t>
            </w:r>
          </w:p>
        </w:tc>
      </w:tr>
      <w:tr w14:paraId="59C8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1" w:type="dxa"/>
            <w:vAlign w:val="center"/>
          </w:tcPr>
          <w:p w14:paraId="483FF9AC">
            <w:pPr>
              <w:rPr>
                <w:rFonts w:hint="eastAsia" w:ascii="宋体" w:hAnsi="宋体"/>
                <w:b/>
                <w:bCs/>
                <w:iCs/>
                <w:sz w:val="24"/>
                <w:szCs w:val="24"/>
              </w:rPr>
            </w:pPr>
            <w:r>
              <w:rPr>
                <w:rFonts w:hint="eastAsia" w:ascii="宋体" w:hAnsi="宋体"/>
                <w:b/>
                <w:bCs/>
                <w:iCs/>
                <w:sz w:val="24"/>
                <w:szCs w:val="24"/>
              </w:rPr>
              <w:t>参与单位名称</w:t>
            </w:r>
          </w:p>
          <w:p w14:paraId="595A1B77">
            <w:pPr>
              <w:rPr>
                <w:rFonts w:hint="eastAsia" w:ascii="宋体" w:hAnsi="宋体"/>
                <w:b/>
                <w:bCs/>
                <w:iCs/>
                <w:sz w:val="24"/>
                <w:szCs w:val="24"/>
              </w:rPr>
            </w:pPr>
            <w:r>
              <w:rPr>
                <w:rFonts w:hint="eastAsia" w:ascii="宋体" w:hAnsi="宋体"/>
                <w:b/>
                <w:bCs/>
                <w:iCs/>
                <w:sz w:val="24"/>
                <w:szCs w:val="24"/>
              </w:rPr>
              <w:t>及人员姓名</w:t>
            </w:r>
          </w:p>
        </w:tc>
        <w:tc>
          <w:tcPr>
            <w:tcW w:w="6693" w:type="dxa"/>
          </w:tcPr>
          <w:p w14:paraId="4AA01A96">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百年保险资管 祝景悦</w:t>
            </w:r>
          </w:p>
          <w:p w14:paraId="45931534">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复胜资产 戴卡娜</w:t>
            </w:r>
          </w:p>
          <w:p w14:paraId="14E9939E">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国金资管 姜喜旻</w:t>
            </w:r>
          </w:p>
          <w:p w14:paraId="686EBD15">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国金证券 何媛媛</w:t>
            </w:r>
          </w:p>
          <w:p w14:paraId="2869FB30">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华泰机械 谭嘉欣</w:t>
            </w:r>
          </w:p>
          <w:p w14:paraId="3D06C310">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景顺长城 周寒颖</w:t>
            </w:r>
          </w:p>
          <w:p w14:paraId="430B4EEB">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西南证券 张雪</w:t>
            </w:r>
          </w:p>
          <w:p w14:paraId="209310CF">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禛瑛投资 朱胜波</w:t>
            </w:r>
          </w:p>
          <w:p w14:paraId="54D16698">
            <w:pPr>
              <w:numPr>
                <w:ilvl w:val="-1"/>
                <w:numId w:val="0"/>
              </w:numPr>
              <w:spacing w:line="480" w:lineRule="atLeast"/>
              <w:ind w:firstLine="0" w:firstLineChars="0"/>
              <w:rPr>
                <w:rFonts w:hint="eastAsia"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浙商机械 蒋逸</w:t>
            </w:r>
          </w:p>
          <w:p w14:paraId="70DC9838">
            <w:pPr>
              <w:spacing w:line="480" w:lineRule="atLeast"/>
              <w:rPr>
                <w:rFonts w:hint="eastAsia" w:ascii="宋体" w:hAnsi="宋体"/>
                <w:bCs/>
                <w:iCs/>
                <w:sz w:val="24"/>
                <w:szCs w:val="24"/>
              </w:rPr>
            </w:pPr>
            <w:r>
              <w:rPr>
                <w:rFonts w:hint="eastAsia" w:ascii="宋体" w:hAnsi="宋体"/>
                <w:bCs/>
                <w:iCs/>
                <w:sz w:val="24"/>
                <w:szCs w:val="24"/>
              </w:rPr>
              <w:t>（按汉字拼音首字母顺序排列）</w:t>
            </w:r>
          </w:p>
        </w:tc>
      </w:tr>
      <w:tr w14:paraId="6DDC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vAlign w:val="center"/>
          </w:tcPr>
          <w:p w14:paraId="7B732EEB">
            <w:pPr>
              <w:rPr>
                <w:rFonts w:hint="eastAsia" w:ascii="宋体" w:hAnsi="宋体"/>
                <w:b/>
                <w:bCs/>
                <w:iCs/>
                <w:sz w:val="24"/>
                <w:szCs w:val="24"/>
              </w:rPr>
            </w:pPr>
            <w:r>
              <w:rPr>
                <w:rFonts w:hint="eastAsia" w:ascii="宋体" w:hAnsi="宋体"/>
                <w:b/>
                <w:bCs/>
                <w:iCs/>
                <w:sz w:val="24"/>
                <w:szCs w:val="24"/>
              </w:rPr>
              <w:t>时间</w:t>
            </w:r>
          </w:p>
        </w:tc>
        <w:tc>
          <w:tcPr>
            <w:tcW w:w="6693" w:type="dxa"/>
          </w:tcPr>
          <w:p w14:paraId="0CDBF897">
            <w:pPr>
              <w:spacing w:line="480" w:lineRule="atLeast"/>
              <w:rPr>
                <w:rFonts w:hint="eastAsia" w:ascii="宋体" w:hAnsi="宋体"/>
                <w:bCs/>
                <w:iCs/>
                <w:sz w:val="24"/>
                <w:szCs w:val="24"/>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1</w:t>
            </w:r>
            <w:r>
              <w:rPr>
                <w:rFonts w:hint="eastAsia" w:ascii="宋体" w:hAnsi="宋体"/>
                <w:bCs/>
                <w:iCs/>
                <w:sz w:val="24"/>
                <w:szCs w:val="24"/>
              </w:rPr>
              <w:t>月</w:t>
            </w:r>
            <w:r>
              <w:rPr>
                <w:rFonts w:hint="eastAsia" w:ascii="宋体" w:hAnsi="宋体"/>
                <w:bCs/>
                <w:iCs/>
                <w:sz w:val="24"/>
                <w:szCs w:val="24"/>
                <w:lang w:val="en-US" w:eastAsia="zh-CN"/>
              </w:rPr>
              <w:t>30</w:t>
            </w:r>
            <w:r>
              <w:rPr>
                <w:rFonts w:hint="eastAsia" w:ascii="宋体" w:hAnsi="宋体"/>
                <w:bCs/>
                <w:iCs/>
                <w:sz w:val="24"/>
                <w:szCs w:val="24"/>
              </w:rPr>
              <w:t>日</w:t>
            </w:r>
          </w:p>
        </w:tc>
      </w:tr>
      <w:tr w14:paraId="3551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vAlign w:val="center"/>
          </w:tcPr>
          <w:p w14:paraId="3F0929F6">
            <w:pPr>
              <w:rPr>
                <w:rFonts w:hint="eastAsia" w:ascii="宋体" w:hAnsi="宋体"/>
                <w:b/>
                <w:bCs/>
                <w:iCs/>
                <w:sz w:val="24"/>
                <w:szCs w:val="24"/>
              </w:rPr>
            </w:pPr>
            <w:r>
              <w:rPr>
                <w:rFonts w:hint="eastAsia" w:ascii="宋体" w:hAnsi="宋体"/>
                <w:b/>
                <w:bCs/>
                <w:iCs/>
                <w:sz w:val="24"/>
                <w:szCs w:val="24"/>
              </w:rPr>
              <w:t>地点</w:t>
            </w:r>
          </w:p>
        </w:tc>
        <w:tc>
          <w:tcPr>
            <w:tcW w:w="6693" w:type="dxa"/>
          </w:tcPr>
          <w:p w14:paraId="5D9B9935">
            <w:pPr>
              <w:spacing w:line="480" w:lineRule="atLeast"/>
              <w:rPr>
                <w:rFonts w:hint="eastAsia" w:ascii="宋体" w:hAnsi="宋体"/>
                <w:bCs/>
                <w:iCs/>
                <w:sz w:val="24"/>
                <w:szCs w:val="24"/>
              </w:rPr>
            </w:pPr>
            <w:r>
              <w:rPr>
                <w:rFonts w:hint="eastAsia" w:ascii="宋体" w:hAnsi="宋体"/>
                <w:bCs/>
                <w:iCs/>
                <w:sz w:val="24"/>
                <w:szCs w:val="24"/>
              </w:rPr>
              <w:t>浙江</w:t>
            </w:r>
            <w:r>
              <w:rPr>
                <w:rFonts w:ascii="Cambria Math" w:hAnsi="Cambria Math" w:cs="Cambria Math"/>
                <w:bCs/>
                <w:iCs/>
                <w:sz w:val="24"/>
                <w:szCs w:val="24"/>
              </w:rPr>
              <w:t>∙</w:t>
            </w:r>
            <w:r>
              <w:rPr>
                <w:rFonts w:hint="eastAsia" w:ascii="宋体" w:hAnsi="宋体"/>
                <w:bCs/>
                <w:iCs/>
                <w:sz w:val="24"/>
                <w:szCs w:val="24"/>
              </w:rPr>
              <w:t>湖州安吉</w:t>
            </w:r>
            <w:r>
              <w:rPr>
                <w:rFonts w:ascii="Cambria Math" w:hAnsi="Cambria Math" w:cs="Cambria Math"/>
                <w:bCs/>
                <w:iCs/>
                <w:sz w:val="24"/>
                <w:szCs w:val="24"/>
              </w:rPr>
              <w:t>∙</w:t>
            </w:r>
            <w:r>
              <w:rPr>
                <w:rFonts w:hint="eastAsia" w:ascii="宋体" w:hAnsi="宋体"/>
                <w:bCs/>
                <w:iCs/>
                <w:sz w:val="24"/>
                <w:szCs w:val="24"/>
              </w:rPr>
              <w:t>中力股份（北区）</w:t>
            </w:r>
          </w:p>
        </w:tc>
      </w:tr>
      <w:tr w14:paraId="1E2E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vAlign w:val="center"/>
          </w:tcPr>
          <w:p w14:paraId="10DFC7DD">
            <w:pPr>
              <w:rPr>
                <w:rFonts w:hint="eastAsia" w:ascii="宋体" w:hAnsi="宋体"/>
                <w:b/>
                <w:bCs/>
                <w:iCs/>
                <w:sz w:val="24"/>
                <w:szCs w:val="24"/>
              </w:rPr>
            </w:pPr>
            <w:r>
              <w:rPr>
                <w:rFonts w:hint="eastAsia" w:ascii="宋体" w:hAnsi="宋体"/>
                <w:b/>
                <w:bCs/>
                <w:iCs/>
                <w:sz w:val="24"/>
                <w:szCs w:val="24"/>
              </w:rPr>
              <w:t>上市公司接待</w:t>
            </w:r>
          </w:p>
          <w:p w14:paraId="74032886">
            <w:pPr>
              <w:rPr>
                <w:rFonts w:hint="eastAsia" w:ascii="宋体" w:hAnsi="宋体"/>
                <w:b/>
                <w:bCs/>
                <w:iCs/>
                <w:sz w:val="24"/>
                <w:szCs w:val="24"/>
              </w:rPr>
            </w:pPr>
            <w:r>
              <w:rPr>
                <w:rFonts w:hint="eastAsia" w:ascii="宋体" w:hAnsi="宋体"/>
                <w:b/>
                <w:bCs/>
                <w:iCs/>
                <w:sz w:val="24"/>
                <w:szCs w:val="24"/>
              </w:rPr>
              <w:t>人员姓名</w:t>
            </w:r>
          </w:p>
        </w:tc>
        <w:tc>
          <w:tcPr>
            <w:tcW w:w="6693" w:type="dxa"/>
          </w:tcPr>
          <w:p w14:paraId="19DD806D">
            <w:pPr>
              <w:spacing w:line="480" w:lineRule="atLeast"/>
              <w:rPr>
                <w:rFonts w:hint="eastAsia" w:ascii="宋体" w:hAnsi="宋体"/>
                <w:bCs/>
                <w:iCs/>
                <w:sz w:val="24"/>
                <w:szCs w:val="24"/>
              </w:rPr>
            </w:pPr>
            <w:r>
              <w:rPr>
                <w:rFonts w:hint="eastAsia" w:ascii="宋体" w:hAnsi="宋体"/>
                <w:bCs/>
                <w:iCs/>
                <w:sz w:val="24"/>
                <w:szCs w:val="24"/>
              </w:rPr>
              <w:t>董事、董事会秘书、副总经理：廖发培</w:t>
            </w:r>
          </w:p>
          <w:p w14:paraId="26BD1279">
            <w:pPr>
              <w:spacing w:line="480" w:lineRule="atLeast"/>
              <w:rPr>
                <w:rFonts w:hint="default" w:ascii="宋体" w:hAnsi="宋体" w:eastAsia="宋体"/>
                <w:bCs/>
                <w:iCs/>
                <w:sz w:val="24"/>
                <w:szCs w:val="24"/>
                <w:lang w:val="en-US" w:eastAsia="zh-CN"/>
              </w:rPr>
            </w:pPr>
            <w:r>
              <w:rPr>
                <w:rFonts w:hint="eastAsia" w:ascii="宋体" w:hAnsi="宋体"/>
                <w:bCs/>
                <w:iCs/>
                <w:sz w:val="24"/>
                <w:szCs w:val="24"/>
                <w:lang w:val="en-US" w:eastAsia="zh-CN"/>
              </w:rPr>
              <w:t>证券事务代表：吴碧青</w:t>
            </w:r>
          </w:p>
          <w:p w14:paraId="159C365B">
            <w:pPr>
              <w:spacing w:line="480" w:lineRule="atLeast"/>
              <w:rPr>
                <w:rFonts w:hint="eastAsia" w:ascii="宋体" w:hAnsi="宋体" w:eastAsia="宋体"/>
                <w:bCs/>
                <w:iCs/>
                <w:sz w:val="24"/>
                <w:szCs w:val="24"/>
                <w:lang w:val="en-US" w:eastAsia="zh-CN"/>
              </w:rPr>
            </w:pPr>
            <w:r>
              <w:rPr>
                <w:rFonts w:hint="eastAsia" w:ascii="宋体" w:hAnsi="宋体"/>
                <w:bCs/>
                <w:iCs/>
                <w:sz w:val="24"/>
                <w:szCs w:val="24"/>
              </w:rPr>
              <w:t>证券事务</w:t>
            </w:r>
            <w:r>
              <w:rPr>
                <w:rFonts w:hint="eastAsia" w:ascii="宋体" w:hAnsi="宋体"/>
                <w:bCs/>
                <w:iCs/>
                <w:sz w:val="24"/>
                <w:szCs w:val="24"/>
                <w:lang w:val="en-US" w:eastAsia="zh-CN"/>
              </w:rPr>
              <w:t>专员</w:t>
            </w:r>
            <w:r>
              <w:rPr>
                <w:rFonts w:hint="eastAsia" w:ascii="宋体" w:hAnsi="宋体"/>
                <w:bCs/>
                <w:iCs/>
                <w:sz w:val="24"/>
                <w:szCs w:val="24"/>
              </w:rPr>
              <w:t>：</w:t>
            </w:r>
            <w:r>
              <w:rPr>
                <w:rFonts w:hint="eastAsia" w:ascii="宋体" w:hAnsi="宋体"/>
                <w:bCs/>
                <w:iCs/>
                <w:sz w:val="24"/>
                <w:szCs w:val="24"/>
                <w:lang w:val="en-US" w:eastAsia="zh-CN"/>
              </w:rPr>
              <w:t>王德仁</w:t>
            </w:r>
          </w:p>
          <w:p w14:paraId="38368235">
            <w:pPr>
              <w:spacing w:line="480" w:lineRule="atLeast"/>
              <w:rPr>
                <w:rFonts w:hint="eastAsia" w:ascii="宋体" w:hAnsi="宋体"/>
                <w:bCs/>
                <w:iCs/>
                <w:sz w:val="24"/>
                <w:szCs w:val="24"/>
              </w:rPr>
            </w:pPr>
          </w:p>
        </w:tc>
      </w:tr>
      <w:tr w14:paraId="169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3" w:hRule="atLeast"/>
        </w:trPr>
        <w:tc>
          <w:tcPr>
            <w:tcW w:w="1931" w:type="dxa"/>
            <w:vAlign w:val="center"/>
          </w:tcPr>
          <w:p w14:paraId="673E331D">
            <w:pPr>
              <w:rPr>
                <w:rFonts w:hint="eastAsia" w:ascii="宋体" w:hAnsi="宋体"/>
                <w:b/>
                <w:bCs/>
                <w:iCs/>
                <w:sz w:val="24"/>
                <w:szCs w:val="24"/>
              </w:rPr>
            </w:pPr>
            <w:r>
              <w:rPr>
                <w:rFonts w:hint="eastAsia" w:ascii="宋体" w:hAnsi="宋体"/>
                <w:b/>
                <w:bCs/>
                <w:iCs/>
                <w:sz w:val="24"/>
                <w:szCs w:val="24"/>
              </w:rPr>
              <w:t>投资者关系活动主要内容介绍</w:t>
            </w:r>
          </w:p>
          <w:p w14:paraId="583BBDB8">
            <w:pPr>
              <w:rPr>
                <w:rFonts w:hint="eastAsia" w:ascii="宋体" w:hAnsi="宋体"/>
                <w:b/>
                <w:bCs/>
                <w:iCs/>
                <w:sz w:val="24"/>
                <w:szCs w:val="24"/>
              </w:rPr>
            </w:pPr>
          </w:p>
        </w:tc>
        <w:tc>
          <w:tcPr>
            <w:tcW w:w="6693" w:type="dxa"/>
          </w:tcPr>
          <w:p w14:paraId="7F0E8A96">
            <w:pPr>
              <w:spacing w:line="480" w:lineRule="atLeast"/>
              <w:rPr>
                <w:rFonts w:hint="eastAsia" w:ascii="宋体" w:hAnsi="宋体"/>
                <w:b/>
                <w:iCs/>
                <w:sz w:val="24"/>
                <w:szCs w:val="24"/>
              </w:rPr>
            </w:pPr>
            <w:r>
              <w:rPr>
                <w:rFonts w:hint="eastAsia" w:ascii="宋体" w:hAnsi="宋体"/>
                <w:b/>
                <w:iCs/>
                <w:sz w:val="24"/>
                <w:szCs w:val="24"/>
              </w:rPr>
              <w:t xml:space="preserve">一、活动流程 </w:t>
            </w:r>
          </w:p>
          <w:p w14:paraId="6BE7A7C8">
            <w:pPr>
              <w:spacing w:line="480" w:lineRule="atLeast"/>
              <w:rPr>
                <w:rFonts w:hint="eastAsia" w:ascii="宋体" w:hAnsi="宋体"/>
                <w:bCs/>
                <w:iCs/>
                <w:sz w:val="24"/>
                <w:szCs w:val="24"/>
              </w:rPr>
            </w:pPr>
            <w:r>
              <w:rPr>
                <w:rFonts w:hint="eastAsia" w:ascii="宋体" w:hAnsi="宋体"/>
                <w:bCs/>
                <w:iCs/>
                <w:sz w:val="24"/>
                <w:szCs w:val="24"/>
              </w:rPr>
              <w:t xml:space="preserve">1、参观公司展厅及产线、智慧物流应用场景； </w:t>
            </w:r>
          </w:p>
          <w:p w14:paraId="282BC905">
            <w:pPr>
              <w:spacing w:line="480" w:lineRule="atLeast"/>
              <w:rPr>
                <w:rFonts w:hint="eastAsia" w:ascii="宋体" w:hAnsi="宋体"/>
                <w:bCs/>
                <w:iCs/>
                <w:sz w:val="24"/>
                <w:szCs w:val="24"/>
              </w:rPr>
            </w:pPr>
            <w:r>
              <w:rPr>
                <w:rFonts w:hint="eastAsia" w:ascii="宋体" w:hAnsi="宋体"/>
                <w:bCs/>
                <w:iCs/>
                <w:sz w:val="24"/>
                <w:szCs w:val="24"/>
              </w:rPr>
              <w:t>2、公司情况介绍，数智仓储、智能物流情况介绍；</w:t>
            </w:r>
          </w:p>
          <w:p w14:paraId="30E41666">
            <w:pPr>
              <w:spacing w:line="480" w:lineRule="atLeast"/>
              <w:rPr>
                <w:rFonts w:hint="eastAsia" w:ascii="宋体" w:hAnsi="宋体"/>
                <w:bCs/>
                <w:iCs/>
                <w:sz w:val="24"/>
                <w:szCs w:val="24"/>
              </w:rPr>
            </w:pPr>
            <w:r>
              <w:rPr>
                <w:rFonts w:hint="eastAsia" w:ascii="宋体" w:hAnsi="宋体"/>
                <w:bCs/>
                <w:iCs/>
                <w:sz w:val="24"/>
                <w:szCs w:val="24"/>
                <w:lang w:val="en-US" w:eastAsia="zh-CN"/>
              </w:rPr>
              <w:t>3</w:t>
            </w:r>
            <w:r>
              <w:rPr>
                <w:rFonts w:hint="eastAsia" w:ascii="宋体" w:hAnsi="宋体"/>
                <w:bCs/>
                <w:iCs/>
                <w:sz w:val="24"/>
                <w:szCs w:val="24"/>
              </w:rPr>
              <w:t>、互动交流。</w:t>
            </w:r>
            <w:bookmarkStart w:id="0" w:name="_GoBack"/>
            <w:bookmarkEnd w:id="0"/>
          </w:p>
          <w:p w14:paraId="63A2E21B">
            <w:pPr>
              <w:spacing w:line="480" w:lineRule="atLeast"/>
              <w:rPr>
                <w:rFonts w:hint="eastAsia" w:ascii="宋体" w:hAnsi="宋体"/>
                <w:bCs/>
                <w:iCs/>
                <w:sz w:val="24"/>
                <w:szCs w:val="24"/>
              </w:rPr>
            </w:pPr>
          </w:p>
          <w:p w14:paraId="393C02D9">
            <w:pPr>
              <w:spacing w:line="360" w:lineRule="auto"/>
              <w:rPr>
                <w:rFonts w:hint="eastAsia" w:ascii="宋体" w:hAnsi="宋体"/>
                <w:b/>
                <w:iCs/>
                <w:sz w:val="24"/>
                <w:szCs w:val="24"/>
              </w:rPr>
            </w:pPr>
            <w:r>
              <w:rPr>
                <w:rFonts w:hint="eastAsia" w:ascii="宋体" w:hAnsi="宋体"/>
                <w:b/>
                <w:iCs/>
                <w:sz w:val="24"/>
                <w:szCs w:val="24"/>
              </w:rPr>
              <w:t>二、互动交流</w:t>
            </w:r>
          </w:p>
          <w:p w14:paraId="0C99BB7D">
            <w:pPr>
              <w:pStyle w:val="8"/>
              <w:keepNext w:val="0"/>
              <w:keepLines w:val="0"/>
              <w:widowControl/>
              <w:suppressLineNumbers w:val="0"/>
              <w:shd w:val="clear" w:fill="FFFFFF"/>
              <w:spacing w:before="0" w:beforeAutospacing="0" w:after="120" w:afterAutospacing="0" w:line="360" w:lineRule="auto"/>
              <w:ind w:left="0" w:right="0" w:firstLine="0"/>
              <w:rPr>
                <w:rFonts w:hint="eastAsia" w:ascii="Times New Roman" w:hAnsi="Times New Roman" w:eastAsia="宋体" w:cs="Times New Roman"/>
                <w:b/>
                <w:bCs/>
                <w:kern w:val="0"/>
                <w:sz w:val="24"/>
                <w:szCs w:val="24"/>
                <w:lang w:val="en-US" w:eastAsia="zh-CN" w:bidi="zh-CN"/>
              </w:rPr>
            </w:pPr>
            <w:r>
              <w:rPr>
                <w:rFonts w:hint="eastAsia" w:ascii="Times New Roman" w:hAnsi="Times New Roman" w:eastAsia="宋体" w:cs="Times New Roman"/>
                <w:b/>
                <w:bCs/>
                <w:kern w:val="0"/>
                <w:sz w:val="24"/>
                <w:szCs w:val="24"/>
                <w:lang w:val="en-US" w:eastAsia="zh-CN" w:bidi="zh-CN"/>
              </w:rPr>
              <w:t>1、</w:t>
            </w:r>
            <w:r>
              <w:rPr>
                <w:rFonts w:hint="eastAsia" w:cs="Times New Roman"/>
                <w:b/>
                <w:bCs/>
                <w:kern w:val="0"/>
                <w:sz w:val="24"/>
                <w:szCs w:val="24"/>
                <w:lang w:val="en-US" w:eastAsia="zh-CN" w:bidi="zh-CN"/>
              </w:rPr>
              <w:t>基于</w:t>
            </w:r>
            <w:r>
              <w:rPr>
                <w:rFonts w:hint="eastAsia" w:ascii="Times New Roman" w:hAnsi="Times New Roman" w:eastAsia="宋体" w:cs="Times New Roman"/>
                <w:b/>
                <w:bCs/>
                <w:kern w:val="0"/>
                <w:sz w:val="24"/>
                <w:szCs w:val="24"/>
                <w:lang w:val="en-US" w:eastAsia="zh-CN" w:bidi="zh-CN"/>
              </w:rPr>
              <w:t>对数智物流业务的介绍，</w:t>
            </w:r>
            <w:r>
              <w:rPr>
                <w:rFonts w:hint="eastAsia" w:cs="Times New Roman"/>
                <w:b/>
                <w:bCs/>
                <w:kern w:val="0"/>
                <w:sz w:val="24"/>
                <w:szCs w:val="24"/>
                <w:lang w:val="en-US" w:eastAsia="zh-CN" w:bidi="zh-CN"/>
              </w:rPr>
              <w:t>现就以下两个问题提请分析</w:t>
            </w:r>
            <w:r>
              <w:rPr>
                <w:rFonts w:hint="eastAsia" w:ascii="Times New Roman" w:hAnsi="Times New Roman" w:eastAsia="宋体" w:cs="Times New Roman"/>
                <w:b/>
                <w:bCs/>
                <w:kern w:val="0"/>
                <w:sz w:val="24"/>
                <w:szCs w:val="24"/>
                <w:lang w:val="en-US" w:eastAsia="zh-CN" w:bidi="zh-CN"/>
              </w:rPr>
              <w:t>：</w:t>
            </w:r>
          </w:p>
          <w:p w14:paraId="2077FD71">
            <w:pPr>
              <w:pStyle w:val="8"/>
              <w:keepNext w:val="0"/>
              <w:keepLines w:val="0"/>
              <w:widowControl/>
              <w:suppressLineNumbers w:val="0"/>
              <w:shd w:val="clear" w:fill="FFFFFF"/>
              <w:spacing w:before="120" w:beforeAutospacing="0" w:after="120" w:afterAutospacing="0" w:line="360" w:lineRule="auto"/>
              <w:ind w:left="0" w:right="0" w:firstLine="0"/>
              <w:rPr>
                <w:rFonts w:hint="eastAsia" w:ascii="Times New Roman" w:hAnsi="Times New Roman" w:eastAsia="宋体" w:cs="Times New Roman"/>
                <w:b/>
                <w:bCs/>
                <w:kern w:val="0"/>
                <w:sz w:val="24"/>
                <w:szCs w:val="24"/>
                <w:lang w:val="en-US" w:eastAsia="zh-CN" w:bidi="zh-CN"/>
              </w:rPr>
            </w:pPr>
            <w:r>
              <w:rPr>
                <w:rFonts w:hint="eastAsia" w:ascii="Times New Roman" w:hAnsi="Times New Roman" w:eastAsia="宋体" w:cs="Times New Roman"/>
                <w:b/>
                <w:bCs/>
                <w:kern w:val="0"/>
                <w:sz w:val="24"/>
                <w:szCs w:val="24"/>
                <w:lang w:val="en-US" w:eastAsia="zh-CN" w:bidi="zh-CN"/>
              </w:rPr>
              <w:t>第一，在实际销售中，“模式级”方案的应用可能更为广泛。请问客户通常倾向于采购“设备+系统”的一体化方案，还是更偏好只采购硬件设备，然后对接自己的系统？</w:t>
            </w:r>
          </w:p>
          <w:p w14:paraId="2484052F">
            <w:pPr>
              <w:pStyle w:val="8"/>
              <w:keepNext w:val="0"/>
              <w:keepLines w:val="0"/>
              <w:widowControl/>
              <w:suppressLineNumbers w:val="0"/>
              <w:shd w:val="clear" w:fill="FFFFFF"/>
              <w:spacing w:before="120" w:beforeAutospacing="0" w:after="120" w:afterAutospacing="0" w:line="360" w:lineRule="auto"/>
              <w:ind w:left="0" w:right="0" w:firstLine="0"/>
              <w:rPr>
                <w:rFonts w:hint="eastAsia" w:ascii="Times New Roman" w:hAnsi="Times New Roman" w:eastAsia="宋体" w:cs="Times New Roman"/>
                <w:b/>
                <w:bCs/>
                <w:kern w:val="0"/>
                <w:sz w:val="24"/>
                <w:szCs w:val="24"/>
                <w:lang w:val="en-US" w:eastAsia="zh-CN" w:bidi="zh-CN"/>
              </w:rPr>
            </w:pPr>
            <w:r>
              <w:rPr>
                <w:rFonts w:hint="eastAsia" w:ascii="Times New Roman" w:hAnsi="Times New Roman" w:eastAsia="宋体" w:cs="Times New Roman"/>
                <w:b/>
                <w:bCs/>
                <w:kern w:val="0"/>
                <w:sz w:val="24"/>
                <w:szCs w:val="24"/>
                <w:lang w:val="en-US" w:eastAsia="zh-CN" w:bidi="zh-CN"/>
              </w:rPr>
              <w:t>第二，公司</w:t>
            </w:r>
            <w:r>
              <w:rPr>
                <w:rFonts w:hint="eastAsia" w:cs="Times New Roman"/>
                <w:b/>
                <w:bCs/>
                <w:kern w:val="0"/>
                <w:sz w:val="24"/>
                <w:szCs w:val="24"/>
                <w:lang w:val="en-US" w:eastAsia="zh-CN" w:bidi="zh-CN"/>
              </w:rPr>
              <w:t>高度重视</w:t>
            </w:r>
            <w:r>
              <w:rPr>
                <w:rFonts w:hint="eastAsia" w:ascii="Times New Roman" w:hAnsi="Times New Roman" w:eastAsia="宋体" w:cs="Times New Roman"/>
                <w:b/>
                <w:bCs/>
                <w:kern w:val="0"/>
                <w:sz w:val="24"/>
                <w:szCs w:val="24"/>
                <w:lang w:val="en-US" w:eastAsia="zh-CN" w:bidi="zh-CN"/>
              </w:rPr>
              <w:t>数智物流业务。从</w:t>
            </w:r>
            <w:r>
              <w:rPr>
                <w:rFonts w:hint="eastAsia" w:cs="Times New Roman"/>
                <w:b/>
                <w:bCs/>
                <w:kern w:val="0"/>
                <w:sz w:val="24"/>
                <w:szCs w:val="24"/>
                <w:lang w:val="en-US" w:eastAsia="zh-CN" w:bidi="zh-CN"/>
              </w:rPr>
              <w:t>专业视角研判</w:t>
            </w:r>
            <w:r>
              <w:rPr>
                <w:rFonts w:hint="eastAsia" w:ascii="Times New Roman" w:hAnsi="Times New Roman" w:eastAsia="宋体" w:cs="Times New Roman"/>
                <w:b/>
                <w:bCs/>
                <w:kern w:val="0"/>
                <w:sz w:val="24"/>
                <w:szCs w:val="24"/>
                <w:lang w:val="en-US" w:eastAsia="zh-CN" w:bidi="zh-CN"/>
              </w:rPr>
              <w:t>，该业务未来的爆发点最有可能出现在哪个行业？</w:t>
            </w:r>
          </w:p>
          <w:p w14:paraId="3EFC7918">
            <w:pPr>
              <w:pStyle w:val="8"/>
              <w:keepNext w:val="0"/>
              <w:keepLines w:val="0"/>
              <w:widowControl/>
              <w:suppressLineNumbers w:val="0"/>
              <w:shd w:val="clear" w:fill="FFFFFF"/>
              <w:spacing w:before="120" w:beforeAutospacing="0" w:after="120" w:afterAutospacing="0" w:line="360" w:lineRule="auto"/>
              <w:ind w:left="0" w:right="0" w:firstLine="480" w:firstLineChars="200"/>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en-US" w:eastAsia="zh-CN" w:bidi="zh-CN"/>
              </w:rPr>
              <w:t>答：感谢您的提问。关于公司数智物流业务的客户采购模式倾向，在实际销售之中，同时存在</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设备+系统</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一体化采购与</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仅采购设备</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模式。</w:t>
            </w:r>
            <w:r>
              <w:rPr>
                <w:rFonts w:hint="default" w:ascii="Times New Roman" w:hAnsi="Times New Roman" w:eastAsia="宋体" w:cs="Times New Roman"/>
                <w:kern w:val="0"/>
                <w:sz w:val="24"/>
                <w:szCs w:val="24"/>
                <w:lang w:val="en-US" w:eastAsia="zh-CN" w:bidi="zh-CN"/>
              </w:rPr>
              <w:br w:type="textWrapping"/>
            </w:r>
            <w:r>
              <w:rPr>
                <w:rFonts w:hint="default" w:ascii="Times New Roman" w:hAnsi="Times New Roman" w:eastAsia="宋体" w:cs="Times New Roman"/>
                <w:kern w:val="0"/>
                <w:sz w:val="24"/>
                <w:szCs w:val="24"/>
                <w:lang w:val="en-US" w:eastAsia="zh-CN" w:bidi="zh-CN"/>
              </w:rPr>
              <w:t xml:space="preserve">  </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设备+系统</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的综合解决方案是公司的核心优势所在。公司软件系统为自主研发，能</w:t>
            </w:r>
            <w:r>
              <w:rPr>
                <w:rFonts w:hint="eastAsia" w:cs="Times New Roman"/>
                <w:kern w:val="0"/>
                <w:sz w:val="24"/>
                <w:szCs w:val="24"/>
                <w:lang w:val="en-US" w:eastAsia="zh-CN" w:bidi="zh-CN"/>
              </w:rPr>
              <w:t>有效</w:t>
            </w:r>
            <w:r>
              <w:rPr>
                <w:rFonts w:hint="default" w:ascii="Times New Roman" w:hAnsi="Times New Roman" w:eastAsia="宋体" w:cs="Times New Roman"/>
                <w:kern w:val="0"/>
                <w:sz w:val="24"/>
                <w:szCs w:val="24"/>
                <w:lang w:val="en-US" w:eastAsia="zh-CN" w:bidi="zh-CN"/>
              </w:rPr>
              <w:t>规避因集成多方供应商产品可能产生的兼容性、响应效率及持续升级</w:t>
            </w:r>
            <w:r>
              <w:rPr>
                <w:rFonts w:hint="eastAsia" w:cs="Times New Roman"/>
                <w:kern w:val="0"/>
                <w:sz w:val="24"/>
                <w:szCs w:val="24"/>
                <w:lang w:val="en-US" w:eastAsia="zh-CN" w:bidi="zh-CN"/>
              </w:rPr>
              <w:t>方面的</w:t>
            </w:r>
            <w:r>
              <w:rPr>
                <w:rFonts w:hint="default" w:ascii="Times New Roman" w:hAnsi="Times New Roman" w:eastAsia="宋体" w:cs="Times New Roman"/>
                <w:kern w:val="0"/>
                <w:sz w:val="24"/>
                <w:szCs w:val="24"/>
                <w:lang w:val="en-US" w:eastAsia="zh-CN" w:bidi="zh-CN"/>
              </w:rPr>
              <w:t>挑战，从而保障了系统整体的稳定性与可靠性。同时，依托自有的研发与实施团队，公司实现了从方案设计、软件开发、现场部署到售后服务的全流程闭环管理，不仅确保了项目交付的可控性与时效性，也具备了快速响应客户个性化需求的定制化能力。</w:t>
            </w:r>
            <w:r>
              <w:rPr>
                <w:rFonts w:hint="default" w:ascii="Times New Roman" w:hAnsi="Times New Roman" w:eastAsia="宋体" w:cs="Times New Roman"/>
                <w:kern w:val="0"/>
                <w:sz w:val="24"/>
                <w:szCs w:val="24"/>
                <w:lang w:val="en-US" w:eastAsia="zh-CN" w:bidi="zh-CN"/>
              </w:rPr>
              <w:br w:type="textWrapping"/>
            </w:r>
            <w:r>
              <w:rPr>
                <w:rFonts w:hint="default" w:ascii="Times New Roman" w:hAnsi="Times New Roman" w:eastAsia="宋体" w:cs="Times New Roman"/>
                <w:kern w:val="0"/>
                <w:sz w:val="24"/>
                <w:szCs w:val="24"/>
                <w:lang w:val="en-US" w:eastAsia="zh-CN" w:bidi="zh-CN"/>
              </w:rPr>
              <w:t xml:space="preserve">   对于仅采购硬件设备的客户，公司也具备充分的技术能力，确保所提供的设备能够顺利对接并</w:t>
            </w:r>
            <w:r>
              <w:rPr>
                <w:rFonts w:hint="eastAsia" w:cs="Times New Roman"/>
                <w:kern w:val="0"/>
                <w:sz w:val="24"/>
                <w:szCs w:val="24"/>
                <w:lang w:val="en-US" w:eastAsia="zh-CN" w:bidi="zh-CN"/>
              </w:rPr>
              <w:t>接</w:t>
            </w:r>
            <w:r>
              <w:rPr>
                <w:rFonts w:hint="default" w:ascii="Times New Roman" w:hAnsi="Times New Roman" w:eastAsia="宋体" w:cs="Times New Roman"/>
                <w:kern w:val="0"/>
                <w:sz w:val="24"/>
                <w:szCs w:val="24"/>
                <w:lang w:val="en-US" w:eastAsia="zh-CN" w:bidi="zh-CN"/>
              </w:rPr>
              <w:t>入客户现有的管理系统，满足其多元化的合作需求。</w:t>
            </w:r>
          </w:p>
          <w:p w14:paraId="1249456F">
            <w:pPr>
              <w:spacing w:line="360" w:lineRule="auto"/>
              <w:ind w:firstLine="480" w:firstLineChars="200"/>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en-US" w:eastAsia="zh-CN" w:bidi="zh-CN"/>
              </w:rPr>
              <w:t>关于具体的行业爆发时点，目前尚难以精准预判。但从当前业务推进的态势来看，已呈现出积极的拓展趋势。在已实施项目的行业中，公司解决方案的客户接纳度与规模化认同也逐渐提升。目前，该业务正依托在物流仓储领域积累的成功经验与可复用的解决方案，有序地向食品纺织、酒水酿造、生物医药等对智能化改造有明确需求的多个产业领域渗透</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初步验证了公司解决方案的适配性与可复制性，市场的正向反馈也增强了公司对该业务发展前景的信心。</w:t>
            </w:r>
          </w:p>
          <w:p w14:paraId="2EC07BC9">
            <w:pPr>
              <w:spacing w:line="360" w:lineRule="auto"/>
              <w:ind w:firstLine="482" w:firstLineChars="200"/>
              <w:rPr>
                <w:rFonts w:hint="default" w:ascii="Times New Roman" w:hAnsi="Times New Roman" w:eastAsia="宋体" w:cs="Times New Roman"/>
                <w:b/>
                <w:bCs/>
                <w:kern w:val="0"/>
                <w:sz w:val="24"/>
                <w:szCs w:val="24"/>
                <w:lang w:val="en-US" w:eastAsia="zh-CN" w:bidi="zh-CN"/>
              </w:rPr>
            </w:pPr>
            <w:r>
              <w:rPr>
                <w:rFonts w:hint="eastAsia" w:ascii="Times New Roman" w:hAnsi="Times New Roman" w:eastAsia="宋体" w:cs="Times New Roman"/>
                <w:b/>
                <w:bCs/>
                <w:kern w:val="0"/>
                <w:sz w:val="24"/>
                <w:szCs w:val="24"/>
                <w:lang w:val="en-US" w:eastAsia="zh-CN" w:bidi="zh-CN"/>
              </w:rPr>
              <w:t>2、</w:t>
            </w:r>
            <w:r>
              <w:rPr>
                <w:rFonts w:hint="default" w:ascii="Times New Roman" w:hAnsi="Times New Roman" w:eastAsia="宋体" w:cs="Times New Roman"/>
                <w:b/>
                <w:bCs/>
                <w:kern w:val="0"/>
                <w:sz w:val="24"/>
                <w:szCs w:val="24"/>
                <w:lang w:val="en-US" w:eastAsia="zh-CN" w:bidi="zh-CN"/>
              </w:rPr>
              <w:t>数智物流业务</w:t>
            </w:r>
            <w:r>
              <w:rPr>
                <w:rFonts w:hint="eastAsia" w:cs="Times New Roman"/>
                <w:b/>
                <w:bCs/>
                <w:kern w:val="0"/>
                <w:sz w:val="24"/>
                <w:szCs w:val="24"/>
                <w:lang w:val="en-US" w:eastAsia="zh-CN" w:bidi="zh-CN"/>
              </w:rPr>
              <w:t>20</w:t>
            </w:r>
            <w:r>
              <w:rPr>
                <w:rFonts w:hint="default" w:ascii="Times New Roman" w:hAnsi="Times New Roman" w:eastAsia="宋体" w:cs="Times New Roman"/>
                <w:b/>
                <w:bCs/>
                <w:kern w:val="0"/>
                <w:sz w:val="24"/>
                <w:szCs w:val="24"/>
                <w:lang w:val="en-US" w:eastAsia="zh-CN" w:bidi="zh-CN"/>
              </w:rPr>
              <w:t>26年的研发有具体的预算投入</w:t>
            </w:r>
            <w:r>
              <w:rPr>
                <w:rFonts w:hint="eastAsia" w:ascii="Times New Roman" w:hAnsi="Times New Roman" w:eastAsia="宋体" w:cs="Times New Roman"/>
                <w:b/>
                <w:bCs/>
                <w:kern w:val="0"/>
                <w:sz w:val="24"/>
                <w:szCs w:val="24"/>
                <w:lang w:val="en-US" w:eastAsia="zh-CN" w:bidi="zh-CN"/>
              </w:rPr>
              <w:t>金额</w:t>
            </w:r>
            <w:r>
              <w:rPr>
                <w:rFonts w:hint="default" w:ascii="Times New Roman" w:hAnsi="Times New Roman" w:eastAsia="宋体" w:cs="Times New Roman"/>
                <w:b/>
                <w:bCs/>
                <w:kern w:val="0"/>
                <w:sz w:val="24"/>
                <w:szCs w:val="24"/>
                <w:lang w:val="en-US" w:eastAsia="zh-CN" w:bidi="zh-CN"/>
              </w:rPr>
              <w:t>吗？</w:t>
            </w:r>
          </w:p>
          <w:p w14:paraId="25DF63BE">
            <w:pPr>
              <w:pStyle w:val="8"/>
              <w:keepNext w:val="0"/>
              <w:keepLines w:val="0"/>
              <w:widowControl/>
              <w:suppressLineNumbers w:val="0"/>
              <w:spacing w:before="0" w:beforeAutospacing="0" w:after="120" w:afterAutospacing="0" w:line="360" w:lineRule="auto"/>
              <w:ind w:right="330" w:firstLine="480" w:firstLineChars="200"/>
              <w:rPr>
                <w:rFonts w:hint="default" w:ascii="Times New Roman" w:hAnsi="Times New Roman" w:eastAsia="宋体" w:cs="Times New Roman"/>
                <w:kern w:val="0"/>
                <w:sz w:val="24"/>
                <w:szCs w:val="24"/>
                <w:lang w:val="en-US" w:eastAsia="zh-CN" w:bidi="zh-CN"/>
              </w:rPr>
            </w:pPr>
            <w:r>
              <w:rPr>
                <w:rFonts w:hint="eastAsia" w:ascii="Times New Roman" w:hAnsi="Times New Roman" w:eastAsia="宋体" w:cs="Times New Roman"/>
                <w:kern w:val="0"/>
                <w:sz w:val="24"/>
                <w:szCs w:val="24"/>
                <w:lang w:val="en-US" w:eastAsia="zh-CN" w:bidi="zh-CN"/>
              </w:rPr>
              <w:t>答：感谢您的关注。</w:t>
            </w:r>
            <w:r>
              <w:rPr>
                <w:rFonts w:hint="default" w:ascii="Times New Roman" w:hAnsi="Times New Roman" w:eastAsia="宋体" w:cs="Times New Roman"/>
                <w:kern w:val="0"/>
                <w:sz w:val="24"/>
                <w:szCs w:val="24"/>
                <w:lang w:val="en-US" w:eastAsia="zh-CN" w:bidi="zh-CN"/>
              </w:rPr>
              <w:t>关于公司数智物流业务2026年度的研发规划，目前相关预算方案尚在结合公司整体战略与市场动态进行审慎制定过程中，因此暂时无法提供确切的金额数字</w:t>
            </w:r>
            <w:r>
              <w:rPr>
                <w:rFonts w:hint="eastAsia" w:cs="Times New Roman"/>
                <w:kern w:val="0"/>
                <w:sz w:val="24"/>
                <w:szCs w:val="24"/>
                <w:lang w:val="en-US" w:eastAsia="zh-CN" w:bidi="zh-CN"/>
              </w:rPr>
              <w:t>，</w:t>
            </w:r>
            <w:r>
              <w:rPr>
                <w:rFonts w:hint="eastAsia" w:ascii="Times New Roman" w:hAnsi="Times New Roman" w:eastAsia="宋体" w:cs="Times New Roman"/>
                <w:kern w:val="0"/>
                <w:sz w:val="24"/>
                <w:szCs w:val="24"/>
                <w:lang w:val="en-US" w:eastAsia="zh-CN" w:bidi="zh-CN"/>
              </w:rPr>
              <w:t>但</w:t>
            </w:r>
            <w:r>
              <w:rPr>
                <w:rFonts w:hint="eastAsia" w:cs="Times New Roman"/>
                <w:kern w:val="0"/>
                <w:sz w:val="24"/>
                <w:szCs w:val="24"/>
                <w:lang w:val="en-US" w:eastAsia="zh-CN" w:bidi="zh-CN"/>
              </w:rPr>
              <w:t>公司会加大</w:t>
            </w:r>
            <w:r>
              <w:rPr>
                <w:rFonts w:hint="default" w:ascii="Times New Roman" w:hAnsi="Times New Roman" w:eastAsia="宋体" w:cs="Times New Roman"/>
                <w:kern w:val="0"/>
                <w:sz w:val="24"/>
                <w:szCs w:val="24"/>
                <w:lang w:val="en-US" w:eastAsia="zh-CN" w:bidi="zh-CN"/>
              </w:rPr>
              <w:t>2026年</w:t>
            </w:r>
            <w:r>
              <w:rPr>
                <w:rFonts w:hint="eastAsia" w:cs="Times New Roman"/>
                <w:kern w:val="0"/>
                <w:sz w:val="24"/>
                <w:szCs w:val="24"/>
                <w:lang w:val="en-US" w:eastAsia="zh-CN" w:bidi="zh-CN"/>
              </w:rPr>
              <w:t>度的</w:t>
            </w:r>
            <w:r>
              <w:rPr>
                <w:rFonts w:hint="eastAsia" w:ascii="Times New Roman" w:hAnsi="Times New Roman" w:eastAsia="宋体" w:cs="Times New Roman"/>
                <w:kern w:val="0"/>
                <w:sz w:val="24"/>
                <w:szCs w:val="24"/>
                <w:lang w:val="en-US" w:eastAsia="zh-CN" w:bidi="zh-CN"/>
              </w:rPr>
              <w:t>研发</w:t>
            </w:r>
            <w:r>
              <w:rPr>
                <w:rFonts w:hint="default" w:ascii="Times New Roman" w:hAnsi="Times New Roman" w:eastAsia="宋体" w:cs="Times New Roman"/>
                <w:kern w:val="0"/>
                <w:sz w:val="24"/>
                <w:szCs w:val="24"/>
                <w:lang w:val="en-US" w:eastAsia="zh-CN" w:bidi="zh-CN"/>
              </w:rPr>
              <w:t>投入</w:t>
            </w:r>
            <w:r>
              <w:rPr>
                <w:rFonts w:hint="eastAsia" w:cs="Times New Roman"/>
                <w:kern w:val="0"/>
                <w:sz w:val="24"/>
                <w:szCs w:val="24"/>
                <w:lang w:val="en-US" w:eastAsia="zh-CN" w:bidi="zh-CN"/>
              </w:rPr>
              <w:t>。</w:t>
            </w:r>
          </w:p>
          <w:p w14:paraId="1AA052D5">
            <w:pPr>
              <w:pStyle w:val="8"/>
              <w:keepNext w:val="0"/>
              <w:keepLines w:val="0"/>
              <w:widowControl/>
              <w:suppressLineNumbers w:val="0"/>
              <w:spacing w:before="120" w:beforeAutospacing="0" w:after="120" w:afterAutospacing="0" w:line="360" w:lineRule="auto"/>
              <w:ind w:right="330" w:firstLine="480" w:firstLineChars="200"/>
              <w:rPr>
                <w:rFonts w:hint="default" w:ascii="Times New Roman" w:hAnsi="Times New Roman" w:eastAsia="宋体" w:cs="Times New Roman"/>
                <w:kern w:val="0"/>
                <w:sz w:val="24"/>
                <w:szCs w:val="24"/>
                <w:lang w:val="en-US" w:eastAsia="zh-CN" w:bidi="zh-CN"/>
              </w:rPr>
            </w:pPr>
            <w:r>
              <w:rPr>
                <w:rFonts w:hint="eastAsia" w:ascii="Times New Roman" w:hAnsi="Times New Roman" w:eastAsia="宋体" w:cs="Times New Roman"/>
                <w:kern w:val="0"/>
                <w:sz w:val="24"/>
                <w:szCs w:val="24"/>
                <w:lang w:val="en-US" w:eastAsia="zh-CN" w:bidi="zh-CN"/>
              </w:rPr>
              <w:t>从</w:t>
            </w:r>
            <w:r>
              <w:rPr>
                <w:rFonts w:hint="default" w:ascii="Times New Roman" w:hAnsi="Times New Roman" w:eastAsia="宋体" w:cs="Times New Roman"/>
                <w:kern w:val="0"/>
                <w:sz w:val="24"/>
                <w:szCs w:val="24"/>
                <w:lang w:val="en-US" w:eastAsia="zh-CN" w:bidi="zh-CN"/>
              </w:rPr>
              <w:t>人才战略维度</w:t>
            </w:r>
            <w:r>
              <w:rPr>
                <w:rFonts w:hint="eastAsia" w:ascii="Times New Roman" w:hAnsi="Times New Roman" w:eastAsia="宋体" w:cs="Times New Roman"/>
                <w:kern w:val="0"/>
                <w:sz w:val="24"/>
                <w:szCs w:val="24"/>
                <w:lang w:val="en-US" w:eastAsia="zh-CN" w:bidi="zh-CN"/>
              </w:rPr>
              <w:t>来看，</w:t>
            </w:r>
            <w:r>
              <w:rPr>
                <w:rFonts w:hint="default" w:ascii="Times New Roman" w:hAnsi="Times New Roman" w:eastAsia="宋体" w:cs="Times New Roman"/>
                <w:kern w:val="0"/>
                <w:sz w:val="24"/>
                <w:szCs w:val="24"/>
                <w:lang w:val="en-US" w:eastAsia="zh-CN" w:bidi="zh-CN"/>
              </w:rPr>
              <w:t>公司</w:t>
            </w:r>
            <w:r>
              <w:rPr>
                <w:rFonts w:hint="eastAsia" w:ascii="Times New Roman" w:hAnsi="Times New Roman" w:eastAsia="宋体" w:cs="Times New Roman"/>
                <w:kern w:val="0"/>
                <w:sz w:val="24"/>
                <w:szCs w:val="24"/>
                <w:lang w:val="en-US" w:eastAsia="zh-CN" w:bidi="zh-CN"/>
              </w:rPr>
              <w:t>未来会</w:t>
            </w:r>
            <w:r>
              <w:rPr>
                <w:rFonts w:hint="default" w:ascii="Times New Roman" w:hAnsi="Times New Roman" w:eastAsia="宋体" w:cs="Times New Roman"/>
                <w:kern w:val="0"/>
                <w:sz w:val="24"/>
                <w:szCs w:val="24"/>
                <w:lang w:val="en-US" w:eastAsia="zh-CN" w:bidi="zh-CN"/>
              </w:rPr>
              <w:t>进一步扩充研发团队，支撑业务的快速发展与技术迭代，特别是引进在智能算法、软硬件协同及系统架构领域的高端与复合型人才。</w:t>
            </w:r>
            <w:r>
              <w:rPr>
                <w:rFonts w:hint="eastAsia" w:ascii="Times New Roman" w:hAnsi="Times New Roman" w:eastAsia="宋体" w:cs="Times New Roman"/>
                <w:kern w:val="0"/>
                <w:sz w:val="24"/>
                <w:szCs w:val="24"/>
                <w:lang w:val="en-US" w:eastAsia="zh-CN" w:bidi="zh-CN"/>
              </w:rPr>
              <w:t>公司</w:t>
            </w:r>
            <w:r>
              <w:rPr>
                <w:rFonts w:hint="default" w:ascii="Times New Roman" w:hAnsi="Times New Roman" w:eastAsia="宋体" w:cs="Times New Roman"/>
                <w:kern w:val="0"/>
                <w:sz w:val="24"/>
                <w:szCs w:val="24"/>
                <w:lang w:val="en-US" w:eastAsia="zh-CN" w:bidi="zh-CN"/>
              </w:rPr>
              <w:t>不仅关注个人技术能力，更强调团队的协同创新能力，以保障研发效能的最大化。</w:t>
            </w:r>
          </w:p>
          <w:p w14:paraId="4F0E74D0">
            <w:pPr>
              <w:pStyle w:val="8"/>
              <w:keepNext w:val="0"/>
              <w:keepLines w:val="0"/>
              <w:widowControl/>
              <w:suppressLineNumbers w:val="0"/>
              <w:spacing w:before="120" w:beforeAutospacing="0" w:after="120" w:afterAutospacing="0" w:line="360" w:lineRule="auto"/>
              <w:ind w:right="330" w:firstLine="480" w:firstLineChars="200"/>
              <w:rPr>
                <w:rFonts w:hint="default" w:ascii="Times New Roman" w:hAnsi="Times New Roman" w:eastAsia="宋体" w:cs="Times New Roman"/>
                <w:kern w:val="0"/>
                <w:sz w:val="24"/>
                <w:szCs w:val="24"/>
                <w:lang w:val="en-US" w:eastAsia="zh-CN" w:bidi="zh-CN"/>
              </w:rPr>
            </w:pPr>
            <w:r>
              <w:rPr>
                <w:rFonts w:hint="eastAsia" w:ascii="Times New Roman" w:hAnsi="Times New Roman" w:eastAsia="宋体" w:cs="Times New Roman"/>
                <w:kern w:val="0"/>
                <w:sz w:val="24"/>
                <w:szCs w:val="24"/>
                <w:lang w:val="en-US" w:eastAsia="zh-CN" w:bidi="zh-CN"/>
              </w:rPr>
              <w:t>从</w:t>
            </w:r>
            <w:r>
              <w:rPr>
                <w:rFonts w:hint="default" w:ascii="Times New Roman" w:hAnsi="Times New Roman" w:eastAsia="宋体" w:cs="Times New Roman"/>
                <w:kern w:val="0"/>
                <w:sz w:val="24"/>
                <w:szCs w:val="24"/>
                <w:lang w:val="en-US" w:eastAsia="zh-CN" w:bidi="zh-CN"/>
              </w:rPr>
              <w:t>技术演进维度</w:t>
            </w:r>
            <w:r>
              <w:rPr>
                <w:rFonts w:hint="eastAsia" w:ascii="Times New Roman" w:hAnsi="Times New Roman" w:eastAsia="宋体" w:cs="Times New Roman"/>
                <w:kern w:val="0"/>
                <w:sz w:val="24"/>
                <w:szCs w:val="24"/>
                <w:lang w:val="en-US" w:eastAsia="zh-CN" w:bidi="zh-CN"/>
              </w:rPr>
              <w:t>来看，</w:t>
            </w:r>
            <w:r>
              <w:rPr>
                <w:rFonts w:hint="default" w:ascii="Times New Roman" w:hAnsi="Times New Roman" w:eastAsia="宋体" w:cs="Times New Roman"/>
                <w:kern w:val="0"/>
                <w:sz w:val="24"/>
                <w:szCs w:val="24"/>
                <w:lang w:val="en-US" w:eastAsia="zh-CN" w:bidi="zh-CN"/>
              </w:rPr>
              <w:t>未来的技术路径将更加明确：在软件与算法层面，将深化以多模态大模型为代表的AI技术研发，致力于提升对复杂物流场景中</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物</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的精准识别、预测与决策能力；在硬件与产品层面，研发方向将朝着设备品类多元化与形态柔性化发展，以适配更广泛的行业应用场景。</w:t>
            </w:r>
          </w:p>
          <w:p w14:paraId="3B32C73B">
            <w:pPr>
              <w:spacing w:line="360" w:lineRule="auto"/>
              <w:ind w:firstLine="480" w:firstLineChars="200"/>
              <w:rPr>
                <w:rFonts w:hint="eastAsia"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en-US" w:eastAsia="zh-CN" w:bidi="zh-CN"/>
              </w:rPr>
              <w:t>总而言之，公司对数智物流业务的研发投入将秉持</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持续加大、重点突出</w:t>
            </w:r>
            <w:r>
              <w:rPr>
                <w:rFonts w:hint="eastAsia" w:cs="Times New Roman"/>
                <w:kern w:val="0"/>
                <w:sz w:val="24"/>
                <w:szCs w:val="24"/>
                <w:lang w:val="en-US" w:eastAsia="zh-CN" w:bidi="zh-CN"/>
              </w:rPr>
              <w:t>”</w:t>
            </w:r>
            <w:r>
              <w:rPr>
                <w:rFonts w:hint="default" w:ascii="Times New Roman" w:hAnsi="Times New Roman" w:eastAsia="宋体" w:cs="Times New Roman"/>
                <w:kern w:val="0"/>
                <w:sz w:val="24"/>
                <w:szCs w:val="24"/>
                <w:lang w:val="en-US" w:eastAsia="zh-CN" w:bidi="zh-CN"/>
              </w:rPr>
              <w:t>的原则。通过有计划的战略投入，能够不断巩固技术护城河，驱动业务实现高质量、可持续的增长。</w:t>
            </w:r>
          </w:p>
          <w:p w14:paraId="50C237F9">
            <w:pPr>
              <w:numPr>
                <w:ilvl w:val="0"/>
                <w:numId w:val="0"/>
              </w:numPr>
              <w:spacing w:before="0" w:line="360" w:lineRule="auto"/>
              <w:rPr>
                <w:rFonts w:hint="default" w:ascii="Times New Roman" w:hAnsi="Times New Roman" w:eastAsia="宋体" w:cs="Times New Roman"/>
                <w:kern w:val="0"/>
                <w:sz w:val="24"/>
                <w:szCs w:val="24"/>
                <w:lang w:val="en-US" w:eastAsia="zh-CN" w:bidi="zh-CN"/>
              </w:rPr>
            </w:pPr>
          </w:p>
          <w:p w14:paraId="536F4158">
            <w:pPr>
              <w:pStyle w:val="8"/>
              <w:keepNext w:val="0"/>
              <w:keepLines w:val="0"/>
              <w:widowControl/>
              <w:suppressLineNumbers w:val="0"/>
              <w:shd w:val="clear" w:fill="FFFFFF"/>
              <w:spacing w:before="120" w:beforeAutospacing="0" w:after="120" w:afterAutospacing="0" w:line="360" w:lineRule="auto"/>
              <w:ind w:left="0" w:right="0" w:firstLine="480" w:firstLineChars="200"/>
              <w:rPr>
                <w:rFonts w:hint="eastAsia" w:ascii="Times New Roman" w:hAnsi="Times New Roman" w:eastAsia="宋体" w:cs="Times New Roman"/>
                <w:kern w:val="0"/>
                <w:sz w:val="24"/>
                <w:szCs w:val="24"/>
                <w:lang w:val="en-US" w:eastAsia="zh-CN" w:bidi="zh-CN"/>
              </w:rPr>
            </w:pPr>
          </w:p>
          <w:p w14:paraId="1FA5D25D">
            <w:pPr>
              <w:spacing w:line="480" w:lineRule="atLeast"/>
              <w:ind w:firstLine="480" w:firstLineChars="200"/>
              <w:rPr>
                <w:rFonts w:hint="eastAsia" w:ascii="宋体" w:hAnsi="宋体"/>
                <w:bCs/>
                <w:iCs/>
                <w:sz w:val="24"/>
                <w:szCs w:val="24"/>
              </w:rPr>
            </w:pPr>
          </w:p>
        </w:tc>
      </w:tr>
      <w:tr w14:paraId="542D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76F6A13">
            <w:pPr>
              <w:rPr>
                <w:rFonts w:hint="eastAsia" w:ascii="宋体" w:hAnsi="宋体"/>
                <w:b/>
                <w:bCs/>
                <w:iCs/>
                <w:sz w:val="24"/>
                <w:szCs w:val="24"/>
              </w:rPr>
            </w:pPr>
            <w:r>
              <w:rPr>
                <w:rFonts w:hint="eastAsia" w:ascii="宋体" w:hAnsi="宋体"/>
                <w:b/>
                <w:bCs/>
                <w:iCs/>
                <w:sz w:val="24"/>
                <w:szCs w:val="24"/>
              </w:rPr>
              <w:t>附件清单（如有）</w:t>
            </w:r>
          </w:p>
        </w:tc>
        <w:tc>
          <w:tcPr>
            <w:tcW w:w="6693" w:type="dxa"/>
          </w:tcPr>
          <w:p w14:paraId="38454321">
            <w:pPr>
              <w:spacing w:line="480" w:lineRule="atLeast"/>
              <w:rPr>
                <w:rFonts w:hint="eastAsia" w:ascii="宋体" w:hAnsi="宋体"/>
                <w:bCs/>
                <w:iCs/>
                <w:sz w:val="24"/>
                <w:szCs w:val="24"/>
              </w:rPr>
            </w:pPr>
            <w:r>
              <w:rPr>
                <w:rFonts w:hint="eastAsia" w:ascii="宋体" w:hAnsi="宋体"/>
                <w:bCs/>
                <w:iCs/>
                <w:sz w:val="24"/>
                <w:szCs w:val="24"/>
              </w:rPr>
              <w:t>无</w:t>
            </w:r>
          </w:p>
        </w:tc>
      </w:tr>
      <w:tr w14:paraId="286E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vAlign w:val="center"/>
          </w:tcPr>
          <w:p w14:paraId="60ACA70F">
            <w:pPr>
              <w:rPr>
                <w:rFonts w:hint="eastAsia" w:ascii="宋体" w:hAnsi="宋体"/>
                <w:b/>
                <w:bCs/>
                <w:iCs/>
                <w:sz w:val="24"/>
                <w:szCs w:val="24"/>
              </w:rPr>
            </w:pPr>
            <w:r>
              <w:rPr>
                <w:rFonts w:hint="eastAsia" w:ascii="宋体" w:hAnsi="宋体"/>
                <w:b/>
                <w:bCs/>
                <w:iCs/>
                <w:sz w:val="24"/>
                <w:szCs w:val="24"/>
              </w:rPr>
              <w:t>日期</w:t>
            </w:r>
          </w:p>
        </w:tc>
        <w:tc>
          <w:tcPr>
            <w:tcW w:w="6693" w:type="dxa"/>
          </w:tcPr>
          <w:p w14:paraId="5A91DA3E">
            <w:pPr>
              <w:spacing w:line="480" w:lineRule="atLeast"/>
              <w:rPr>
                <w:rFonts w:hint="eastAsia" w:ascii="宋体" w:hAnsi="宋体"/>
                <w:bCs/>
                <w:iCs/>
                <w:sz w:val="24"/>
                <w:szCs w:val="24"/>
              </w:rPr>
            </w:pPr>
            <w:r>
              <w:rPr>
                <w:rFonts w:hint="eastAsia" w:ascii="宋体" w:hAnsi="宋体"/>
                <w:bCs/>
                <w:iCs/>
                <w:sz w:val="24"/>
                <w:szCs w:val="24"/>
              </w:rPr>
              <w:t>202</w:t>
            </w:r>
            <w:r>
              <w:rPr>
                <w:rFonts w:hint="eastAsia" w:ascii="宋体" w:hAnsi="宋体"/>
                <w:bCs/>
                <w:iCs/>
                <w:sz w:val="24"/>
                <w:szCs w:val="24"/>
                <w:lang w:val="en-US" w:eastAsia="zh-CN"/>
              </w:rPr>
              <w:t>6</w:t>
            </w:r>
            <w:r>
              <w:rPr>
                <w:rFonts w:hint="eastAsia" w:ascii="宋体" w:hAnsi="宋体"/>
                <w:bCs/>
                <w:iCs/>
                <w:sz w:val="24"/>
                <w:szCs w:val="24"/>
              </w:rPr>
              <w:t>年</w:t>
            </w:r>
            <w:r>
              <w:rPr>
                <w:rFonts w:hint="eastAsia" w:ascii="宋体" w:hAnsi="宋体"/>
                <w:bCs/>
                <w:iCs/>
                <w:sz w:val="24"/>
                <w:szCs w:val="24"/>
                <w:lang w:val="en-US" w:eastAsia="zh-CN"/>
              </w:rPr>
              <w:t>1</w:t>
            </w:r>
            <w:r>
              <w:rPr>
                <w:rFonts w:hint="eastAsia" w:ascii="宋体" w:hAnsi="宋体"/>
                <w:bCs/>
                <w:iCs/>
                <w:sz w:val="24"/>
                <w:szCs w:val="24"/>
              </w:rPr>
              <w:t>月</w:t>
            </w:r>
            <w:r>
              <w:rPr>
                <w:rFonts w:hint="eastAsia" w:ascii="宋体" w:hAnsi="宋体"/>
                <w:bCs/>
                <w:iCs/>
                <w:sz w:val="24"/>
                <w:szCs w:val="24"/>
                <w:lang w:val="en-US" w:eastAsia="zh-CN"/>
              </w:rPr>
              <w:t>30</w:t>
            </w:r>
            <w:r>
              <w:rPr>
                <w:rFonts w:hint="eastAsia" w:ascii="宋体" w:hAnsi="宋体"/>
                <w:bCs/>
                <w:iCs/>
                <w:sz w:val="24"/>
                <w:szCs w:val="24"/>
              </w:rPr>
              <w:t>日</w:t>
            </w:r>
          </w:p>
        </w:tc>
      </w:tr>
    </w:tbl>
    <w:p w14:paraId="03B5AC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zZmUwOTBlYTVlMmIzMWQ1NjQ2Y2Y2ZjQwNjc4M2MifQ=="/>
  </w:docVars>
  <w:rsids>
    <w:rsidRoot w:val="006B0E6C"/>
    <w:rsid w:val="00012FF9"/>
    <w:rsid w:val="00024B0C"/>
    <w:rsid w:val="00026B32"/>
    <w:rsid w:val="000319E4"/>
    <w:rsid w:val="000567C9"/>
    <w:rsid w:val="000725F0"/>
    <w:rsid w:val="0007685E"/>
    <w:rsid w:val="0009705E"/>
    <w:rsid w:val="000B749A"/>
    <w:rsid w:val="000E5E3F"/>
    <w:rsid w:val="000F0580"/>
    <w:rsid w:val="00102412"/>
    <w:rsid w:val="00140897"/>
    <w:rsid w:val="001471A8"/>
    <w:rsid w:val="001624AA"/>
    <w:rsid w:val="001B3C99"/>
    <w:rsid w:val="001C7E6F"/>
    <w:rsid w:val="001D4ADB"/>
    <w:rsid w:val="001D5099"/>
    <w:rsid w:val="001D5862"/>
    <w:rsid w:val="001E7AAB"/>
    <w:rsid w:val="002506CB"/>
    <w:rsid w:val="002738EB"/>
    <w:rsid w:val="002A1DD2"/>
    <w:rsid w:val="002A5AE9"/>
    <w:rsid w:val="002C1BE0"/>
    <w:rsid w:val="002C236D"/>
    <w:rsid w:val="002C257C"/>
    <w:rsid w:val="002D269B"/>
    <w:rsid w:val="002D4EB5"/>
    <w:rsid w:val="002E4C56"/>
    <w:rsid w:val="00341F42"/>
    <w:rsid w:val="00353A22"/>
    <w:rsid w:val="00390F87"/>
    <w:rsid w:val="003A2F8E"/>
    <w:rsid w:val="00400BF7"/>
    <w:rsid w:val="00402F61"/>
    <w:rsid w:val="00406E0C"/>
    <w:rsid w:val="004141EC"/>
    <w:rsid w:val="0045011A"/>
    <w:rsid w:val="004679DD"/>
    <w:rsid w:val="0048673F"/>
    <w:rsid w:val="004B273D"/>
    <w:rsid w:val="004B50E8"/>
    <w:rsid w:val="004B66F0"/>
    <w:rsid w:val="004C5FBC"/>
    <w:rsid w:val="00507C47"/>
    <w:rsid w:val="00523713"/>
    <w:rsid w:val="00523E68"/>
    <w:rsid w:val="00563454"/>
    <w:rsid w:val="005A1266"/>
    <w:rsid w:val="005B6121"/>
    <w:rsid w:val="005D4382"/>
    <w:rsid w:val="005D5D85"/>
    <w:rsid w:val="00607ACD"/>
    <w:rsid w:val="00637635"/>
    <w:rsid w:val="006526A4"/>
    <w:rsid w:val="00656DA9"/>
    <w:rsid w:val="006627D7"/>
    <w:rsid w:val="006665D0"/>
    <w:rsid w:val="00677225"/>
    <w:rsid w:val="00684C11"/>
    <w:rsid w:val="00687C01"/>
    <w:rsid w:val="006B0E6C"/>
    <w:rsid w:val="006B7EA4"/>
    <w:rsid w:val="006E316F"/>
    <w:rsid w:val="006E5E91"/>
    <w:rsid w:val="00711003"/>
    <w:rsid w:val="00731640"/>
    <w:rsid w:val="00733B61"/>
    <w:rsid w:val="007A7869"/>
    <w:rsid w:val="007E4680"/>
    <w:rsid w:val="007F5CBB"/>
    <w:rsid w:val="0082201F"/>
    <w:rsid w:val="008251D4"/>
    <w:rsid w:val="0082608C"/>
    <w:rsid w:val="00834152"/>
    <w:rsid w:val="008452B6"/>
    <w:rsid w:val="00847741"/>
    <w:rsid w:val="00862FD7"/>
    <w:rsid w:val="008757E2"/>
    <w:rsid w:val="0088003D"/>
    <w:rsid w:val="008920C5"/>
    <w:rsid w:val="00893294"/>
    <w:rsid w:val="008A05FF"/>
    <w:rsid w:val="008B50AF"/>
    <w:rsid w:val="008C2311"/>
    <w:rsid w:val="008D6036"/>
    <w:rsid w:val="008F7B68"/>
    <w:rsid w:val="00915919"/>
    <w:rsid w:val="0094524F"/>
    <w:rsid w:val="0095082C"/>
    <w:rsid w:val="009572F5"/>
    <w:rsid w:val="00964EC8"/>
    <w:rsid w:val="009A7C52"/>
    <w:rsid w:val="009B74E9"/>
    <w:rsid w:val="009C0D7B"/>
    <w:rsid w:val="009E28F7"/>
    <w:rsid w:val="009F7FC9"/>
    <w:rsid w:val="00A14C40"/>
    <w:rsid w:val="00A55DD9"/>
    <w:rsid w:val="00A721C6"/>
    <w:rsid w:val="00A76DAD"/>
    <w:rsid w:val="00AA18AF"/>
    <w:rsid w:val="00AA5CA4"/>
    <w:rsid w:val="00AC10E3"/>
    <w:rsid w:val="00AF58D5"/>
    <w:rsid w:val="00B153F6"/>
    <w:rsid w:val="00B540CC"/>
    <w:rsid w:val="00B5502C"/>
    <w:rsid w:val="00B9522E"/>
    <w:rsid w:val="00BA22D8"/>
    <w:rsid w:val="00BA317D"/>
    <w:rsid w:val="00BA7566"/>
    <w:rsid w:val="00BB062A"/>
    <w:rsid w:val="00BC30BC"/>
    <w:rsid w:val="00BC4429"/>
    <w:rsid w:val="00C04C5F"/>
    <w:rsid w:val="00C1199C"/>
    <w:rsid w:val="00C277E3"/>
    <w:rsid w:val="00C34A89"/>
    <w:rsid w:val="00C42A9B"/>
    <w:rsid w:val="00C43D8D"/>
    <w:rsid w:val="00C6373E"/>
    <w:rsid w:val="00CA4B6F"/>
    <w:rsid w:val="00CB10AD"/>
    <w:rsid w:val="00CE453C"/>
    <w:rsid w:val="00D275D1"/>
    <w:rsid w:val="00D3401F"/>
    <w:rsid w:val="00DA2E08"/>
    <w:rsid w:val="00DA33FA"/>
    <w:rsid w:val="00E21A42"/>
    <w:rsid w:val="00E60C15"/>
    <w:rsid w:val="00E63305"/>
    <w:rsid w:val="00E70E7E"/>
    <w:rsid w:val="00E731FF"/>
    <w:rsid w:val="00E977B9"/>
    <w:rsid w:val="00EA6C50"/>
    <w:rsid w:val="00ED2E98"/>
    <w:rsid w:val="00F02073"/>
    <w:rsid w:val="00F0255E"/>
    <w:rsid w:val="00F13448"/>
    <w:rsid w:val="00F1460F"/>
    <w:rsid w:val="00FA0531"/>
    <w:rsid w:val="00FB0A30"/>
    <w:rsid w:val="00FB63DB"/>
    <w:rsid w:val="00FD5FFE"/>
    <w:rsid w:val="00FF0C19"/>
    <w:rsid w:val="0102159D"/>
    <w:rsid w:val="01033B0B"/>
    <w:rsid w:val="03161EC4"/>
    <w:rsid w:val="036624E2"/>
    <w:rsid w:val="04A2573B"/>
    <w:rsid w:val="081A2C02"/>
    <w:rsid w:val="097C2730"/>
    <w:rsid w:val="0C6A5F98"/>
    <w:rsid w:val="0D101EE5"/>
    <w:rsid w:val="0E4137B5"/>
    <w:rsid w:val="10B75BCF"/>
    <w:rsid w:val="11CC15E8"/>
    <w:rsid w:val="138B6D79"/>
    <w:rsid w:val="13FB7F63"/>
    <w:rsid w:val="143936D8"/>
    <w:rsid w:val="14AB3737"/>
    <w:rsid w:val="19687E48"/>
    <w:rsid w:val="1B245F4B"/>
    <w:rsid w:val="20484530"/>
    <w:rsid w:val="23DB0CFF"/>
    <w:rsid w:val="244F4E04"/>
    <w:rsid w:val="255524A9"/>
    <w:rsid w:val="2604539D"/>
    <w:rsid w:val="263537A8"/>
    <w:rsid w:val="27820E25"/>
    <w:rsid w:val="28427FAC"/>
    <w:rsid w:val="2AF94DA4"/>
    <w:rsid w:val="2C7E555C"/>
    <w:rsid w:val="2CAD5E46"/>
    <w:rsid w:val="2EB86D24"/>
    <w:rsid w:val="2FA6283A"/>
    <w:rsid w:val="305111DE"/>
    <w:rsid w:val="30E65DCB"/>
    <w:rsid w:val="31AB2B70"/>
    <w:rsid w:val="32580DB8"/>
    <w:rsid w:val="333F7FD5"/>
    <w:rsid w:val="34D54555"/>
    <w:rsid w:val="34DB551B"/>
    <w:rsid w:val="35BA15D4"/>
    <w:rsid w:val="36260A17"/>
    <w:rsid w:val="39B32F0A"/>
    <w:rsid w:val="3C6978B0"/>
    <w:rsid w:val="3D6A1B31"/>
    <w:rsid w:val="3DE949E0"/>
    <w:rsid w:val="422E137F"/>
    <w:rsid w:val="427F3924"/>
    <w:rsid w:val="42D55C9F"/>
    <w:rsid w:val="430A338A"/>
    <w:rsid w:val="430E5F3A"/>
    <w:rsid w:val="431C38CE"/>
    <w:rsid w:val="447C0AC8"/>
    <w:rsid w:val="48575181"/>
    <w:rsid w:val="49900928"/>
    <w:rsid w:val="4A4B6399"/>
    <w:rsid w:val="4ACC3E2B"/>
    <w:rsid w:val="4D3C424C"/>
    <w:rsid w:val="4FEE214E"/>
    <w:rsid w:val="50E53551"/>
    <w:rsid w:val="52112EE8"/>
    <w:rsid w:val="526C7226"/>
    <w:rsid w:val="55620BB0"/>
    <w:rsid w:val="570F30D6"/>
    <w:rsid w:val="577C7840"/>
    <w:rsid w:val="57C7266E"/>
    <w:rsid w:val="59367040"/>
    <w:rsid w:val="59521A6D"/>
    <w:rsid w:val="5A9B2ED2"/>
    <w:rsid w:val="5D0E5BDE"/>
    <w:rsid w:val="5D58096B"/>
    <w:rsid w:val="5F97635E"/>
    <w:rsid w:val="6051650D"/>
    <w:rsid w:val="60634492"/>
    <w:rsid w:val="6196077A"/>
    <w:rsid w:val="63C27722"/>
    <w:rsid w:val="63FA21A1"/>
    <w:rsid w:val="64194A1E"/>
    <w:rsid w:val="65640F66"/>
    <w:rsid w:val="66D44878"/>
    <w:rsid w:val="675B18CF"/>
    <w:rsid w:val="698A2A90"/>
    <w:rsid w:val="6A333127"/>
    <w:rsid w:val="6B317667"/>
    <w:rsid w:val="6BFA38B5"/>
    <w:rsid w:val="6E5B52BA"/>
    <w:rsid w:val="6E5E3AE5"/>
    <w:rsid w:val="702B30AF"/>
    <w:rsid w:val="754911D3"/>
    <w:rsid w:val="767A3346"/>
    <w:rsid w:val="771E4103"/>
    <w:rsid w:val="79951709"/>
    <w:rsid w:val="7A401D4D"/>
    <w:rsid w:val="7B481E41"/>
    <w:rsid w:val="7B5C31C8"/>
    <w:rsid w:val="7E7C69F3"/>
    <w:rsid w:val="7EE12CFA"/>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Strong"/>
    <w:basedOn w:val="10"/>
    <w:qFormat/>
    <w:uiPriority w:val="0"/>
    <w:rPr>
      <w:b/>
    </w:rPr>
  </w:style>
  <w:style w:type="character" w:customStyle="1" w:styleId="12">
    <w:name w:val="标题 2 字符"/>
    <w:basedOn w:val="10"/>
    <w:link w:val="2"/>
    <w:qFormat/>
    <w:uiPriority w:val="9"/>
    <w:rPr>
      <w:rFonts w:asciiTheme="majorHAnsi" w:hAnsiTheme="majorHAnsi" w:eastAsiaTheme="majorEastAsia" w:cstheme="majorBidi"/>
      <w:b/>
      <w:bCs/>
      <w:sz w:val="32"/>
      <w:szCs w:val="32"/>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页眉 字符"/>
    <w:basedOn w:val="10"/>
    <w:link w:val="7"/>
    <w:qFormat/>
    <w:uiPriority w:val="99"/>
    <w:rPr>
      <w:rFonts w:ascii="Times New Roman" w:hAnsi="Times New Roman" w:eastAsia="宋体" w:cs="Times New Roman"/>
      <w:sz w:val="18"/>
      <w:szCs w:val="18"/>
    </w:rPr>
  </w:style>
  <w:style w:type="character" w:customStyle="1" w:styleId="15">
    <w:name w:val="页脚 字符"/>
    <w:basedOn w:val="10"/>
    <w:link w:val="6"/>
    <w:qFormat/>
    <w:uiPriority w:val="99"/>
    <w:rPr>
      <w:rFonts w:ascii="Times New Roman" w:hAnsi="Times New Roman" w:eastAsia="宋体" w:cs="Times New Roman"/>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1479</Words>
  <Characters>1507</Characters>
  <Lines>13</Lines>
  <Paragraphs>3</Paragraphs>
  <TotalTime>1</TotalTime>
  <ScaleCrop>false</ScaleCrop>
  <LinksUpToDate>false</LinksUpToDate>
  <CharactersWithSpaces>1636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2021-03-02T08:03:00Z</dcterms:created>
  <dc:creator>张园园</dc:creator>
  <cp:lastModifiedBy>。</cp:lastModifiedBy>
  <dcterms:modified xsi:type="dcterms:W3CDTF">2026-02-04T09:21:57Z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9F6D07F765AB4CD1AA854BF2EAD27CBD_13</vt:lpwstr>
  </property>
  <property fmtid="{D5CDD505-2E9C-101B-9397-08002B2CF9AE}" pid="4" name="KSOTemplateDocerSaveRecord">
    <vt:lpwstr>eyJoZGlkIjoiN2FiZmE1Yjc1YjUyZjRkMzZhNzkxNTM0N2VkYjYzYjIiLCJ1c2VySWQiOiI0NDA0ODk2MDYifQ==</vt:lpwstr>
  </property>
</Properties>
</file>