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E9295" w14:textId="77777777" w:rsidR="00CD38B7" w:rsidRPr="002E1ADD" w:rsidRDefault="00CD38B7" w:rsidP="00CD38B7">
      <w:pPr>
        <w:spacing w:after="0" w:line="480" w:lineRule="exact"/>
        <w:rPr>
          <w:rFonts w:asciiTheme="minorEastAsia" w:eastAsiaTheme="minorEastAsia" w:hAnsiTheme="minorEastAsia"/>
          <w:sz w:val="24"/>
          <w:szCs w:val="24"/>
        </w:rPr>
      </w:pPr>
      <w:r w:rsidRPr="002E1ADD">
        <w:rPr>
          <w:rFonts w:asciiTheme="minorEastAsia" w:eastAsiaTheme="minorEastAsia" w:hAnsiTheme="minorEastAsia" w:hint="eastAsia"/>
          <w:sz w:val="24"/>
          <w:szCs w:val="24"/>
        </w:rPr>
        <w:t>证券代码：</w:t>
      </w:r>
      <w:r w:rsidR="00C24AFB" w:rsidRPr="002E1ADD">
        <w:rPr>
          <w:rFonts w:asciiTheme="minorEastAsia" w:eastAsiaTheme="minorEastAsia" w:hAnsiTheme="minorEastAsia" w:hint="eastAsia"/>
          <w:sz w:val="24"/>
          <w:szCs w:val="24"/>
        </w:rPr>
        <w:t>603826</w:t>
      </w:r>
      <w:r w:rsidR="002F7FAA" w:rsidRPr="002E1ADD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2E1ADD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C24AFB" w:rsidRPr="002E1ADD">
        <w:rPr>
          <w:rFonts w:asciiTheme="minorEastAsia" w:eastAsiaTheme="minorEastAsia" w:hAnsiTheme="minorEastAsia"/>
          <w:sz w:val="24"/>
          <w:szCs w:val="24"/>
        </w:rPr>
        <w:t xml:space="preserve">   </w:t>
      </w:r>
      <w:r w:rsidR="00C24AFB" w:rsidRPr="002E1AD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2E1ADD">
        <w:rPr>
          <w:rFonts w:asciiTheme="minorEastAsia" w:eastAsiaTheme="minorEastAsia" w:hAnsiTheme="minorEastAsia" w:hint="eastAsia"/>
          <w:sz w:val="24"/>
          <w:szCs w:val="24"/>
        </w:rPr>
        <w:t xml:space="preserve"> 证券简称：</w:t>
      </w:r>
      <w:proofErr w:type="gramStart"/>
      <w:r w:rsidR="00C24AFB" w:rsidRPr="002E1ADD">
        <w:rPr>
          <w:rFonts w:asciiTheme="minorEastAsia" w:eastAsiaTheme="minorEastAsia" w:hAnsiTheme="minorEastAsia" w:hint="eastAsia"/>
          <w:sz w:val="24"/>
          <w:szCs w:val="24"/>
        </w:rPr>
        <w:t>坤彩科技</w:t>
      </w:r>
      <w:proofErr w:type="gramEnd"/>
      <w:r w:rsidR="002F7FAA" w:rsidRPr="002E1AD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2F7FAA" w:rsidRPr="002E1ADD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C24AFB" w:rsidRPr="002E1AD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2E1ADD">
        <w:rPr>
          <w:rFonts w:asciiTheme="minorEastAsia" w:eastAsiaTheme="minorEastAsia" w:hAnsiTheme="minorEastAsia" w:hint="eastAsia"/>
          <w:sz w:val="24"/>
          <w:szCs w:val="24"/>
        </w:rPr>
        <w:t xml:space="preserve">    文件编号：</w:t>
      </w:r>
      <w:r w:rsidR="00DE0F19" w:rsidRPr="002E1ADD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3817A9">
        <w:rPr>
          <w:rFonts w:asciiTheme="minorEastAsia" w:eastAsiaTheme="minorEastAsia" w:hAnsiTheme="minorEastAsia"/>
          <w:sz w:val="24"/>
          <w:szCs w:val="24"/>
        </w:rPr>
        <w:t>2</w:t>
      </w:r>
      <w:r w:rsidR="00BE2CFA">
        <w:rPr>
          <w:rFonts w:asciiTheme="minorEastAsia" w:eastAsiaTheme="minorEastAsia" w:hAnsiTheme="minorEastAsia"/>
          <w:sz w:val="24"/>
          <w:szCs w:val="24"/>
        </w:rPr>
        <w:t>6</w:t>
      </w:r>
      <w:r w:rsidRPr="002E1ADD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C24AFB" w:rsidRPr="002E1ADD">
        <w:rPr>
          <w:rFonts w:asciiTheme="minorEastAsia" w:eastAsiaTheme="minorEastAsia" w:hAnsiTheme="minorEastAsia"/>
          <w:sz w:val="24"/>
          <w:szCs w:val="24"/>
        </w:rPr>
        <w:t>0</w:t>
      </w:r>
      <w:r w:rsidR="003817A9">
        <w:rPr>
          <w:rFonts w:asciiTheme="minorEastAsia" w:eastAsiaTheme="minorEastAsia" w:hAnsiTheme="minorEastAsia"/>
          <w:sz w:val="24"/>
          <w:szCs w:val="24"/>
        </w:rPr>
        <w:t>0</w:t>
      </w:r>
      <w:r w:rsidR="009013DE">
        <w:rPr>
          <w:rFonts w:asciiTheme="minorEastAsia" w:eastAsiaTheme="minorEastAsia" w:hAnsiTheme="minorEastAsia"/>
          <w:sz w:val="24"/>
          <w:szCs w:val="24"/>
        </w:rPr>
        <w:t>1</w:t>
      </w:r>
    </w:p>
    <w:p w14:paraId="36CA453B" w14:textId="77777777" w:rsidR="00DD60B7" w:rsidRPr="002E1ADD" w:rsidRDefault="00C24AFB" w:rsidP="00A862B8">
      <w:pPr>
        <w:spacing w:beforeLines="50" w:before="120" w:after="0" w:line="4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E1ADD">
        <w:rPr>
          <w:rFonts w:asciiTheme="minorEastAsia" w:eastAsiaTheme="minorEastAsia" w:hAnsiTheme="minorEastAsia" w:hint="eastAsia"/>
          <w:b/>
          <w:sz w:val="28"/>
          <w:szCs w:val="28"/>
        </w:rPr>
        <w:t>福建坤彩材料科技股份有限公司</w:t>
      </w:r>
    </w:p>
    <w:p w14:paraId="08CEBFE1" w14:textId="77777777" w:rsidR="00CD38B7" w:rsidRPr="002E1ADD" w:rsidRDefault="00CD38B7" w:rsidP="00A862B8">
      <w:pPr>
        <w:spacing w:afterLines="50" w:after="120" w:line="4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E1ADD">
        <w:rPr>
          <w:rFonts w:asciiTheme="minorEastAsia" w:eastAsiaTheme="minorEastAsia" w:hAnsiTheme="minorEastAsia" w:hint="eastAsia"/>
          <w:b/>
          <w:sz w:val="28"/>
          <w:szCs w:val="28"/>
        </w:rPr>
        <w:t>投资者关系活动记录表</w:t>
      </w:r>
    </w:p>
    <w:tbl>
      <w:tblPr>
        <w:tblStyle w:val="a3"/>
        <w:tblW w:w="8940" w:type="dxa"/>
        <w:tblLook w:val="04A0" w:firstRow="1" w:lastRow="0" w:firstColumn="1" w:lastColumn="0" w:noHBand="0" w:noVBand="1"/>
      </w:tblPr>
      <w:tblGrid>
        <w:gridCol w:w="1319"/>
        <w:gridCol w:w="7621"/>
      </w:tblGrid>
      <w:tr w:rsidR="00CD38B7" w:rsidRPr="002E1ADD" w14:paraId="61D1412E" w14:textId="77777777" w:rsidTr="00754F02">
        <w:trPr>
          <w:trHeight w:val="2572"/>
        </w:trPr>
        <w:tc>
          <w:tcPr>
            <w:tcW w:w="1319" w:type="dxa"/>
            <w:vAlign w:val="center"/>
          </w:tcPr>
          <w:p w14:paraId="7EA3CD3D" w14:textId="77777777" w:rsidR="00CD38B7" w:rsidRPr="002E1ADD" w:rsidRDefault="00CD38B7" w:rsidP="00CD38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621" w:type="dxa"/>
            <w:vAlign w:val="center"/>
          </w:tcPr>
          <w:p w14:paraId="6D058755" w14:textId="77777777" w:rsidR="00CD38B7" w:rsidRPr="002E1ADD" w:rsidRDefault="00FC6AB3" w:rsidP="00CD38B7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CD38B7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特定对象调研  </w:t>
            </w:r>
            <w:r w:rsidR="00996AD1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BC79DB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="00996AD1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CD38B7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□分析师会议</w:t>
            </w:r>
          </w:p>
          <w:p w14:paraId="0825B08F" w14:textId="77777777" w:rsidR="00CD38B7" w:rsidRPr="002E1ADD" w:rsidRDefault="00CD38B7" w:rsidP="00CD38B7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□媒体采访       </w:t>
            </w:r>
            <w:r w:rsidR="00996AD1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C79DB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="00996AD1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□业绩说明会</w:t>
            </w:r>
          </w:p>
          <w:p w14:paraId="28F307FC" w14:textId="77777777" w:rsidR="00CD38B7" w:rsidRPr="002E1ADD" w:rsidRDefault="00CD38B7" w:rsidP="00CD38B7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□新闻发布会    </w:t>
            </w:r>
            <w:r w:rsidR="00996AD1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="00BC79DB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□路演活动</w:t>
            </w:r>
          </w:p>
          <w:p w14:paraId="0E862491" w14:textId="77777777" w:rsidR="00CD38B7" w:rsidRPr="002E1ADD" w:rsidRDefault="009013DE" w:rsidP="00B84F5A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  <w:r w:rsidR="00CD38B7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现场参观</w:t>
            </w:r>
          </w:p>
          <w:p w14:paraId="4B35963B" w14:textId="77777777" w:rsidR="00B84F5A" w:rsidRPr="002E1ADD" w:rsidRDefault="00FC6AB3" w:rsidP="00B84F5A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  <w:r w:rsidR="00B84F5A"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（“我是股东”</w:t>
            </w:r>
            <w:proofErr w:type="gramStart"/>
            <w:r w:rsidRPr="00FC6AB3">
              <w:rPr>
                <w:rFonts w:asciiTheme="minorEastAsia" w:eastAsiaTheme="minorEastAsia" w:hAnsiTheme="minorEastAsia" w:hint="eastAsia"/>
                <w:sz w:val="24"/>
                <w:szCs w:val="24"/>
              </w:rPr>
              <w:t>走进沪</w:t>
            </w:r>
            <w:proofErr w:type="gramEnd"/>
            <w:r w:rsidRPr="00FC6AB3">
              <w:rPr>
                <w:rFonts w:asciiTheme="minorEastAsia" w:eastAsiaTheme="minorEastAsia" w:hAnsiTheme="minorEastAsia" w:hint="eastAsia"/>
                <w:sz w:val="24"/>
                <w:szCs w:val="24"/>
              </w:rPr>
              <w:t>市上市公司活动）</w:t>
            </w:r>
            <w:r w:rsidR="00B84F5A" w:rsidRPr="002E1ADD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  <w:tr w:rsidR="00CD38B7" w:rsidRPr="00457E3A" w14:paraId="7F22B86D" w14:textId="77777777" w:rsidTr="00754F02">
        <w:trPr>
          <w:trHeight w:val="947"/>
        </w:trPr>
        <w:tc>
          <w:tcPr>
            <w:tcW w:w="1319" w:type="dxa"/>
            <w:vAlign w:val="center"/>
          </w:tcPr>
          <w:p w14:paraId="33BE6332" w14:textId="77777777" w:rsidR="00CD38B7" w:rsidRPr="002E1ADD" w:rsidRDefault="00CD38B7" w:rsidP="00CD38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参与单位名称</w:t>
            </w:r>
          </w:p>
        </w:tc>
        <w:tc>
          <w:tcPr>
            <w:tcW w:w="7621" w:type="dxa"/>
            <w:vAlign w:val="center"/>
          </w:tcPr>
          <w:p w14:paraId="29F034B4" w14:textId="121B3E82" w:rsidR="00CD38B7" w:rsidRPr="002E1ADD" w:rsidRDefault="00EA26DA" w:rsidP="002F7FAA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26DA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上海证券交易所、福建证监局、福建省证券期货业协会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EA26DA">
              <w:rPr>
                <w:rFonts w:asciiTheme="minorEastAsia" w:eastAsiaTheme="minorEastAsia" w:hAnsiTheme="minorEastAsia" w:hint="eastAsia"/>
                <w:sz w:val="24"/>
                <w:szCs w:val="24"/>
              </w:rPr>
              <w:t>福建省上市公司协会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FC6AB3" w:rsidRPr="00FC6AB3">
              <w:rPr>
                <w:rFonts w:asciiTheme="minorEastAsia" w:eastAsiaTheme="minorEastAsia" w:hAnsiTheme="minorEastAsia" w:hint="eastAsia"/>
                <w:sz w:val="24"/>
                <w:szCs w:val="24"/>
              </w:rPr>
              <w:t>华福证券</w:t>
            </w:r>
            <w:r w:rsidR="00FC6AB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FC6AB3" w:rsidRPr="00FC6AB3">
              <w:rPr>
                <w:rFonts w:asciiTheme="minorEastAsia" w:eastAsiaTheme="minorEastAsia" w:hAnsiTheme="minorEastAsia" w:hint="eastAsia"/>
                <w:sz w:val="24"/>
                <w:szCs w:val="24"/>
              </w:rPr>
              <w:t>福州大学MBA班</w:t>
            </w:r>
            <w:r w:rsidR="00E304C5">
              <w:rPr>
                <w:rFonts w:asciiTheme="minorEastAsia" w:eastAsiaTheme="minorEastAsia" w:hAnsiTheme="minorEastAsia" w:hint="eastAsia"/>
                <w:sz w:val="24"/>
                <w:szCs w:val="24"/>
              </w:rPr>
              <w:t>及个人</w:t>
            </w:r>
            <w:r w:rsidR="00F51702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投资者</w:t>
            </w:r>
          </w:p>
        </w:tc>
      </w:tr>
      <w:tr w:rsidR="00CD38B7" w:rsidRPr="002E1ADD" w14:paraId="6F6CAACF" w14:textId="77777777" w:rsidTr="00754F02">
        <w:trPr>
          <w:trHeight w:val="481"/>
        </w:trPr>
        <w:tc>
          <w:tcPr>
            <w:tcW w:w="1319" w:type="dxa"/>
            <w:vAlign w:val="center"/>
          </w:tcPr>
          <w:p w14:paraId="720A2209" w14:textId="77777777" w:rsidR="00CD38B7" w:rsidRPr="002E1ADD" w:rsidRDefault="00CD38B7" w:rsidP="00CD38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7621" w:type="dxa"/>
            <w:vAlign w:val="center"/>
          </w:tcPr>
          <w:p w14:paraId="09C8979A" w14:textId="77777777" w:rsidR="00CD38B7" w:rsidRPr="002E1ADD" w:rsidRDefault="00C24AFB" w:rsidP="009013DE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="003817A9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FC6AB3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FC6AB3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FC6AB3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FB5EB5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D38B7" w:rsidRPr="00105226" w14:paraId="429D9E29" w14:textId="77777777" w:rsidTr="00754F02">
        <w:trPr>
          <w:trHeight w:val="481"/>
        </w:trPr>
        <w:tc>
          <w:tcPr>
            <w:tcW w:w="1319" w:type="dxa"/>
            <w:vAlign w:val="center"/>
          </w:tcPr>
          <w:p w14:paraId="36E1CC6C" w14:textId="77777777" w:rsidR="00CD38B7" w:rsidRPr="002E1ADD" w:rsidRDefault="00CD38B7" w:rsidP="00CD38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7621" w:type="dxa"/>
            <w:vAlign w:val="center"/>
          </w:tcPr>
          <w:p w14:paraId="0F6C2394" w14:textId="77777777" w:rsidR="00CD38B7" w:rsidRPr="002E1ADD" w:rsidRDefault="00E304C5" w:rsidP="0061128F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304C5">
              <w:rPr>
                <w:rFonts w:asciiTheme="minorEastAsia" w:eastAsiaTheme="minorEastAsia" w:hAnsiTheme="minorEastAsia" w:hint="eastAsia"/>
                <w:sz w:val="24"/>
                <w:szCs w:val="24"/>
              </w:rPr>
              <w:t>福建省福州市福清市</w:t>
            </w:r>
            <w:proofErr w:type="gramStart"/>
            <w:r w:rsidRPr="00E304C5">
              <w:rPr>
                <w:rFonts w:asciiTheme="minorEastAsia" w:eastAsiaTheme="minorEastAsia" w:hAnsiTheme="minorEastAsia" w:hint="eastAsia"/>
                <w:sz w:val="24"/>
                <w:szCs w:val="24"/>
              </w:rPr>
              <w:t>江阴港</w:t>
            </w:r>
            <w:proofErr w:type="gramEnd"/>
            <w:r w:rsidRPr="00E304C5">
              <w:rPr>
                <w:rFonts w:asciiTheme="minorEastAsia" w:eastAsiaTheme="minorEastAsia" w:hAnsiTheme="minorEastAsia" w:hint="eastAsia"/>
                <w:sz w:val="24"/>
                <w:szCs w:val="24"/>
              </w:rPr>
              <w:t>城经济区华兴支路1号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</w:t>
            </w:r>
            <w:r w:rsidR="0040654D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会议室</w:t>
            </w:r>
          </w:p>
        </w:tc>
      </w:tr>
      <w:tr w:rsidR="00CD38B7" w:rsidRPr="002E1ADD" w14:paraId="29D864D5" w14:textId="77777777" w:rsidTr="00754F02">
        <w:trPr>
          <w:trHeight w:val="947"/>
        </w:trPr>
        <w:tc>
          <w:tcPr>
            <w:tcW w:w="1319" w:type="dxa"/>
            <w:vAlign w:val="center"/>
          </w:tcPr>
          <w:p w14:paraId="33C969FB" w14:textId="77777777" w:rsidR="00CD38B7" w:rsidRPr="002E1ADD" w:rsidRDefault="00CD38B7" w:rsidP="00CD38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接待人员姓名</w:t>
            </w:r>
          </w:p>
        </w:tc>
        <w:tc>
          <w:tcPr>
            <w:tcW w:w="7621" w:type="dxa"/>
            <w:vAlign w:val="center"/>
          </w:tcPr>
          <w:p w14:paraId="50F388EA" w14:textId="77777777" w:rsidR="00CD38B7" w:rsidRPr="002E1ADD" w:rsidRDefault="002B57ED" w:rsidP="00A85F31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董事长兼总经理谢秉昆先生、</w:t>
            </w:r>
            <w:r w:rsidR="00E304C5">
              <w:rPr>
                <w:rFonts w:asciiTheme="minorEastAsia" w:eastAsiaTheme="minorEastAsia" w:hAnsiTheme="minorEastAsia" w:hint="eastAsia"/>
                <w:sz w:val="24"/>
                <w:szCs w:val="24"/>
              </w:rPr>
              <w:t>财务负责人</w:t>
            </w:r>
            <w:r w:rsidR="00FC6AB3">
              <w:rPr>
                <w:rFonts w:asciiTheme="minorEastAsia" w:eastAsiaTheme="minorEastAsia" w:hAnsiTheme="minorEastAsia" w:hint="eastAsia"/>
                <w:sz w:val="24"/>
                <w:szCs w:val="24"/>
              </w:rPr>
              <w:t>桂后圆先生、董事会秘书黄蓝菲</w:t>
            </w:r>
            <w:r w:rsidR="006A1CF9">
              <w:rPr>
                <w:rFonts w:asciiTheme="minorEastAsia" w:eastAsiaTheme="minorEastAsia" w:hAnsiTheme="minorEastAsia" w:hint="eastAsia"/>
                <w:sz w:val="24"/>
                <w:szCs w:val="24"/>
              </w:rPr>
              <w:t>女士</w:t>
            </w:r>
          </w:p>
        </w:tc>
      </w:tr>
      <w:tr w:rsidR="00CD38B7" w:rsidRPr="002E1ADD" w14:paraId="3CCBBF08" w14:textId="77777777" w:rsidTr="00754F02">
        <w:trPr>
          <w:trHeight w:val="3850"/>
        </w:trPr>
        <w:tc>
          <w:tcPr>
            <w:tcW w:w="1319" w:type="dxa"/>
            <w:vAlign w:val="center"/>
          </w:tcPr>
          <w:p w14:paraId="6DA10177" w14:textId="77777777" w:rsidR="00CD38B7" w:rsidRPr="002E1ADD" w:rsidRDefault="00CD38B7" w:rsidP="00CD38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621" w:type="dxa"/>
            <w:vAlign w:val="center"/>
          </w:tcPr>
          <w:p w14:paraId="54C21403" w14:textId="77777777" w:rsidR="00E304C5" w:rsidRPr="00E304C5" w:rsidRDefault="00E304C5" w:rsidP="009013DE">
            <w:pPr>
              <w:spacing w:line="48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304C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一、活动背景介绍</w:t>
            </w:r>
          </w:p>
          <w:p w14:paraId="34869294" w14:textId="6961B856" w:rsidR="00E304C5" w:rsidRDefault="00EA26DA" w:rsidP="00E304C5">
            <w:pPr>
              <w:spacing w:line="480" w:lineRule="exact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2026年2月5日，“我是股东”系列活动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走进坤彩科技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B52F10" w:rsidRPr="00B52F10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上海证券交</w:t>
            </w:r>
            <w:r w:rsidR="00B52F10">
              <w:rPr>
                <w:rFonts w:asciiTheme="minorEastAsia" w:eastAsiaTheme="minorEastAsia" w:hAnsiTheme="minorEastAsia" w:hint="eastAsia"/>
                <w:sz w:val="24"/>
                <w:szCs w:val="24"/>
              </w:rPr>
              <w:t>易所、福建证监局、福建省证券期货业协会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B52F10">
              <w:rPr>
                <w:rFonts w:asciiTheme="minorEastAsia" w:eastAsiaTheme="minorEastAsia" w:hAnsiTheme="minorEastAsia" w:hint="eastAsia"/>
                <w:sz w:val="24"/>
                <w:szCs w:val="24"/>
              </w:rPr>
              <w:t>福建省上市公司协会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、华福证券及投资者代表等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齐聚坤彩科技</w:t>
            </w:r>
            <w:proofErr w:type="gramEnd"/>
            <w:r w:rsidR="00E304C5" w:rsidRPr="00E304C5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，公司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带领</w:t>
            </w:r>
            <w:r w:rsidR="00E304C5" w:rsidRPr="00E304C5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投资者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实地参观展厅及智能化生产线，</w:t>
            </w:r>
            <w:r w:rsidRPr="00E304C5">
              <w:rPr>
                <w:rFonts w:asciiTheme="minorEastAsia" w:eastAsiaTheme="minorEastAsia" w:hAnsiTheme="minorEastAsia" w:hint="eastAsia"/>
                <w:sz w:val="24"/>
                <w:szCs w:val="24"/>
              </w:rPr>
              <w:t>帮助投资者了解公司经营与发展情况，充分展示上市公司内在价值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29B2094A" w14:textId="77777777" w:rsidR="00B74C0C" w:rsidRPr="00B74C0C" w:rsidRDefault="00B74C0C" w:rsidP="00E304C5">
            <w:pPr>
              <w:spacing w:line="480" w:lineRule="exact"/>
              <w:ind w:firstLineChars="200" w:firstLine="482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74C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二、投资者交流环节</w:t>
            </w:r>
          </w:p>
          <w:p w14:paraId="1D12E51F" w14:textId="16CD1A08" w:rsidR="00D65FEC" w:rsidRDefault="000E71BF" w:rsidP="00D65FEC">
            <w:pPr>
              <w:spacing w:line="480" w:lineRule="exact"/>
              <w:ind w:firstLineChars="200" w:firstLine="482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71B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问题1：</w:t>
            </w:r>
            <w:r w:rsidR="003E1467" w:rsidRPr="00D65FEC" w:rsidDel="003E146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D65FEC" w:rsidRPr="00D65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2025年</w:t>
            </w:r>
            <w:r w:rsidR="003E146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四个季度公司呈现</w:t>
            </w:r>
            <w:r w:rsidR="00D65FEC" w:rsidRPr="00D65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净利润增速放缓，而营</w:t>
            </w:r>
            <w:proofErr w:type="gramStart"/>
            <w:r w:rsidR="00D65FEC" w:rsidRPr="00D65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收保持</w:t>
            </w:r>
            <w:proofErr w:type="gramEnd"/>
            <w:r w:rsidR="00D65FEC" w:rsidRPr="00D65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增长</w:t>
            </w:r>
            <w:r w:rsidR="003E146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,</w:t>
            </w:r>
            <w:r w:rsidR="00D65FEC" w:rsidRPr="00D65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请问这一“增收缓利”现象主要受钛白粉价格下行影响，还是新业务投入阶段性加大所致？公司如何优化产品结构与成本管控以稳定盈利质量？</w:t>
            </w:r>
          </w:p>
          <w:p w14:paraId="78ECA947" w14:textId="2759545B" w:rsidR="00A35998" w:rsidRPr="00A35998" w:rsidRDefault="00A35998" w:rsidP="00D65FEC">
            <w:pPr>
              <w:spacing w:line="480" w:lineRule="exact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="003E1467" w:rsidDel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7129CE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 w:rsidR="007129CE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7129CE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，受外部市场环境影响，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钛白粉及氧化铁</w:t>
            </w:r>
            <w:r w:rsidR="007129CE">
              <w:rPr>
                <w:rFonts w:asciiTheme="minorEastAsia" w:eastAsiaTheme="minorEastAsia" w:hAnsiTheme="minorEastAsia" w:hint="eastAsia"/>
                <w:sz w:val="24"/>
                <w:szCs w:val="24"/>
              </w:rPr>
              <w:t>市场价格下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行</w:t>
            </w:r>
            <w:r w:rsidR="007129CE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，公司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依照会计准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则</w:t>
            </w:r>
            <w:r w:rsidR="007129CE">
              <w:rPr>
                <w:rFonts w:asciiTheme="minorEastAsia" w:eastAsiaTheme="minorEastAsia" w:hAnsiTheme="minorEastAsia" w:hint="eastAsia"/>
                <w:sz w:val="24"/>
                <w:szCs w:val="24"/>
              </w:rPr>
              <w:t>对相关库存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计提了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减值，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这是影响公司2025年净利润的最大影响因素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公司预期</w:t>
            </w:r>
            <w:r w:rsidR="007129CE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 w:rsidR="004527BE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6E175F">
              <w:rPr>
                <w:rFonts w:asciiTheme="minorEastAsia" w:eastAsiaTheme="minorEastAsia" w:hAnsiTheme="minorEastAsia" w:hint="eastAsia"/>
                <w:sz w:val="24"/>
                <w:szCs w:val="24"/>
              </w:rPr>
              <w:t>这一现象将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会得到明显改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善</w:t>
            </w:r>
            <w:r w:rsidR="006E175F">
              <w:rPr>
                <w:rFonts w:asciiTheme="minorEastAsia" w:eastAsiaTheme="minorEastAsia" w:hAnsiTheme="minorEastAsia" w:hint="eastAsia"/>
                <w:sz w:val="24"/>
                <w:szCs w:val="24"/>
              </w:rPr>
              <w:t>，基于</w:t>
            </w:r>
            <w:r w:rsidR="007129CE">
              <w:rPr>
                <w:rFonts w:asciiTheme="minorEastAsia" w:eastAsiaTheme="minorEastAsia" w:hAnsiTheme="minorEastAsia" w:hint="eastAsia"/>
                <w:sz w:val="24"/>
                <w:szCs w:val="24"/>
              </w:rPr>
              <w:t>钛白粉和氧化铁行业价格处于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周</w:t>
            </w:r>
            <w:bookmarkStart w:id="0" w:name="_GoBack"/>
            <w:bookmarkEnd w:id="0"/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期</w:t>
            </w:r>
            <w:r w:rsidR="007129CE">
              <w:rPr>
                <w:rFonts w:asciiTheme="minorEastAsia" w:eastAsiaTheme="minorEastAsia" w:hAnsiTheme="minorEastAsia" w:hint="eastAsia"/>
                <w:sz w:val="24"/>
                <w:szCs w:val="24"/>
              </w:rPr>
              <w:t>底部，预计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未来将随宏观经济的改善及供求关系的变化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迎来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价格的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回升</w:t>
            </w:r>
            <w:r w:rsidR="003E1467">
              <w:rPr>
                <w:rFonts w:asciiTheme="minorEastAsia" w:eastAsiaTheme="minorEastAsia" w:hAnsiTheme="minorEastAsia" w:hint="eastAsia"/>
                <w:sz w:val="24"/>
                <w:szCs w:val="24"/>
              </w:rPr>
              <w:t>；同时，经过过去几年</w:t>
            </w:r>
            <w:r w:rsidR="00150448">
              <w:rPr>
                <w:rFonts w:asciiTheme="minorEastAsia" w:eastAsiaTheme="minorEastAsia" w:hAnsiTheme="minorEastAsia" w:hint="eastAsia"/>
                <w:sz w:val="24"/>
                <w:szCs w:val="24"/>
              </w:rPr>
              <w:t>的技术优化和市场拓展，公司预期钛白粉及氧化铁业务将在2026年迎来快速增长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 w:rsidR="00150448">
              <w:rPr>
                <w:rFonts w:asciiTheme="minorEastAsia" w:eastAsiaTheme="minorEastAsia" w:hAnsiTheme="minorEastAsia" w:hint="eastAsia"/>
                <w:sz w:val="24"/>
                <w:szCs w:val="24"/>
              </w:rPr>
              <w:t>在公司</w:t>
            </w:r>
            <w:r w:rsidR="006E175F">
              <w:rPr>
                <w:rFonts w:asciiTheme="minorEastAsia" w:eastAsiaTheme="minorEastAsia" w:hAnsiTheme="minorEastAsia" w:hint="eastAsia"/>
                <w:sz w:val="24"/>
                <w:szCs w:val="24"/>
              </w:rPr>
              <w:t>扩大生产</w:t>
            </w:r>
            <w:r w:rsidR="00150448">
              <w:rPr>
                <w:rFonts w:asciiTheme="minorEastAsia" w:eastAsiaTheme="minorEastAsia" w:hAnsiTheme="minorEastAsia" w:hint="eastAsia"/>
                <w:sz w:val="24"/>
                <w:szCs w:val="24"/>
              </w:rPr>
              <w:t>及销售</w:t>
            </w:r>
            <w:r w:rsidR="006E175F">
              <w:rPr>
                <w:rFonts w:asciiTheme="minorEastAsia" w:eastAsiaTheme="minorEastAsia" w:hAnsiTheme="minorEastAsia" w:hint="eastAsia"/>
                <w:sz w:val="24"/>
                <w:szCs w:val="24"/>
              </w:rPr>
              <w:t>规模</w:t>
            </w:r>
            <w:r w:rsidR="00150448">
              <w:rPr>
                <w:rFonts w:asciiTheme="minorEastAsia" w:eastAsiaTheme="minorEastAsia" w:hAnsiTheme="minorEastAsia" w:hint="eastAsia"/>
                <w:sz w:val="24"/>
                <w:szCs w:val="24"/>
              </w:rPr>
              <w:t>的进程中，单位生产成本及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费用</w:t>
            </w:r>
            <w:r w:rsidR="00150448">
              <w:rPr>
                <w:rFonts w:asciiTheme="minorEastAsia" w:eastAsiaTheme="minorEastAsia" w:hAnsiTheme="minorEastAsia" w:hint="eastAsia"/>
                <w:sz w:val="24"/>
                <w:szCs w:val="24"/>
              </w:rPr>
              <w:t>在规模效应之下得以降低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150448">
              <w:rPr>
                <w:rFonts w:asciiTheme="minorEastAsia" w:eastAsiaTheme="minorEastAsia" w:hAnsiTheme="minorEastAsia" w:hint="eastAsia"/>
                <w:sz w:val="24"/>
                <w:szCs w:val="24"/>
              </w:rPr>
              <w:t>新工艺的核心成本优势将得以显现</w:t>
            </w:r>
            <w:r w:rsidR="006E175F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 w:rsidR="00150448">
              <w:rPr>
                <w:rFonts w:asciiTheme="minorEastAsia" w:eastAsiaTheme="minorEastAsia" w:hAnsiTheme="minorEastAsia" w:hint="eastAsia"/>
                <w:sz w:val="24"/>
                <w:szCs w:val="24"/>
              </w:rPr>
              <w:t>另外，近几年公司基石业务珠光材料在高端应用领域持续拓展规模，珠光业务的毛利率持续提升，为公司贡献了较好的盈利基础。</w:t>
            </w:r>
          </w:p>
          <w:p w14:paraId="2A2712E3" w14:textId="282EE175" w:rsidR="00D65FEC" w:rsidRDefault="00D65FEC" w:rsidP="00D65FEC">
            <w:pPr>
              <w:spacing w:line="480" w:lineRule="exact"/>
              <w:ind w:firstLineChars="200" w:firstLine="482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问题2：</w:t>
            </w:r>
            <w:proofErr w:type="gramStart"/>
            <w:r w:rsidRPr="00D65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萃取法氯化</w:t>
            </w:r>
            <w:proofErr w:type="gramEnd"/>
            <w:r w:rsidRPr="00D65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钛白作为战略核心，目前客户认证进展、产能爬坡节奏及订单落地情况如何？</w:t>
            </w:r>
            <w:r w:rsidR="001003F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380C5F50" w14:textId="3B2BD666" w:rsidR="0026511C" w:rsidRDefault="00A35998" w:rsidP="00D65FEC">
            <w:pPr>
              <w:spacing w:line="480" w:lineRule="exact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目前公司已具备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年产20</w:t>
            </w:r>
            <w:r w:rsidR="0026511C">
              <w:rPr>
                <w:rFonts w:asciiTheme="minorEastAsia" w:eastAsiaTheme="minorEastAsia" w:hAnsiTheme="minorEastAsia" w:hint="eastAsia"/>
                <w:sz w:val="24"/>
                <w:szCs w:val="24"/>
              </w:rPr>
              <w:t>万吨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氯化钛白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及氧化铁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的生产能力，</w:t>
            </w:r>
            <w:r w:rsidR="0026511C" w:rsidRPr="0026511C">
              <w:rPr>
                <w:rFonts w:asciiTheme="minorEastAsia" w:eastAsiaTheme="minorEastAsia" w:hAnsiTheme="minorEastAsia" w:hint="eastAsia"/>
                <w:sz w:val="24"/>
                <w:szCs w:val="24"/>
              </w:rPr>
              <w:t>当前公司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钛白粉及氧化铁的新增</w:t>
            </w:r>
            <w:r w:rsidR="0026511C" w:rsidRPr="0026511C">
              <w:rPr>
                <w:rFonts w:asciiTheme="minorEastAsia" w:eastAsiaTheme="minorEastAsia" w:hAnsiTheme="minorEastAsia" w:hint="eastAsia"/>
                <w:sz w:val="24"/>
                <w:szCs w:val="24"/>
              </w:rPr>
              <w:t>订单量充足，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生产进度持续加快，订单的</w:t>
            </w:r>
            <w:r w:rsidR="0026511C" w:rsidRPr="0026511C">
              <w:rPr>
                <w:rFonts w:asciiTheme="minorEastAsia" w:eastAsiaTheme="minorEastAsia" w:hAnsiTheme="minorEastAsia" w:hint="eastAsia"/>
                <w:sz w:val="24"/>
                <w:szCs w:val="24"/>
              </w:rPr>
              <w:t>交付工作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快速</w:t>
            </w:r>
            <w:r w:rsidR="0026511C" w:rsidRPr="0026511C">
              <w:rPr>
                <w:rFonts w:asciiTheme="minorEastAsia" w:eastAsiaTheme="minorEastAsia" w:hAnsiTheme="minorEastAsia" w:hint="eastAsia"/>
                <w:sz w:val="24"/>
                <w:szCs w:val="24"/>
              </w:rPr>
              <w:t>推进。产品规模化是提升盈利能力的关键，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公司的预期目标是在第二季度将现有产能跑满，提升至约2万吨/月，</w:t>
            </w:r>
            <w:r w:rsidR="0026511C">
              <w:rPr>
                <w:rFonts w:asciiTheme="minorEastAsia" w:eastAsiaTheme="minorEastAsia" w:hAnsiTheme="minorEastAsia" w:hint="eastAsia"/>
                <w:sz w:val="24"/>
                <w:szCs w:val="24"/>
              </w:rPr>
              <w:t>规模效应将显著的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优化公司生产</w:t>
            </w:r>
            <w:r w:rsidR="0026511C">
              <w:rPr>
                <w:rFonts w:asciiTheme="minorEastAsia" w:eastAsiaTheme="minorEastAsia" w:hAnsiTheme="minorEastAsia" w:hint="eastAsia"/>
                <w:sz w:val="24"/>
                <w:szCs w:val="24"/>
              </w:rPr>
              <w:t>成本。公司依托核心技术壁垒，对氯化钛白及氧化铁</w:t>
            </w:r>
            <w:r w:rsidR="0026511C" w:rsidRPr="0026511C">
              <w:rPr>
                <w:rFonts w:asciiTheme="minorEastAsia" w:eastAsiaTheme="minorEastAsia" w:hAnsiTheme="minorEastAsia" w:hint="eastAsia"/>
                <w:sz w:val="24"/>
                <w:szCs w:val="24"/>
              </w:rPr>
              <w:t>的市场拓展持乐观态度，未来有望进一步提升市场占有率。</w:t>
            </w:r>
          </w:p>
          <w:p w14:paraId="4DB15987" w14:textId="1BCCD0B6" w:rsidR="00D65FEC" w:rsidRDefault="00D65FEC" w:rsidP="00D65FEC">
            <w:pPr>
              <w:spacing w:line="480" w:lineRule="exact"/>
              <w:ind w:firstLineChars="200" w:firstLine="482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问题3：</w:t>
            </w:r>
            <w:r w:rsidR="009B3F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公司</w:t>
            </w:r>
            <w:r w:rsidRPr="00D65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珠光材料已获SGS</w:t>
            </w:r>
            <w:r w:rsidR="009B3F1E" w:rsidRPr="009B3F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（瑞士通用公证行）</w:t>
            </w:r>
            <w:r w:rsidR="009B3F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的</w:t>
            </w:r>
            <w:r w:rsidRPr="00D65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全生命周期碳足迹认证，这对切入欧洲高端涂料、化妆品供应链的实际推动效果如何？是否有已落地的标杆客户案例或订单增量？</w:t>
            </w:r>
          </w:p>
          <w:p w14:paraId="27C4653D" w14:textId="798DE137" w:rsidR="00A35998" w:rsidRPr="008432BD" w:rsidRDefault="00A35998" w:rsidP="00AF268C">
            <w:pPr>
              <w:spacing w:line="480" w:lineRule="exact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="00F541EA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公司珠光</w:t>
            </w:r>
            <w:proofErr w:type="gramStart"/>
            <w:r w:rsidR="00F541EA"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</w:t>
            </w:r>
            <w:r w:rsidR="00AF268C" w:rsidRP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获</w:t>
            </w:r>
            <w:proofErr w:type="gramEnd"/>
            <w:r w:rsid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SGS</w:t>
            </w:r>
            <w:r w:rsidR="009B3F1E" w:rsidRPr="009B3F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（瑞士通用公证行）</w:t>
            </w:r>
            <w:r w:rsidR="00AF268C" w:rsidRP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全生命周期碳足迹认证，</w:t>
            </w:r>
            <w:r w:rsidR="00F541EA">
              <w:rPr>
                <w:rFonts w:asciiTheme="minorEastAsia" w:eastAsiaTheme="minorEastAsia" w:hAnsiTheme="minorEastAsia" w:hint="eastAsia"/>
                <w:sz w:val="24"/>
                <w:szCs w:val="24"/>
              </w:rPr>
              <w:t>为</w:t>
            </w:r>
            <w:r w:rsidR="00AF268C" w:rsidRP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</w:t>
            </w:r>
            <w:r w:rsidR="00F541EA">
              <w:rPr>
                <w:rFonts w:asciiTheme="minorEastAsia" w:eastAsiaTheme="minorEastAsia" w:hAnsiTheme="minorEastAsia" w:hint="eastAsia"/>
                <w:sz w:val="24"/>
                <w:szCs w:val="24"/>
              </w:rPr>
              <w:t>拓展欧盟等高端市场提供了关键的绿色准入资质。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凭借该认证优势，公司进入欧洲市场的认证流程</w:t>
            </w:r>
            <w:r w:rsid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将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会更便捷，目前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正</w:t>
            </w:r>
            <w:r w:rsidR="00F541EA">
              <w:rPr>
                <w:rFonts w:asciiTheme="minorEastAsia" w:eastAsiaTheme="minorEastAsia" w:hAnsiTheme="minorEastAsia" w:hint="eastAsia"/>
                <w:sz w:val="24"/>
                <w:szCs w:val="24"/>
              </w:rPr>
              <w:t>在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推动</w:t>
            </w:r>
            <w:r w:rsidR="00593887">
              <w:rPr>
                <w:rFonts w:asciiTheme="minorEastAsia" w:eastAsiaTheme="minorEastAsia" w:hAnsiTheme="minorEastAsia" w:hint="eastAsia"/>
                <w:sz w:val="24"/>
                <w:szCs w:val="24"/>
              </w:rPr>
              <w:t>萃取法钛白粉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认证</w:t>
            </w:r>
            <w:r w:rsid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标准对接。后续</w:t>
            </w:r>
            <w:proofErr w:type="gramStart"/>
            <w:r w:rsid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待标准</w:t>
            </w:r>
            <w:proofErr w:type="gramEnd"/>
            <w:r w:rsid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明确后，将快速落地欧洲高端</w:t>
            </w:r>
            <w:r w:rsidR="00F541EA">
              <w:rPr>
                <w:rFonts w:asciiTheme="minorEastAsia" w:eastAsiaTheme="minorEastAsia" w:hAnsiTheme="minorEastAsia" w:hint="eastAsia"/>
                <w:sz w:val="24"/>
                <w:szCs w:val="24"/>
              </w:rPr>
              <w:t>涂料、</w:t>
            </w:r>
            <w:r w:rsid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化妆品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领域</w:t>
            </w:r>
            <w:r w:rsid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合作</w:t>
            </w:r>
            <w:r w:rsidR="00F541EA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 w:rsidR="008779E0" w:rsidRP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注重绿色</w:t>
            </w:r>
            <w:r w:rsidR="008779E0" w:rsidRP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低碳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、高质量可持续发展</w:t>
            </w:r>
            <w:r w:rsidR="008779E0" w:rsidRP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公司在产品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设计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、技术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研发</w:t>
            </w:r>
            <w:r w:rsidR="009B3F1E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生产经营、三废排放中始终</w:t>
            </w:r>
            <w:proofErr w:type="gramStart"/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践行</w:t>
            </w:r>
            <w:proofErr w:type="gramEnd"/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该理念</w:t>
            </w:r>
            <w:r w:rsidR="008779E0" w:rsidRPr="00A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20867072" w14:textId="07BD4629" w:rsidR="000E71BF" w:rsidRDefault="00D65FEC" w:rsidP="004A33D5">
            <w:pPr>
              <w:spacing w:line="480" w:lineRule="exact"/>
              <w:ind w:firstLineChars="200" w:firstLine="482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3068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问题4：</w:t>
            </w:r>
            <w:r w:rsidRPr="00D65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在“珠光材料+氯化钛白”双轮驱动下，公司如何动态分配研发与资本开支？</w:t>
            </w:r>
            <w:r w:rsidR="004A33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公司两大板块业务是否有</w:t>
            </w:r>
            <w:r w:rsidRPr="00D65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协同效果？管理层对2026年关键突破点有何展望？</w:t>
            </w:r>
          </w:p>
          <w:p w14:paraId="60948554" w14:textId="0D323D77" w:rsidR="00A35998" w:rsidRPr="00830680" w:rsidRDefault="00A35998" w:rsidP="00A10063">
            <w:pPr>
              <w:spacing w:line="480" w:lineRule="exact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答：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公司的</w:t>
            </w:r>
            <w:r w:rsidR="00155729">
              <w:rPr>
                <w:rFonts w:asciiTheme="minorEastAsia" w:eastAsiaTheme="minorEastAsia" w:hAnsiTheme="minorEastAsia" w:hint="eastAsia"/>
                <w:sz w:val="24"/>
                <w:szCs w:val="24"/>
              </w:rPr>
              <w:t>研发和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资本</w:t>
            </w:r>
            <w:r w:rsidR="00155729">
              <w:rPr>
                <w:rFonts w:asciiTheme="minorEastAsia" w:eastAsiaTheme="minorEastAsia" w:hAnsiTheme="minorEastAsia" w:hint="eastAsia"/>
                <w:sz w:val="24"/>
                <w:szCs w:val="24"/>
              </w:rPr>
              <w:t>开支主要围绕核心产品规模化、高端化展开，优先保障</w:t>
            </w:r>
            <w:proofErr w:type="gramStart"/>
            <w:r w:rsidR="00155729">
              <w:rPr>
                <w:rFonts w:asciiTheme="minorEastAsia" w:eastAsiaTheme="minorEastAsia" w:hAnsiTheme="minorEastAsia" w:hint="eastAsia"/>
                <w:sz w:val="24"/>
                <w:szCs w:val="24"/>
              </w:rPr>
              <w:t>萃取法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氯化</w:t>
            </w:r>
            <w:proofErr w:type="gramEnd"/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钛白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、氧化铁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产能扩张及珠光材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料高端化研发需求。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协同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方面，珠光材料生产所需的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基材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合成云母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已实现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完全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自给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自足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3440D">
              <w:rPr>
                <w:rFonts w:asciiTheme="minorEastAsia" w:eastAsiaTheme="minorEastAsia" w:hAnsiTheme="minorEastAsia" w:hint="eastAsia"/>
                <w:sz w:val="24"/>
                <w:szCs w:val="24"/>
              </w:rPr>
              <w:t>珠光材料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的二氯氧钛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相关原材料</w:t>
            </w:r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也将通过</w:t>
            </w:r>
            <w:proofErr w:type="gramStart"/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萃取法氯化</w:t>
            </w:r>
            <w:proofErr w:type="gramEnd"/>
            <w:r w:rsidR="004A33D5">
              <w:rPr>
                <w:rFonts w:asciiTheme="minorEastAsia" w:eastAsiaTheme="minorEastAsia" w:hAnsiTheme="minorEastAsia" w:hint="eastAsia"/>
                <w:sz w:val="24"/>
                <w:szCs w:val="24"/>
              </w:rPr>
              <w:t>钛白项目实现自主可控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DB6EC6">
              <w:rPr>
                <w:rFonts w:asciiTheme="minorEastAsia" w:eastAsiaTheme="minorEastAsia" w:hAnsiTheme="minorEastAsia" w:hint="eastAsia"/>
                <w:sz w:val="24"/>
                <w:szCs w:val="24"/>
              </w:rPr>
              <w:t>能够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显著降低</w:t>
            </w:r>
            <w:r w:rsidR="00DB6EC6">
              <w:rPr>
                <w:rFonts w:asciiTheme="minorEastAsia" w:eastAsiaTheme="minorEastAsia" w:hAnsiTheme="minorEastAsia" w:hint="eastAsia"/>
                <w:sz w:val="24"/>
                <w:szCs w:val="24"/>
              </w:rPr>
              <w:t>原材料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成</w:t>
            </w:r>
            <w:r w:rsidR="002B57ED"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  <w:r w:rsidR="00DB6EC6">
              <w:rPr>
                <w:rFonts w:asciiTheme="minorEastAsia" w:eastAsiaTheme="minorEastAsia" w:hAnsiTheme="minorEastAsia" w:hint="eastAsia"/>
                <w:sz w:val="24"/>
                <w:szCs w:val="24"/>
              </w:rPr>
              <w:t>与采购风险，进一步提升珠光业务的毛利率</w:t>
            </w:r>
            <w:r w:rsidR="00A3440D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 w:rsidR="00DB6EC6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公司预期</w:t>
            </w:r>
            <w:r w:rsidR="00F2280D">
              <w:rPr>
                <w:rFonts w:asciiTheme="minorEastAsia" w:eastAsiaTheme="minorEastAsia" w:hAnsiTheme="minorEastAsia" w:hint="eastAsia"/>
                <w:sz w:val="24"/>
                <w:szCs w:val="24"/>
              </w:rPr>
              <w:t>今年是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全资子公司正太新材料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从亏损转向盈利的关键分水岭，核心突破点在于提升产能规模、丰富产品型号，同时</w:t>
            </w:r>
            <w:r w:rsidR="00DB6EC6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公司也将持续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优化成本管控体系</w:t>
            </w:r>
            <w:r w:rsidR="00DB6EC6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具体</w:t>
            </w:r>
            <w:r w:rsidR="00F2280D">
              <w:rPr>
                <w:rFonts w:asciiTheme="minorEastAsia" w:eastAsiaTheme="minorEastAsia" w:hAnsiTheme="minorEastAsia" w:hint="eastAsia"/>
                <w:sz w:val="24"/>
                <w:szCs w:val="24"/>
              </w:rPr>
              <w:t>财务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数据请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以</w:t>
            </w:r>
            <w:r w:rsidR="00A1006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公司披露的定期报告</w:t>
            </w:r>
            <w:r w:rsidR="008432BD" w:rsidRPr="008432BD">
              <w:rPr>
                <w:rFonts w:asciiTheme="minorEastAsia" w:eastAsiaTheme="minorEastAsia" w:hAnsiTheme="minorEastAsia" w:hint="eastAsia"/>
                <w:sz w:val="24"/>
                <w:szCs w:val="24"/>
              </w:rPr>
              <w:t>为准。</w:t>
            </w:r>
          </w:p>
        </w:tc>
      </w:tr>
      <w:tr w:rsidR="00CD38B7" w:rsidRPr="002E1ADD" w14:paraId="70FA643D" w14:textId="77777777" w:rsidTr="00754F02">
        <w:trPr>
          <w:trHeight w:val="962"/>
        </w:trPr>
        <w:tc>
          <w:tcPr>
            <w:tcW w:w="1319" w:type="dxa"/>
            <w:vAlign w:val="center"/>
          </w:tcPr>
          <w:p w14:paraId="6F6C75BD" w14:textId="77777777" w:rsidR="00CD38B7" w:rsidRPr="002E1ADD" w:rsidRDefault="00CD38B7" w:rsidP="00DD60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621" w:type="dxa"/>
            <w:vAlign w:val="center"/>
          </w:tcPr>
          <w:p w14:paraId="2EEDB9B7" w14:textId="77777777" w:rsidR="00CD38B7" w:rsidRPr="002E1ADD" w:rsidRDefault="00DD60B7" w:rsidP="00CD38B7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无</w:t>
            </w:r>
          </w:p>
        </w:tc>
      </w:tr>
      <w:tr w:rsidR="00CD38B7" w:rsidRPr="002E1ADD" w14:paraId="4034F57E" w14:textId="77777777" w:rsidTr="00754F02">
        <w:trPr>
          <w:trHeight w:val="466"/>
        </w:trPr>
        <w:tc>
          <w:tcPr>
            <w:tcW w:w="1319" w:type="dxa"/>
            <w:vAlign w:val="center"/>
          </w:tcPr>
          <w:p w14:paraId="50E4724B" w14:textId="77777777" w:rsidR="00CD38B7" w:rsidRPr="002E1ADD" w:rsidRDefault="00CD38B7" w:rsidP="00CD38B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7621" w:type="dxa"/>
            <w:vAlign w:val="center"/>
          </w:tcPr>
          <w:p w14:paraId="67018415" w14:textId="77777777" w:rsidR="00CD38B7" w:rsidRPr="002E1ADD" w:rsidRDefault="00C24AFB" w:rsidP="009013DE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="00880EFB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FC6AB3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FC6AB3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FC6AB3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2E1ADD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4ABAB0C6" w14:textId="77777777" w:rsidR="00FB5EB5" w:rsidRDefault="00FB5EB5" w:rsidP="00CD38B7">
      <w:pPr>
        <w:spacing w:after="0" w:line="480" w:lineRule="exact"/>
        <w:rPr>
          <w:rFonts w:asciiTheme="minorEastAsia" w:eastAsiaTheme="minorEastAsia" w:hAnsiTheme="minorEastAsia"/>
          <w:sz w:val="24"/>
          <w:szCs w:val="24"/>
        </w:rPr>
      </w:pPr>
    </w:p>
    <w:p w14:paraId="771C7923" w14:textId="77777777" w:rsidR="004358AB" w:rsidRPr="002E1ADD" w:rsidRDefault="004358AB" w:rsidP="000713A2">
      <w:pPr>
        <w:adjustRightInd/>
        <w:snapToGrid/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</w:p>
    <w:sectPr w:rsidR="004358AB" w:rsidRPr="002E1ADD" w:rsidSect="004358A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90491" w14:textId="77777777" w:rsidR="00DD0961" w:rsidRDefault="00DD0961" w:rsidP="00996AD1">
      <w:pPr>
        <w:spacing w:after="0"/>
      </w:pPr>
      <w:r>
        <w:separator/>
      </w:r>
    </w:p>
  </w:endnote>
  <w:endnote w:type="continuationSeparator" w:id="0">
    <w:p w14:paraId="6C0952E5" w14:textId="77777777" w:rsidR="00DD0961" w:rsidRDefault="00DD0961" w:rsidP="00996A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B6008" w14:textId="77777777" w:rsidR="00996AD1" w:rsidRPr="00996AD1" w:rsidRDefault="00996AD1" w:rsidP="00996AD1">
    <w:pPr>
      <w:pStyle w:val="a6"/>
      <w:spacing w:after="0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8C86A" w14:textId="77777777" w:rsidR="00DD0961" w:rsidRDefault="00DD0961" w:rsidP="00996AD1">
      <w:pPr>
        <w:spacing w:after="0"/>
      </w:pPr>
      <w:r>
        <w:separator/>
      </w:r>
    </w:p>
  </w:footnote>
  <w:footnote w:type="continuationSeparator" w:id="0">
    <w:p w14:paraId="32DADC48" w14:textId="77777777" w:rsidR="00DD0961" w:rsidRDefault="00DD0961" w:rsidP="00996A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051C1" w14:textId="77777777" w:rsidR="00996AD1" w:rsidRPr="00996AD1" w:rsidRDefault="00996AD1" w:rsidP="00996AD1">
    <w:pPr>
      <w:pStyle w:val="a4"/>
      <w:spacing w:after="0"/>
      <w:jc w:val="left"/>
      <w:rPr>
        <w:rFonts w:asciiTheme="minorEastAsia" w:eastAsiaTheme="minorEastAsia" w:hAnsiTheme="minorEastAsia"/>
      </w:rPr>
    </w:pPr>
    <w:r w:rsidRPr="00996AD1">
      <w:rPr>
        <w:rFonts w:asciiTheme="minorEastAsia" w:eastAsiaTheme="minorEastAsia" w:hAnsiTheme="minorEastAsia" w:hint="eastAsia"/>
      </w:rPr>
      <w:t xml:space="preserve">                                   </w:t>
    </w:r>
    <w:r w:rsidR="00C12124">
      <w:rPr>
        <w:rFonts w:asciiTheme="minorEastAsia" w:eastAsiaTheme="minorEastAsia" w:hAnsiTheme="minorEastAsia" w:hint="eastAsia"/>
      </w:rPr>
      <w:t xml:space="preserve">      </w:t>
    </w:r>
    <w:r>
      <w:rPr>
        <w:rFonts w:asciiTheme="minorEastAsia" w:eastAsiaTheme="minorEastAsia" w:hAnsiTheme="minorEastAsia" w:hint="eastAsia"/>
      </w:rPr>
      <w:t xml:space="preserve">   </w:t>
    </w:r>
    <w:r w:rsidR="00C12124">
      <w:rPr>
        <w:rFonts w:asciiTheme="minorEastAsia" w:eastAsiaTheme="minorEastAsia" w:hAnsiTheme="minorEastAsia" w:hint="eastAsia"/>
      </w:rPr>
      <w:t xml:space="preserve"> </w:t>
    </w:r>
    <w:r w:rsidRPr="00996AD1">
      <w:rPr>
        <w:rFonts w:asciiTheme="minorEastAsia" w:eastAsiaTheme="minorEastAsia" w:hAnsiTheme="minorEastAsia" w:hint="eastAsia"/>
      </w:rPr>
      <w:t xml:space="preserve"> </w:t>
    </w:r>
    <w:r w:rsidR="00B961E6">
      <w:rPr>
        <w:rFonts w:asciiTheme="minorEastAsia" w:eastAsiaTheme="minorEastAsia" w:hAnsiTheme="minorEastAsia" w:hint="eastAsia"/>
      </w:rPr>
      <w:t xml:space="preserve">     </w:t>
    </w:r>
    <w:r w:rsidR="00C24AFB">
      <w:rPr>
        <w:rFonts w:asciiTheme="minorEastAsia" w:eastAsiaTheme="minorEastAsia" w:hAnsiTheme="minorEastAsia"/>
      </w:rPr>
      <w:t xml:space="preserve"> </w:t>
    </w:r>
    <w:r w:rsidR="00C3131F">
      <w:rPr>
        <w:rFonts w:asciiTheme="minorEastAsia" w:eastAsiaTheme="minorEastAsia" w:hAnsiTheme="minorEastAsia"/>
      </w:rPr>
      <w:t xml:space="preserve">  </w:t>
    </w:r>
    <w:r w:rsidR="00B961E6">
      <w:rPr>
        <w:rFonts w:asciiTheme="minorEastAsia" w:eastAsiaTheme="minorEastAsia" w:hAnsiTheme="minorEastAsia" w:hint="eastAsia"/>
      </w:rPr>
      <w:t xml:space="preserve"> </w:t>
    </w:r>
    <w:r w:rsidR="00C24AFB">
      <w:rPr>
        <w:rFonts w:asciiTheme="minorEastAsia" w:eastAsiaTheme="minorEastAsia" w:hAnsiTheme="minorEastAsia" w:hint="eastAsia"/>
      </w:rPr>
      <w:t>20</w:t>
    </w:r>
    <w:r w:rsidR="00C57BF2">
      <w:rPr>
        <w:rFonts w:asciiTheme="minorEastAsia" w:eastAsiaTheme="minorEastAsia" w:hAnsiTheme="minorEastAsia"/>
      </w:rPr>
      <w:t>2</w:t>
    </w:r>
    <w:r w:rsidR="00BE2CFA">
      <w:rPr>
        <w:rFonts w:asciiTheme="minorEastAsia" w:eastAsiaTheme="minorEastAsia" w:hAnsiTheme="minorEastAsia"/>
      </w:rPr>
      <w:t>6</w:t>
    </w:r>
    <w:r w:rsidR="00C24AFB">
      <w:rPr>
        <w:rFonts w:asciiTheme="minorEastAsia" w:eastAsiaTheme="minorEastAsia" w:hAnsiTheme="minorEastAsia" w:hint="eastAsia"/>
      </w:rPr>
      <w:t>年</w:t>
    </w:r>
    <w:r w:rsidR="00BE2CFA">
      <w:rPr>
        <w:rFonts w:asciiTheme="minorEastAsia" w:eastAsiaTheme="minorEastAsia" w:hAnsiTheme="minorEastAsia"/>
      </w:rPr>
      <w:t>2</w:t>
    </w:r>
    <w:r w:rsidRPr="00996AD1">
      <w:rPr>
        <w:rFonts w:asciiTheme="minorEastAsia" w:eastAsiaTheme="minorEastAsia" w:hAnsiTheme="minorEastAsia" w:hint="eastAsia"/>
      </w:rPr>
      <w:t>月</w:t>
    </w:r>
    <w:r w:rsidR="00BE2CFA">
      <w:rPr>
        <w:rFonts w:asciiTheme="minorEastAsia" w:eastAsiaTheme="minorEastAsia" w:hAnsiTheme="minorEastAsia" w:hint="eastAsia"/>
      </w:rPr>
      <w:t>5</w:t>
    </w:r>
    <w:r w:rsidRPr="00996AD1">
      <w:rPr>
        <w:rFonts w:asciiTheme="minorEastAsia" w:eastAsiaTheme="minorEastAsia" w:hAnsiTheme="minorEastAsia" w:hint="eastAsia"/>
      </w:rPr>
      <w:t>日投资者关系活动记录表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47B26"/>
    <w:multiLevelType w:val="hybridMultilevel"/>
    <w:tmpl w:val="65CE1B62"/>
    <w:lvl w:ilvl="0" w:tplc="DF60EC1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8ED4367"/>
    <w:multiLevelType w:val="hybridMultilevel"/>
    <w:tmpl w:val="387A26B2"/>
    <w:lvl w:ilvl="0" w:tplc="324E2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117F"/>
    <w:rsid w:val="000359A7"/>
    <w:rsid w:val="00043C88"/>
    <w:rsid w:val="000533BB"/>
    <w:rsid w:val="00057E37"/>
    <w:rsid w:val="0007020E"/>
    <w:rsid w:val="000713A2"/>
    <w:rsid w:val="00072950"/>
    <w:rsid w:val="00077204"/>
    <w:rsid w:val="000927C0"/>
    <w:rsid w:val="00097D7B"/>
    <w:rsid w:val="000A5747"/>
    <w:rsid w:val="000B2F7F"/>
    <w:rsid w:val="000B4AD9"/>
    <w:rsid w:val="000C008A"/>
    <w:rsid w:val="000D77AC"/>
    <w:rsid w:val="000E66BA"/>
    <w:rsid w:val="000E71BF"/>
    <w:rsid w:val="000F0200"/>
    <w:rsid w:val="000F3975"/>
    <w:rsid w:val="000F676F"/>
    <w:rsid w:val="001003F1"/>
    <w:rsid w:val="00105226"/>
    <w:rsid w:val="001125AE"/>
    <w:rsid w:val="001131B8"/>
    <w:rsid w:val="00132002"/>
    <w:rsid w:val="00140DC3"/>
    <w:rsid w:val="00140DF8"/>
    <w:rsid w:val="001414E1"/>
    <w:rsid w:val="001441F0"/>
    <w:rsid w:val="001502C2"/>
    <w:rsid w:val="0015043E"/>
    <w:rsid w:val="00150448"/>
    <w:rsid w:val="00155729"/>
    <w:rsid w:val="00165F81"/>
    <w:rsid w:val="00170469"/>
    <w:rsid w:val="00185F74"/>
    <w:rsid w:val="00194C46"/>
    <w:rsid w:val="001968B6"/>
    <w:rsid w:val="001A0B9B"/>
    <w:rsid w:val="001B54F0"/>
    <w:rsid w:val="001E3076"/>
    <w:rsid w:val="001F6003"/>
    <w:rsid w:val="001F6614"/>
    <w:rsid w:val="00217BEA"/>
    <w:rsid w:val="00221BAF"/>
    <w:rsid w:val="00222D1E"/>
    <w:rsid w:val="00225179"/>
    <w:rsid w:val="00233770"/>
    <w:rsid w:val="00242D37"/>
    <w:rsid w:val="0026511C"/>
    <w:rsid w:val="0028229D"/>
    <w:rsid w:val="00283A43"/>
    <w:rsid w:val="00285EBF"/>
    <w:rsid w:val="00293652"/>
    <w:rsid w:val="00295291"/>
    <w:rsid w:val="002B05D2"/>
    <w:rsid w:val="002B4570"/>
    <w:rsid w:val="002B4C44"/>
    <w:rsid w:val="002B57ED"/>
    <w:rsid w:val="002B63A8"/>
    <w:rsid w:val="002C6611"/>
    <w:rsid w:val="002C7DE6"/>
    <w:rsid w:val="002D2C86"/>
    <w:rsid w:val="002E1ADD"/>
    <w:rsid w:val="002F4C8A"/>
    <w:rsid w:val="002F7FAA"/>
    <w:rsid w:val="00301F17"/>
    <w:rsid w:val="00317686"/>
    <w:rsid w:val="003218DE"/>
    <w:rsid w:val="00323B43"/>
    <w:rsid w:val="00335C48"/>
    <w:rsid w:val="00336D9F"/>
    <w:rsid w:val="00345A53"/>
    <w:rsid w:val="00363F83"/>
    <w:rsid w:val="00364587"/>
    <w:rsid w:val="003675DB"/>
    <w:rsid w:val="00367DE2"/>
    <w:rsid w:val="00375308"/>
    <w:rsid w:val="003817A9"/>
    <w:rsid w:val="00382CA2"/>
    <w:rsid w:val="0038595A"/>
    <w:rsid w:val="00390DF2"/>
    <w:rsid w:val="0039253F"/>
    <w:rsid w:val="003A4026"/>
    <w:rsid w:val="003B70BF"/>
    <w:rsid w:val="003B7D54"/>
    <w:rsid w:val="003C0E20"/>
    <w:rsid w:val="003C187D"/>
    <w:rsid w:val="003C34ED"/>
    <w:rsid w:val="003C4937"/>
    <w:rsid w:val="003D2403"/>
    <w:rsid w:val="003D37D8"/>
    <w:rsid w:val="003D7EAF"/>
    <w:rsid w:val="003E0D25"/>
    <w:rsid w:val="003E1467"/>
    <w:rsid w:val="004002B0"/>
    <w:rsid w:val="0040654D"/>
    <w:rsid w:val="00412CB9"/>
    <w:rsid w:val="0041517C"/>
    <w:rsid w:val="004210F5"/>
    <w:rsid w:val="00426133"/>
    <w:rsid w:val="00426D11"/>
    <w:rsid w:val="004358AB"/>
    <w:rsid w:val="004527BE"/>
    <w:rsid w:val="00457E3A"/>
    <w:rsid w:val="00465816"/>
    <w:rsid w:val="00470E02"/>
    <w:rsid w:val="00475E88"/>
    <w:rsid w:val="00490FD8"/>
    <w:rsid w:val="004A2945"/>
    <w:rsid w:val="004A33D5"/>
    <w:rsid w:val="004A42A1"/>
    <w:rsid w:val="004A6C66"/>
    <w:rsid w:val="004B1F12"/>
    <w:rsid w:val="004C04CE"/>
    <w:rsid w:val="004C1BA6"/>
    <w:rsid w:val="004C5B97"/>
    <w:rsid w:val="004C6B1F"/>
    <w:rsid w:val="004C717C"/>
    <w:rsid w:val="004D209D"/>
    <w:rsid w:val="004E032B"/>
    <w:rsid w:val="004E5E81"/>
    <w:rsid w:val="00500B90"/>
    <w:rsid w:val="00517F06"/>
    <w:rsid w:val="00525E1C"/>
    <w:rsid w:val="00532C39"/>
    <w:rsid w:val="005356F5"/>
    <w:rsid w:val="00536F51"/>
    <w:rsid w:val="005703FD"/>
    <w:rsid w:val="00572D5A"/>
    <w:rsid w:val="00576B02"/>
    <w:rsid w:val="005844C9"/>
    <w:rsid w:val="00585022"/>
    <w:rsid w:val="00586E33"/>
    <w:rsid w:val="00593428"/>
    <w:rsid w:val="00593887"/>
    <w:rsid w:val="005B1D76"/>
    <w:rsid w:val="005B67F3"/>
    <w:rsid w:val="005C27F2"/>
    <w:rsid w:val="005C29A3"/>
    <w:rsid w:val="005C51C4"/>
    <w:rsid w:val="005D580E"/>
    <w:rsid w:val="005D6C45"/>
    <w:rsid w:val="005F5DF7"/>
    <w:rsid w:val="005F7DB5"/>
    <w:rsid w:val="0061128F"/>
    <w:rsid w:val="00611695"/>
    <w:rsid w:val="00622713"/>
    <w:rsid w:val="006228A1"/>
    <w:rsid w:val="00627AAB"/>
    <w:rsid w:val="0063058C"/>
    <w:rsid w:val="00631186"/>
    <w:rsid w:val="00634427"/>
    <w:rsid w:val="00641507"/>
    <w:rsid w:val="00652AF7"/>
    <w:rsid w:val="00685D36"/>
    <w:rsid w:val="00694581"/>
    <w:rsid w:val="00695E33"/>
    <w:rsid w:val="006A1CF9"/>
    <w:rsid w:val="006C1DA7"/>
    <w:rsid w:val="006D4913"/>
    <w:rsid w:val="006E175F"/>
    <w:rsid w:val="00706745"/>
    <w:rsid w:val="00707CDE"/>
    <w:rsid w:val="007129CE"/>
    <w:rsid w:val="007219B0"/>
    <w:rsid w:val="00735B30"/>
    <w:rsid w:val="00737501"/>
    <w:rsid w:val="00742B5B"/>
    <w:rsid w:val="00743139"/>
    <w:rsid w:val="0075404C"/>
    <w:rsid w:val="00754F02"/>
    <w:rsid w:val="00755212"/>
    <w:rsid w:val="00757004"/>
    <w:rsid w:val="007658F6"/>
    <w:rsid w:val="00771F17"/>
    <w:rsid w:val="00780093"/>
    <w:rsid w:val="0078435D"/>
    <w:rsid w:val="00792DB6"/>
    <w:rsid w:val="007B004E"/>
    <w:rsid w:val="007B41C0"/>
    <w:rsid w:val="007B55E1"/>
    <w:rsid w:val="007C259D"/>
    <w:rsid w:val="007F1DD1"/>
    <w:rsid w:val="00813540"/>
    <w:rsid w:val="008152D3"/>
    <w:rsid w:val="0081665A"/>
    <w:rsid w:val="0082581C"/>
    <w:rsid w:val="008275B7"/>
    <w:rsid w:val="00827CBD"/>
    <w:rsid w:val="00830680"/>
    <w:rsid w:val="008432BD"/>
    <w:rsid w:val="00843B9D"/>
    <w:rsid w:val="008726E2"/>
    <w:rsid w:val="008779E0"/>
    <w:rsid w:val="00880EFB"/>
    <w:rsid w:val="00893D24"/>
    <w:rsid w:val="00895884"/>
    <w:rsid w:val="008A09C1"/>
    <w:rsid w:val="008B2D9B"/>
    <w:rsid w:val="008B7726"/>
    <w:rsid w:val="008C09C2"/>
    <w:rsid w:val="008C7769"/>
    <w:rsid w:val="008E1875"/>
    <w:rsid w:val="008E27C1"/>
    <w:rsid w:val="008E7263"/>
    <w:rsid w:val="009013DE"/>
    <w:rsid w:val="0090637C"/>
    <w:rsid w:val="009126DA"/>
    <w:rsid w:val="00935F9C"/>
    <w:rsid w:val="0094465F"/>
    <w:rsid w:val="00960517"/>
    <w:rsid w:val="00964567"/>
    <w:rsid w:val="00984A8F"/>
    <w:rsid w:val="00996AD1"/>
    <w:rsid w:val="009A6484"/>
    <w:rsid w:val="009B3F1E"/>
    <w:rsid w:val="009B43A9"/>
    <w:rsid w:val="009B4951"/>
    <w:rsid w:val="009B6184"/>
    <w:rsid w:val="009C1A6C"/>
    <w:rsid w:val="009C202B"/>
    <w:rsid w:val="009D2376"/>
    <w:rsid w:val="009D3F67"/>
    <w:rsid w:val="009D48BF"/>
    <w:rsid w:val="009D4B59"/>
    <w:rsid w:val="009D643A"/>
    <w:rsid w:val="00A10063"/>
    <w:rsid w:val="00A34340"/>
    <w:rsid w:val="00A3440D"/>
    <w:rsid w:val="00A35831"/>
    <w:rsid w:val="00A35998"/>
    <w:rsid w:val="00A41B08"/>
    <w:rsid w:val="00A523A0"/>
    <w:rsid w:val="00A53916"/>
    <w:rsid w:val="00A61A99"/>
    <w:rsid w:val="00A677B2"/>
    <w:rsid w:val="00A84C0C"/>
    <w:rsid w:val="00A85C25"/>
    <w:rsid w:val="00A85F31"/>
    <w:rsid w:val="00A862B8"/>
    <w:rsid w:val="00A90988"/>
    <w:rsid w:val="00A90E6A"/>
    <w:rsid w:val="00A9377C"/>
    <w:rsid w:val="00A96D48"/>
    <w:rsid w:val="00A97E3D"/>
    <w:rsid w:val="00AA1425"/>
    <w:rsid w:val="00AA698B"/>
    <w:rsid w:val="00AE116D"/>
    <w:rsid w:val="00AE4086"/>
    <w:rsid w:val="00AE4644"/>
    <w:rsid w:val="00AF268C"/>
    <w:rsid w:val="00AF33C2"/>
    <w:rsid w:val="00AF5CEC"/>
    <w:rsid w:val="00B00B77"/>
    <w:rsid w:val="00B10866"/>
    <w:rsid w:val="00B27907"/>
    <w:rsid w:val="00B33400"/>
    <w:rsid w:val="00B52F10"/>
    <w:rsid w:val="00B620B5"/>
    <w:rsid w:val="00B656B4"/>
    <w:rsid w:val="00B67309"/>
    <w:rsid w:val="00B73220"/>
    <w:rsid w:val="00B74C0C"/>
    <w:rsid w:val="00B84BAA"/>
    <w:rsid w:val="00B84F5A"/>
    <w:rsid w:val="00B961E6"/>
    <w:rsid w:val="00BB6F43"/>
    <w:rsid w:val="00BC79DB"/>
    <w:rsid w:val="00BD4663"/>
    <w:rsid w:val="00BD4F2D"/>
    <w:rsid w:val="00BE2CFA"/>
    <w:rsid w:val="00BE585A"/>
    <w:rsid w:val="00BF07EB"/>
    <w:rsid w:val="00BF42EA"/>
    <w:rsid w:val="00C0153C"/>
    <w:rsid w:val="00C019FA"/>
    <w:rsid w:val="00C12124"/>
    <w:rsid w:val="00C24AFB"/>
    <w:rsid w:val="00C3131F"/>
    <w:rsid w:val="00C34F6E"/>
    <w:rsid w:val="00C425C3"/>
    <w:rsid w:val="00C46A63"/>
    <w:rsid w:val="00C50D11"/>
    <w:rsid w:val="00C54949"/>
    <w:rsid w:val="00C5613B"/>
    <w:rsid w:val="00C57BF2"/>
    <w:rsid w:val="00C622E0"/>
    <w:rsid w:val="00C67992"/>
    <w:rsid w:val="00C735A9"/>
    <w:rsid w:val="00C74521"/>
    <w:rsid w:val="00C8480E"/>
    <w:rsid w:val="00C86839"/>
    <w:rsid w:val="00C94BAB"/>
    <w:rsid w:val="00CD1ACE"/>
    <w:rsid w:val="00CD38B7"/>
    <w:rsid w:val="00CE240C"/>
    <w:rsid w:val="00CE52AB"/>
    <w:rsid w:val="00CF0ED0"/>
    <w:rsid w:val="00D00CD2"/>
    <w:rsid w:val="00D0137A"/>
    <w:rsid w:val="00D02D1C"/>
    <w:rsid w:val="00D06CD1"/>
    <w:rsid w:val="00D13A70"/>
    <w:rsid w:val="00D31D50"/>
    <w:rsid w:val="00D41613"/>
    <w:rsid w:val="00D42044"/>
    <w:rsid w:val="00D46A36"/>
    <w:rsid w:val="00D51855"/>
    <w:rsid w:val="00D65FEC"/>
    <w:rsid w:val="00D761EA"/>
    <w:rsid w:val="00D80F6F"/>
    <w:rsid w:val="00D83AF9"/>
    <w:rsid w:val="00D87B25"/>
    <w:rsid w:val="00DA4D9B"/>
    <w:rsid w:val="00DB402E"/>
    <w:rsid w:val="00DB6EC6"/>
    <w:rsid w:val="00DC4EE6"/>
    <w:rsid w:val="00DD0961"/>
    <w:rsid w:val="00DD1D33"/>
    <w:rsid w:val="00DD4E9A"/>
    <w:rsid w:val="00DD60B7"/>
    <w:rsid w:val="00DE0F19"/>
    <w:rsid w:val="00DE3667"/>
    <w:rsid w:val="00DE66A2"/>
    <w:rsid w:val="00DE7141"/>
    <w:rsid w:val="00E00A50"/>
    <w:rsid w:val="00E0349C"/>
    <w:rsid w:val="00E15984"/>
    <w:rsid w:val="00E1765F"/>
    <w:rsid w:val="00E211D1"/>
    <w:rsid w:val="00E215A3"/>
    <w:rsid w:val="00E22297"/>
    <w:rsid w:val="00E229E1"/>
    <w:rsid w:val="00E304C5"/>
    <w:rsid w:val="00E4180F"/>
    <w:rsid w:val="00E45803"/>
    <w:rsid w:val="00E54CBE"/>
    <w:rsid w:val="00E56C53"/>
    <w:rsid w:val="00E742C2"/>
    <w:rsid w:val="00E75600"/>
    <w:rsid w:val="00E81E5B"/>
    <w:rsid w:val="00E87D0D"/>
    <w:rsid w:val="00E91896"/>
    <w:rsid w:val="00E923CC"/>
    <w:rsid w:val="00EA26DA"/>
    <w:rsid w:val="00EA7F41"/>
    <w:rsid w:val="00EB4627"/>
    <w:rsid w:val="00EC1A84"/>
    <w:rsid w:val="00EC55A6"/>
    <w:rsid w:val="00ED5C7F"/>
    <w:rsid w:val="00EE3C39"/>
    <w:rsid w:val="00EE6DAE"/>
    <w:rsid w:val="00EF62D4"/>
    <w:rsid w:val="00F10E7B"/>
    <w:rsid w:val="00F152F3"/>
    <w:rsid w:val="00F2280D"/>
    <w:rsid w:val="00F24CAD"/>
    <w:rsid w:val="00F33C39"/>
    <w:rsid w:val="00F34B6B"/>
    <w:rsid w:val="00F51702"/>
    <w:rsid w:val="00F541EA"/>
    <w:rsid w:val="00F57324"/>
    <w:rsid w:val="00F6186B"/>
    <w:rsid w:val="00F66ECC"/>
    <w:rsid w:val="00F72FAB"/>
    <w:rsid w:val="00F759A8"/>
    <w:rsid w:val="00F826E6"/>
    <w:rsid w:val="00F867F1"/>
    <w:rsid w:val="00F86926"/>
    <w:rsid w:val="00F9301D"/>
    <w:rsid w:val="00F94015"/>
    <w:rsid w:val="00FA042E"/>
    <w:rsid w:val="00FA0FFB"/>
    <w:rsid w:val="00FB5EB5"/>
    <w:rsid w:val="00FC3E3D"/>
    <w:rsid w:val="00FC6281"/>
    <w:rsid w:val="00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05536"/>
  <w15:docId w15:val="{C8F174DB-8437-4270-B120-EFA89A05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A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6AD1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6A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6AD1"/>
    <w:rPr>
      <w:rFonts w:ascii="Tahoma" w:hAnsi="Tahoma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96AD1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96AD1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C54949"/>
    <w:pPr>
      <w:ind w:firstLineChars="200" w:firstLine="420"/>
    </w:pPr>
  </w:style>
  <w:style w:type="character" w:customStyle="1" w:styleId="fontstyle01">
    <w:name w:val="fontstyle01"/>
    <w:basedOn w:val="a0"/>
    <w:rsid w:val="002E1A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E1AD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b">
    <w:name w:val="Revision"/>
    <w:hidden/>
    <w:uiPriority w:val="99"/>
    <w:semiHidden/>
    <w:rsid w:val="00EA26DA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529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04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83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58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41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57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54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2021-12-17T06:33:00Z</cp:lastPrinted>
  <dcterms:created xsi:type="dcterms:W3CDTF">2026-02-06T09:06:00Z</dcterms:created>
  <dcterms:modified xsi:type="dcterms:W3CDTF">2026-02-06T09:26:00Z</dcterms:modified>
</cp:coreProperties>
</file>