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2FB6F">
      <w:pPr>
        <w:rPr>
          <w:rFonts w:ascii="黑体" w:hAnsi="Calibri" w:eastAsia="仿宋_GB2312" w:cs="黑体"/>
          <w:color w:val="000000"/>
          <w:kern w:val="0"/>
          <w:sz w:val="24"/>
          <w:highlight w:val="yellow"/>
        </w:rPr>
      </w:pPr>
      <w:r>
        <w:rPr>
          <w:rFonts w:hint="eastAsia" w:ascii="仿宋_GB2312" w:hAnsi="宋体" w:eastAsia="仿宋_GB2312"/>
          <w:sz w:val="24"/>
          <w:szCs w:val="23"/>
        </w:rPr>
        <w:t xml:space="preserve">证券代码：603998     </w:t>
      </w:r>
      <w:r>
        <w:rPr>
          <w:rFonts w:hint="eastAsia" w:ascii="仿宋_GB2312" w:hAnsi="宋体" w:eastAsia="仿宋_GB2312"/>
          <w:sz w:val="24"/>
          <w:szCs w:val="23"/>
          <w:lang w:val="en-US" w:eastAsia="zh-CN"/>
        </w:rPr>
        <w:t xml:space="preserve"> </w:t>
      </w:r>
      <w:r>
        <w:rPr>
          <w:rFonts w:hint="eastAsia" w:ascii="仿宋_GB2312" w:hAnsi="宋体" w:eastAsia="仿宋_GB2312"/>
          <w:sz w:val="24"/>
          <w:szCs w:val="23"/>
        </w:rPr>
        <w:t xml:space="preserve">   证券简称：方盛制药  </w:t>
      </w:r>
      <w:r>
        <w:rPr>
          <w:rFonts w:hint="eastAsia" w:ascii="仿宋_GB2312" w:hAnsi="宋体" w:eastAsia="仿宋_GB2312"/>
          <w:sz w:val="24"/>
          <w:szCs w:val="23"/>
          <w:lang w:val="en-US" w:eastAsia="zh-CN"/>
        </w:rPr>
        <w:t xml:space="preserve"> </w:t>
      </w:r>
      <w:r>
        <w:rPr>
          <w:rFonts w:hint="eastAsia" w:ascii="仿宋_GB2312" w:hAnsi="宋体" w:eastAsia="仿宋_GB2312"/>
          <w:sz w:val="24"/>
          <w:szCs w:val="23"/>
        </w:rPr>
        <w:t xml:space="preserve">    编号：2026-005、</w:t>
      </w:r>
      <w:r>
        <w:rPr>
          <w:rFonts w:hint="eastAsia" w:ascii="仿宋_GB2312" w:hAnsi="宋体" w:eastAsia="仿宋_GB2312"/>
          <w:sz w:val="24"/>
          <w:szCs w:val="23"/>
          <w:lang w:val="en-US" w:eastAsia="zh-CN"/>
        </w:rPr>
        <w:t>00</w:t>
      </w:r>
      <w:r>
        <w:rPr>
          <w:rFonts w:hint="eastAsia" w:ascii="仿宋_GB2312" w:hAnsi="宋体" w:eastAsia="仿宋_GB2312"/>
          <w:sz w:val="24"/>
          <w:szCs w:val="23"/>
        </w:rPr>
        <w:t>6</w:t>
      </w:r>
    </w:p>
    <w:p w14:paraId="3E095F2C">
      <w:pPr>
        <w:spacing w:before="0" w:beforeLines="0" w:line="48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04601599">
      <w:pPr>
        <w:spacing w:after="0" w:afterLines="0" w:line="48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6605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934" w:type="dxa"/>
            <w:vAlign w:val="center"/>
          </w:tcPr>
          <w:p w14:paraId="09481615">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14:paraId="77169200">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64FCDD17">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6BCC2C57">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3DF093E1">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21CC75E9">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1940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vAlign w:val="center"/>
          </w:tcPr>
          <w:p w14:paraId="67F6FC78">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14:paraId="23EC9C0D">
            <w:pPr>
              <w:jc w:val="left"/>
              <w:rPr>
                <w:rFonts w:ascii="仿宋_GB2312" w:hAnsi="仿宋_GB2312" w:eastAsia="仿宋_GB2312" w:cs="仿宋_GB2312"/>
                <w:sz w:val="24"/>
              </w:rPr>
            </w:pPr>
            <w:r>
              <w:rPr>
                <w:rFonts w:hint="eastAsia" w:ascii="仿宋_GB2312" w:hAnsi="仿宋_GB2312" w:eastAsia="仿宋_GB2312" w:cs="仿宋_GB2312"/>
                <w:sz w:val="24"/>
              </w:rPr>
              <w:t>2026-005场：中信证券、平安基金、鑫巢资本、禾丰正则、时真基金、华洲投资、个人投资者      12人；</w:t>
            </w:r>
          </w:p>
          <w:p w14:paraId="547EC7F7">
            <w:pPr>
              <w:jc w:val="left"/>
              <w:rPr>
                <w:rFonts w:ascii="仿宋_GB2312" w:hAnsi="仿宋_GB2312" w:eastAsia="仿宋_GB2312" w:cs="仿宋_GB2312"/>
                <w:sz w:val="24"/>
              </w:rPr>
            </w:pPr>
            <w:r>
              <w:rPr>
                <w:rFonts w:hint="eastAsia" w:ascii="仿宋_GB2312" w:hAnsi="仿宋_GB2312" w:eastAsia="仿宋_GB2312" w:cs="仿宋_GB2312"/>
                <w:sz w:val="24"/>
                <w:highlight w:val="none"/>
              </w:rPr>
              <w:t>2026-006场：银华基金</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rPr>
              <w:t>1</w:t>
            </w:r>
            <w:r>
              <w:rPr>
                <w:rFonts w:hint="eastAsia" w:ascii="仿宋_GB2312" w:hAnsi="仿宋_GB2312" w:eastAsia="仿宋_GB2312" w:cs="仿宋_GB2312"/>
                <w:sz w:val="24"/>
                <w:highlight w:val="none"/>
              </w:rPr>
              <w:t>人</w:t>
            </w:r>
          </w:p>
        </w:tc>
      </w:tr>
      <w:tr w14:paraId="7A4E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vAlign w:val="center"/>
          </w:tcPr>
          <w:p w14:paraId="37C677CA">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14:paraId="50B80815">
            <w:pPr>
              <w:jc w:val="left"/>
              <w:rPr>
                <w:rFonts w:ascii="仿宋_GB2312" w:hAnsi="仿宋_GB2312" w:eastAsia="仿宋_GB2312" w:cs="仿宋_GB2312"/>
                <w:sz w:val="24"/>
              </w:rPr>
            </w:pPr>
            <w:r>
              <w:rPr>
                <w:rFonts w:hint="eastAsia" w:ascii="仿宋_GB2312" w:hAnsi="仿宋_GB2312" w:eastAsia="仿宋_GB2312" w:cs="仿宋_GB2312"/>
                <w:sz w:val="24"/>
              </w:rPr>
              <w:t>2026年2月12、13日</w:t>
            </w:r>
          </w:p>
        </w:tc>
      </w:tr>
      <w:tr w14:paraId="5305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934" w:type="dxa"/>
            <w:vAlign w:val="center"/>
          </w:tcPr>
          <w:p w14:paraId="0212CCB7">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14:paraId="261C5AEE">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14:paraId="72ABE956">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01CD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14:paraId="7E21E4A0">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14:paraId="242F6442">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14:paraId="0CF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vAlign w:val="center"/>
          </w:tcPr>
          <w:p w14:paraId="41666409">
            <w:pPr>
              <w:jc w:val="center"/>
              <w:rPr>
                <w:rFonts w:ascii="仿宋_GB2312" w:hAnsi="仿宋_GB2312" w:eastAsia="仿宋_GB2312" w:cs="仿宋_GB2312"/>
                <w:b/>
                <w:bCs/>
                <w:sz w:val="24"/>
              </w:rPr>
            </w:pPr>
            <w:bookmarkStart w:id="0" w:name="_Hlk221559558"/>
            <w:bookmarkStart w:id="1" w:name="OLE_LINK4" w:colFirst="1" w:colLast="1"/>
            <w:bookmarkStart w:id="2" w:name="OLE_LINK3" w:colFirst="1" w:colLast="1"/>
            <w:r>
              <w:rPr>
                <w:rFonts w:hint="eastAsia" w:ascii="仿宋_GB2312" w:hAnsi="仿宋_GB2312" w:eastAsia="仿宋_GB2312" w:cs="仿宋_GB2312"/>
                <w:b/>
                <w:bCs/>
                <w:sz w:val="24"/>
              </w:rPr>
              <w:t>投资者关系活动主要内容介绍</w:t>
            </w:r>
          </w:p>
        </w:tc>
        <w:tc>
          <w:tcPr>
            <w:tcW w:w="7167" w:type="dxa"/>
            <w:vAlign w:val="center"/>
          </w:tcPr>
          <w:p w14:paraId="7CC4D245">
            <w:pPr>
              <w:pStyle w:val="40"/>
              <w:ind w:firstLineChars="0"/>
              <w:rPr>
                <w:rFonts w:ascii="仿宋_GB2312" w:hAnsi="仿宋_GB2312" w:eastAsia="仿宋_GB2312" w:cs="仿宋_GB2312"/>
                <w:b/>
                <w:bCs/>
                <w:sz w:val="24"/>
                <w:szCs w:val="24"/>
                <w:lang w:bidi="ar"/>
              </w:rPr>
            </w:pPr>
            <w:r>
              <w:rPr>
                <w:rFonts w:hint="eastAsia" w:ascii="仿宋_GB2312" w:hAnsi="仿宋_GB2312" w:eastAsia="仿宋_GB2312" w:cs="仿宋_GB2312"/>
                <w:b/>
                <w:sz w:val="24"/>
                <w:szCs w:val="24"/>
                <w:lang w:bidi="ar"/>
              </w:rPr>
              <w:t>主要交流问题（</w:t>
            </w:r>
            <w:r>
              <w:rPr>
                <w:rFonts w:hint="eastAsia" w:ascii="仿宋_GB2312" w:hAnsi="仿宋_GB2312" w:eastAsia="仿宋_GB2312" w:cs="仿宋_GB2312"/>
                <w:b/>
                <w:sz w:val="24"/>
                <w:szCs w:val="24"/>
                <w:u w:val="double"/>
                <w:lang w:bidi="ar"/>
              </w:rPr>
              <w:t>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bCs/>
                <w:sz w:val="24"/>
                <w:szCs w:val="24"/>
                <w:lang w:bidi="ar"/>
              </w:rPr>
              <w:t>：</w:t>
            </w:r>
          </w:p>
          <w:p w14:paraId="526A0CE1">
            <w:pPr>
              <w:pStyle w:val="40"/>
              <w:numPr>
                <w:ilvl w:val="0"/>
                <w:numId w:val="1"/>
              </w:numPr>
              <w:ind w:firstLine="482"/>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公司1-8协议期满品种接续采购情况如何？</w:t>
            </w:r>
          </w:p>
          <w:p w14:paraId="023111BA">
            <w:pPr>
              <w:pStyle w:val="40"/>
              <w:tabs>
                <w:tab w:val="left" w:pos="420"/>
              </w:tabs>
              <w:ind w:firstLineChars="0"/>
              <w:rPr>
                <w:rFonts w:ascii="仿宋_GB2312" w:hAnsi="仿宋_GB2312" w:eastAsia="仿宋_GB2312" w:cs="仿宋_GB2312"/>
                <w:sz w:val="24"/>
                <w:szCs w:val="24"/>
                <w:lang w:bidi="ar"/>
              </w:rPr>
            </w:pPr>
            <w:bookmarkStart w:id="3" w:name="OLE_LINK1"/>
            <w:r>
              <w:rPr>
                <w:rFonts w:hint="eastAsia" w:ascii="仿宋_GB2312" w:hAnsi="仿宋_GB2312" w:eastAsia="仿宋_GB2312" w:cs="仿宋_GB2312"/>
                <w:sz w:val="24"/>
                <w:szCs w:val="24"/>
                <w:lang w:bidi="ar"/>
              </w:rPr>
              <w:t>2026年2月10日，国家组织集采药品协议期满品种接续采购办公室发布《国家组织集采药品协议期满品种接续采购拟中选结果公示》（公示时间：2026年2月10日至2026年2月12日），公司依折麦布片、头孢克肟片、头孢丙烯片、厄贝沙坦氢氯噻嗪片、奥美拉唑肠溶片及蒙脱石散拟中选本次接续采购，拟中选价格与约定采购量暂未公布，最终中选结果以接续采购办公室最终发布的中选通知为准。公司后续将根据最终中选结果，按相关披露要求公告具体信息。</w:t>
            </w:r>
          </w:p>
          <w:p w14:paraId="26131447">
            <w:pPr>
              <w:pStyle w:val="40"/>
              <w:tabs>
                <w:tab w:val="left" w:pos="420"/>
              </w:tabs>
              <w:ind w:firstLineChars="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将持续关注行业政策、市场格局的变化带来的各种机会与挑战，积极参与药品集采与续约，并做好相应的信息披露工作。未来将通过布局有门槛的仿制药研发、加速中药创新药出品速度、做好创新及品种储备来应对药品降价大趋势，把握医药市场重构机会。</w:t>
            </w:r>
          </w:p>
          <w:p w14:paraId="63A30806">
            <w:pPr>
              <w:pStyle w:val="40"/>
              <w:numPr>
                <w:ilvl w:val="0"/>
                <w:numId w:val="1"/>
              </w:numPr>
              <w:ind w:firstLine="482"/>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公司是否关注基药目录进展？哪些产品有望入选？</w:t>
            </w:r>
          </w:p>
          <w:bookmarkEnd w:id="3"/>
          <w:p w14:paraId="007B6964">
            <w:pPr>
              <w:pStyle w:val="40"/>
              <w:tabs>
                <w:tab w:val="left" w:pos="420"/>
              </w:tabs>
              <w:ind w:firstLineChars="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2026年2月11日，国家卫健委等部门正式发布了《国家基本药物目录管理办法》，公司一直在积极关注基药目录进展，持续做好推动部分产品进入基药目录的相关工作，在日常工作中已经按基药准入的基本要求做了较为充分的准备。如相关产品能进入基药目录，预计会对公司业务的发展有一定的积极影响。</w:t>
            </w:r>
            <w:r>
              <w:rPr>
                <w:rFonts w:hint="eastAsia" w:ascii="仿宋_GB2312" w:hAnsi="仿宋_GB2312" w:eastAsia="仿宋_GB2312" w:cs="仿宋_GB2312"/>
                <w:b/>
                <w:bCs/>
                <w:sz w:val="24"/>
                <w:szCs w:val="24"/>
                <w:lang w:bidi="ar"/>
              </w:rPr>
              <w:t>（风险提示：基药目录相关工作推进成果具有一定的不确定性，敬请投资者注意投资风险）</w:t>
            </w:r>
          </w:p>
          <w:p w14:paraId="270472B1">
            <w:pPr>
              <w:pStyle w:val="40"/>
              <w:numPr>
                <w:ilvl w:val="0"/>
                <w:numId w:val="1"/>
              </w:numPr>
              <w:ind w:firstLine="482"/>
              <w:rPr>
                <w:rFonts w:ascii="仿宋_GB2312" w:hAnsi="仿宋_GB2312" w:eastAsia="仿宋_GB2312"/>
                <w:b/>
                <w:sz w:val="24"/>
              </w:rPr>
            </w:pPr>
            <w:r>
              <w:rPr>
                <w:rFonts w:hint="eastAsia" w:ascii="仿宋_GB2312" w:hAnsi="仿宋_GB2312" w:eastAsia="仿宋_GB2312"/>
                <w:b/>
                <w:sz w:val="24"/>
              </w:rPr>
              <w:t>公司核心品种的覆盖情况怎么样？</w:t>
            </w:r>
          </w:p>
          <w:p w14:paraId="464912E9">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核心产品主要涉及心脑血管用药、儿童用药、骨骼肌肉系统用药、妇科用药、呼吸系统用药、抗感染用药等疾病治疗领域。其中，2025年前三季度，小儿荆杏止咳颗粒新增覆盖公立医疗机构（等级医院+基层医院，下同）超过320家，累计覆盖近2,000家，其中等级医院超过1,200家；强力枇杷膏（蜜炼）新增覆盖公立医疗机构超过1,200家，累计覆盖近11,000家，其中等级医院超过1,800家。玄七健骨片新增覆盖超400家公立医疗机构。未来，公司将持续加大在学术推广上的投入，深化医院准入工作，并着力提升核心产品的品牌知名度，以巩固和扩大市场地位。</w:t>
            </w:r>
          </w:p>
          <w:p w14:paraId="6EE2AFCB">
            <w:pPr>
              <w:pStyle w:val="40"/>
              <w:numPr>
                <w:ilvl w:val="0"/>
                <w:numId w:val="1"/>
              </w:numPr>
              <w:ind w:firstLine="482"/>
              <w:rPr>
                <w:rFonts w:ascii="仿宋_GB2312" w:hAnsi="仿宋_GB2312" w:eastAsia="仿宋_GB2312" w:cs="仿宋_GB2312"/>
                <w:sz w:val="24"/>
                <w:szCs w:val="24"/>
                <w:lang w:bidi="ar"/>
              </w:rPr>
            </w:pPr>
            <w:r>
              <w:rPr>
                <w:rFonts w:hint="eastAsia" w:ascii="仿宋_GB2312" w:hAnsi="仿宋_GB2312" w:eastAsia="仿宋_GB2312"/>
                <w:b/>
                <w:sz w:val="24"/>
              </w:rPr>
              <w:t>《中药注册管理专门规定》中关于药品说明书方面的要求对公司有什么影响？</w:t>
            </w:r>
          </w:p>
          <w:p w14:paraId="38C73ED5">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目前在销产品主要有中药创新药和部分经典中成药。其中，中药创新药有小儿荆杏止咳颗粒、玄七健骨片、养血祛风止痛颗粒，均经过Ⅱ、Ⅲ临床试验，说明书内【禁忌】、【不良反应】、【注意事项】明确。中药创新药以中医理论和临床实践为根基，在组方、工艺及标准上有创新突破。其临床价值突出，能满足多元医疗需求，质量控制严格且成分明确，因源自天然药材，副作用相对较小，是兼具传统特色与现代优势的新药；经典中成药主要包括藤黄健骨片、血塞通片/分散片、强力枇杷膏（蜜炼）/露等，相关产品均已完成或正推进说明书中安全性内容的修订工作，符合相关的要求，不会面临淘汰批文的情形。</w:t>
            </w:r>
          </w:p>
          <w:p w14:paraId="7F08FED7">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公司高度关注中成药行业相关监管政策调整，也十分重视药品的安全性与疗效，将一如既往严格按照国家药品监管要求开展生产经营及产品研发工作。</w:t>
            </w:r>
          </w:p>
          <w:p w14:paraId="62FD01A3">
            <w:pPr>
              <w:pStyle w:val="40"/>
              <w:numPr>
                <w:ilvl w:val="0"/>
                <w:numId w:val="1"/>
              </w:numPr>
              <w:ind w:firstLine="482"/>
              <w:rPr>
                <w:rFonts w:ascii="仿宋_GB2312" w:hAnsi="仿宋_GB2312" w:eastAsia="仿宋_GB2312"/>
                <w:b/>
                <w:sz w:val="24"/>
              </w:rPr>
            </w:pPr>
            <w:r>
              <w:rPr>
                <w:rFonts w:hint="eastAsia" w:ascii="仿宋_GB2312" w:hAnsi="仿宋_GB2312" w:eastAsia="仿宋_GB2312"/>
                <w:b/>
                <w:sz w:val="24"/>
              </w:rPr>
              <w:t>公司会继续加大研发投入吗？</w:t>
            </w:r>
          </w:p>
          <w:p w14:paraId="275954C1">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研发工作主要以项目为引导，未来研发费用的支出将综合考虑合理规划项目推进进度及与公司利润增速的匹配问题；随着公司不断加速对中药创新药的研发拓展布局，预计未来研发费用率将平稳向上。</w:t>
            </w:r>
          </w:p>
          <w:p w14:paraId="269AD65F">
            <w:pPr>
              <w:pStyle w:val="40"/>
              <w:numPr>
                <w:ilvl w:val="0"/>
                <w:numId w:val="1"/>
              </w:numPr>
              <w:ind w:firstLine="482"/>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一季度止咳药销售情况怎么样？</w:t>
            </w:r>
          </w:p>
          <w:p w14:paraId="019A0AC9">
            <w:pPr>
              <w:pStyle w:val="40"/>
              <w:tabs>
                <w:tab w:val="left" w:pos="420"/>
              </w:tabs>
              <w:rPr>
                <w:rFonts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目前正处于感冒、咳嗽等呼吸类疾病的高发季节，公司止咳类药品处于正常销售状态，但目前一季度尚未结束，具体单季度销售情况还需继续观察。公司将稳步推进各项生产研发销售工作，创造更好业绩回报全体股东。</w:t>
            </w:r>
            <w:r>
              <w:rPr>
                <w:rFonts w:hint="eastAsia" w:ascii="仿宋_GB2312" w:hAnsi="仿宋_GB2312" w:eastAsia="仿宋_GB2312" w:cs="仿宋_GB2312"/>
                <w:b/>
                <w:bCs/>
                <w:sz w:val="24"/>
                <w:szCs w:val="24"/>
                <w:lang w:bidi="ar"/>
              </w:rPr>
              <w:t>（风险提示：公司的产品销售规划能否实现取决于市场状况、经营环境、行业政策等多种因素，存在较大不确定性，部分前瞻预计不代表公司对2026年度的盈利预测及对投资者的业绩承诺，请投资者对此保持足够的风险意识，并注意投资风险）</w:t>
            </w:r>
          </w:p>
          <w:p w14:paraId="39DE2C92">
            <w:pPr>
              <w:pStyle w:val="40"/>
              <w:numPr>
                <w:ilvl w:val="0"/>
                <w:numId w:val="1"/>
              </w:numPr>
              <w:ind w:firstLine="482"/>
              <w:rPr>
                <w:rFonts w:ascii="仿宋_GB2312" w:hAnsi="仿宋_GB2312" w:eastAsia="仿宋_GB2312"/>
                <w:b/>
                <w:sz w:val="24"/>
              </w:rPr>
            </w:pPr>
            <w:r>
              <w:rPr>
                <w:rFonts w:hint="eastAsia" w:ascii="仿宋_GB2312" w:hAnsi="仿宋_GB2312" w:eastAsia="仿宋_GB2312"/>
                <w:b/>
                <w:sz w:val="24"/>
              </w:rPr>
              <w:t>公司非经常性损益的情况如何？对此在未来有何规划？</w:t>
            </w:r>
          </w:p>
          <w:p w14:paraId="28EF1F3A">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2025年前三季度非经常性损益主要来自出售跌打活血胶囊等药</w:t>
            </w:r>
            <w:r>
              <w:rPr>
                <w:rFonts w:hint="eastAsia" w:ascii="仿宋_GB2312" w:hAnsi="仿宋_GB2312" w:eastAsia="仿宋_GB2312" w:cs="仿宋_GB2312"/>
                <w:sz w:val="24"/>
                <w:szCs w:val="24"/>
                <w:lang w:val="en-US" w:eastAsia="zh-CN" w:bidi="ar"/>
              </w:rPr>
              <w:t>品</w:t>
            </w:r>
            <w:bookmarkStart w:id="4" w:name="_GoBack"/>
            <w:bookmarkEnd w:id="4"/>
            <w:r>
              <w:rPr>
                <w:rFonts w:hint="eastAsia" w:ascii="仿宋_GB2312" w:hAnsi="仿宋_GB2312" w:eastAsia="仿宋_GB2312" w:cs="仿宋_GB2312"/>
                <w:sz w:val="24"/>
                <w:szCs w:val="24"/>
                <w:lang w:bidi="ar"/>
              </w:rPr>
              <w:t>批文的投资收益。公司一直在进行产品矩阵的优化，加速推进新品，通过自主研发、购买与处置、合作开发等手段，来增强产品集群整体市场竞争力。后续将根据市场情况进行调整，无法完全量化规划。</w:t>
            </w:r>
          </w:p>
          <w:p w14:paraId="27F7F015">
            <w:pPr>
              <w:pStyle w:val="40"/>
              <w:numPr>
                <w:ilvl w:val="0"/>
                <w:numId w:val="1"/>
              </w:numPr>
              <w:ind w:firstLine="482"/>
              <w:rPr>
                <w:rFonts w:ascii="仿宋_GB2312" w:hAnsi="仿宋_GB2312" w:eastAsia="仿宋_GB2312"/>
                <w:b/>
                <w:sz w:val="24"/>
              </w:rPr>
            </w:pPr>
            <w:r>
              <w:rPr>
                <w:rFonts w:hint="eastAsia" w:ascii="仿宋_GB2312" w:hAnsi="仿宋_GB2312" w:eastAsia="仿宋_GB2312"/>
                <w:b/>
                <w:sz w:val="24"/>
              </w:rPr>
              <w:t>养血祛风止痛颗粒预计今年销售情况如何？</w:t>
            </w:r>
          </w:p>
          <w:p w14:paraId="785C398B">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养血祛风止痛颗粒经过Ⅱ期、Ⅲ期临床试验显示，是一款针对频发性紧张型头痛的疗效明显、安全性良好的中药创新药。基于对产品未来发展的良好预期，依托综合素质水平高、专业能力强的营销团队，我们在2026年将全力做好市场准入、市场拓展、市场稳固、市场延展工作，同时，推动品牌建设，高质量拓展中药创新药的市场占有率，为公司未来持续稳健发展奠定基础。具体而言，力争在2026年完成覆盖公立医疗机构（等级医院+基层医院）超过500家，销售收入超过上一款中药创新药玄七健骨片首年水平。目前，养血祛风止痛颗粒准入工作正在持续推进之中，产品已经顺利进入部分医院销售。</w:t>
            </w:r>
            <w:r>
              <w:rPr>
                <w:rFonts w:hint="eastAsia" w:ascii="仿宋_GB2312" w:hAnsi="仿宋_GB2312" w:eastAsia="仿宋_GB2312" w:cs="仿宋_GB2312"/>
                <w:b/>
                <w:bCs/>
                <w:sz w:val="24"/>
                <w:szCs w:val="24"/>
                <w:lang w:bidi="ar"/>
              </w:rPr>
              <w:t>（风险提示：部分前瞻预计不代表公司对2026年度及后续年度的盈利预测及对投资者的业绩承诺，请投资者对此保持足够的风险意识，并注意投资风险）</w:t>
            </w:r>
          </w:p>
          <w:p w14:paraId="4D2862DA">
            <w:pPr>
              <w:pStyle w:val="40"/>
              <w:numPr>
                <w:ilvl w:val="0"/>
                <w:numId w:val="1"/>
              </w:numPr>
              <w:ind w:firstLine="482"/>
              <w:jc w:val="left"/>
              <w:rPr>
                <w:rFonts w:hint="eastAsia" w:ascii="仿宋_GB2312" w:hAnsi="仿宋_GB2312" w:eastAsia="仿宋_GB2312" w:cs="仿宋_GB2312"/>
                <w:b/>
                <w:sz w:val="24"/>
                <w:szCs w:val="21"/>
                <w:lang w:bidi="ar"/>
              </w:rPr>
            </w:pPr>
            <w:r>
              <w:rPr>
                <w:rFonts w:hint="eastAsia" w:ascii="仿宋_GB2312" w:hAnsi="仿宋_GB2312" w:eastAsia="仿宋_GB2312" w:cs="仿宋_GB2312"/>
                <w:b/>
                <w:sz w:val="24"/>
                <w:lang w:val="en-US" w:eastAsia="zh-CN" w:bidi="ar"/>
              </w:rPr>
              <w:t>今年1月份</w:t>
            </w:r>
            <w:r>
              <w:rPr>
                <w:rFonts w:hint="eastAsia" w:ascii="仿宋_GB2312" w:hAnsi="仿宋_GB2312" w:eastAsia="仿宋_GB2312" w:cs="仿宋_GB2312"/>
                <w:b/>
                <w:sz w:val="24"/>
                <w:szCs w:val="21"/>
                <w:lang w:bidi="ar"/>
              </w:rPr>
              <w:t>产品销售情况</w:t>
            </w:r>
            <w:r>
              <w:rPr>
                <w:rFonts w:hint="eastAsia" w:ascii="仿宋_GB2312" w:hAnsi="仿宋_GB2312" w:eastAsia="仿宋_GB2312" w:cs="仿宋_GB2312"/>
                <w:b/>
                <w:sz w:val="24"/>
                <w:szCs w:val="21"/>
                <w:lang w:val="en-US" w:eastAsia="zh-CN" w:bidi="ar"/>
              </w:rPr>
              <w:t>怎么样？</w:t>
            </w:r>
          </w:p>
          <w:p w14:paraId="7557B70E">
            <w:pPr>
              <w:pStyle w:val="40"/>
              <w:numPr>
                <w:ilvl w:val="-1"/>
                <w:numId w:val="0"/>
              </w:numPr>
              <w:ind w:leftChars="0" w:firstLine="480" w:firstLineChars="200"/>
              <w:jc w:val="left"/>
              <w:rPr>
                <w:rFonts w:hint="eastAsia" w:ascii="仿宋_GB2312" w:hAnsi="仿宋_GB2312" w:eastAsia="仿宋_GB2312" w:cs="仿宋_GB2312"/>
                <w:b/>
                <w:bCs/>
                <w:sz w:val="24"/>
                <w:szCs w:val="24"/>
                <w:lang w:bidi="ar"/>
              </w:rPr>
            </w:pPr>
            <w:r>
              <w:rPr>
                <w:rFonts w:hint="eastAsia" w:ascii="仿宋_GB2312" w:hAnsi="仿宋_GB2312" w:eastAsia="仿宋_GB2312" w:cs="仿宋_GB2312"/>
                <w:i w:val="0"/>
                <w:iCs w:val="0"/>
                <w:caps w:val="0"/>
                <w:spacing w:val="0"/>
                <w:sz w:val="24"/>
                <w:szCs w:val="24"/>
                <w:shd w:val="clear"/>
                <w:lang w:bidi="ar"/>
              </w:rPr>
              <w:t>202</w:t>
            </w:r>
            <w:r>
              <w:rPr>
                <w:rFonts w:hint="eastAsia" w:ascii="仿宋_GB2312" w:hAnsi="仿宋_GB2312" w:eastAsia="仿宋_GB2312" w:cs="仿宋_GB2312"/>
                <w:i w:val="0"/>
                <w:iCs w:val="0"/>
                <w:caps w:val="0"/>
                <w:spacing w:val="0"/>
                <w:sz w:val="24"/>
                <w:szCs w:val="24"/>
                <w:shd w:val="clear"/>
                <w:lang w:eastAsia="zh-CN" w:bidi="ar"/>
              </w:rPr>
              <w:t>6</w:t>
            </w:r>
            <w:r>
              <w:rPr>
                <w:rFonts w:hint="eastAsia" w:ascii="仿宋_GB2312" w:hAnsi="仿宋_GB2312" w:eastAsia="仿宋_GB2312" w:cs="仿宋_GB2312"/>
                <w:i w:val="0"/>
                <w:iCs w:val="0"/>
                <w:caps w:val="0"/>
                <w:spacing w:val="0"/>
                <w:sz w:val="24"/>
                <w:szCs w:val="24"/>
                <w:shd w:val="clear"/>
                <w:lang w:bidi="ar"/>
              </w:rPr>
              <w:t>年</w:t>
            </w:r>
            <w:r>
              <w:rPr>
                <w:rFonts w:hint="eastAsia" w:ascii="仿宋_GB2312" w:hAnsi="仿宋_GB2312" w:eastAsia="仿宋_GB2312" w:cs="仿宋_GB2312"/>
                <w:b w:val="0"/>
                <w:bCs w:val="0"/>
                <w:i w:val="0"/>
                <w:iCs w:val="0"/>
                <w:caps w:val="0"/>
                <w:spacing w:val="0"/>
                <w:sz w:val="24"/>
                <w:szCs w:val="24"/>
                <w:shd w:val="clear"/>
                <w:lang w:bidi="ar"/>
              </w:rPr>
              <w:t>1月</w:t>
            </w:r>
            <w:r>
              <w:rPr>
                <w:rFonts w:hint="eastAsia" w:ascii="仿宋_GB2312" w:hAnsi="仿宋_GB2312" w:eastAsia="仿宋_GB2312" w:cs="仿宋_GB2312"/>
                <w:i w:val="0"/>
                <w:iCs w:val="0"/>
                <w:caps w:val="0"/>
                <w:spacing w:val="0"/>
                <w:sz w:val="24"/>
                <w:szCs w:val="24"/>
                <w:shd w:val="clear"/>
                <w:lang w:bidi="ar"/>
              </w:rPr>
              <w:t>，公司核心品种销售基本延续稳健增长态势，</w:t>
            </w:r>
            <w:r>
              <w:rPr>
                <w:rFonts w:hint="eastAsia" w:ascii="仿宋_GB2312" w:hAnsi="仿宋_GB2312" w:eastAsia="仿宋_GB2312" w:cs="仿宋_GB2312"/>
                <w:i w:val="0"/>
                <w:iCs w:val="0"/>
                <w:caps w:val="0"/>
                <w:spacing w:val="0"/>
                <w:sz w:val="24"/>
                <w:szCs w:val="24"/>
                <w:shd w:val="clear"/>
                <w:lang w:val="en-US" w:eastAsia="zh-CN" w:bidi="ar"/>
              </w:rPr>
              <w:t>销量</w:t>
            </w:r>
            <w:r>
              <w:rPr>
                <w:rFonts w:hint="eastAsia" w:ascii="仿宋_GB2312" w:hAnsi="仿宋_GB2312" w:eastAsia="仿宋_GB2312" w:cs="仿宋_GB2312"/>
                <w:i w:val="0"/>
                <w:iCs w:val="0"/>
                <w:caps w:val="0"/>
                <w:spacing w:val="0"/>
                <w:sz w:val="24"/>
                <w:szCs w:val="24"/>
                <w:shd w:val="clear"/>
                <w:lang w:bidi="ar"/>
              </w:rPr>
              <w:t>增长情况较好，其他二三线品种销售收入因受季节性、疾病图谱变化、市场竞争等因素影响有增有减，具体情况将在季度报告中进行披露，公司将稳步推进各项生产研发销售工作，创造更好业绩回报全体股东。</w:t>
            </w:r>
            <w:r>
              <w:rPr>
                <w:rFonts w:hint="eastAsia" w:ascii="仿宋_GB2312" w:hAnsi="仿宋_GB2312" w:eastAsia="仿宋_GB2312" w:cs="仿宋_GB2312"/>
                <w:b/>
                <w:bCs/>
                <w:i w:val="0"/>
                <w:iCs w:val="0"/>
                <w:caps w:val="0"/>
                <w:spacing w:val="0"/>
                <w:sz w:val="24"/>
                <w:szCs w:val="24"/>
                <w:shd w:val="clear"/>
                <w:lang w:bidi="ar"/>
              </w:rPr>
              <w:t>（风险提示：公司的产品销售规划能否实现取决于市场状况、经营环境、行业政策等多种因素，存在较大不确定性，部分前瞻预计不代表公司对202</w:t>
            </w:r>
            <w:r>
              <w:rPr>
                <w:rFonts w:hint="eastAsia" w:ascii="仿宋_GB2312" w:hAnsi="仿宋_GB2312" w:eastAsia="仿宋_GB2312" w:cs="仿宋_GB2312"/>
                <w:b/>
                <w:bCs/>
                <w:i w:val="0"/>
                <w:iCs w:val="0"/>
                <w:caps w:val="0"/>
                <w:spacing w:val="0"/>
                <w:sz w:val="24"/>
                <w:szCs w:val="24"/>
                <w:shd w:val="clear"/>
                <w:lang w:val="en-US" w:eastAsia="zh-CN" w:bidi="ar"/>
              </w:rPr>
              <w:t>6</w:t>
            </w:r>
            <w:r>
              <w:rPr>
                <w:rFonts w:hint="eastAsia" w:ascii="仿宋_GB2312" w:hAnsi="仿宋_GB2312" w:eastAsia="仿宋_GB2312" w:cs="仿宋_GB2312"/>
                <w:b/>
                <w:bCs/>
                <w:i w:val="0"/>
                <w:iCs w:val="0"/>
                <w:caps w:val="0"/>
                <w:spacing w:val="0"/>
                <w:sz w:val="24"/>
                <w:szCs w:val="24"/>
                <w:shd w:val="clear"/>
                <w:lang w:bidi="ar"/>
              </w:rPr>
              <w:t>年度的盈利预测及对投资者的业绩承诺，请投资者对此保持足够的风险意识，并注意投资风险）</w:t>
            </w:r>
          </w:p>
          <w:p w14:paraId="2BF3CADA">
            <w:pPr>
              <w:pStyle w:val="40"/>
              <w:numPr>
                <w:ilvl w:val="0"/>
                <w:numId w:val="1"/>
              </w:numPr>
              <w:ind w:firstLine="482"/>
              <w:rPr>
                <w:rFonts w:ascii="仿宋_GB2312" w:hAnsi="仿宋_GB2312" w:eastAsia="仿宋_GB2312" w:cs="仿宋_GB2312"/>
                <w:b/>
                <w:sz w:val="24"/>
                <w:lang w:bidi="ar"/>
              </w:rPr>
            </w:pPr>
            <w:r>
              <w:rPr>
                <w:rFonts w:hint="eastAsia" w:ascii="仿宋_GB2312" w:hAnsi="仿宋_GB2312" w:eastAsia="仿宋_GB2312" w:cs="仿宋_GB2312"/>
                <w:b/>
                <w:sz w:val="24"/>
                <w:lang w:bidi="ar"/>
              </w:rPr>
              <w:t>公司2025年业绩如何以及对2026年业绩有什么展望？</w:t>
            </w:r>
          </w:p>
          <w:p w14:paraId="490F6F63">
            <w:pPr>
              <w:pStyle w:val="40"/>
              <w:tabs>
                <w:tab w:val="left" w:pos="420"/>
              </w:tabs>
              <w:rPr>
                <w:rFonts w:ascii="仿宋_GB2312" w:hAnsi="仿宋_GB2312" w:eastAsia="仿宋_GB2312" w:cs="仿宋_GB2312"/>
                <w:sz w:val="24"/>
                <w:szCs w:val="24"/>
                <w:lang w:bidi="ar"/>
              </w:rPr>
            </w:pPr>
            <w:r>
              <w:rPr>
                <w:rFonts w:hint="eastAsia" w:ascii="仿宋_GB2312" w:hAnsi="仿宋_GB2312" w:eastAsia="仿宋_GB2312" w:cs="仿宋_GB2312"/>
                <w:sz w:val="24"/>
                <w:lang w:bidi="ar"/>
              </w:rPr>
              <w:t>2025年，公司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但四季度有所恢复，具体情况将在2025年年度报告中进行披露，公司将稳步推进各项生产研发销售工作，创造更好业绩回报全体股东。</w:t>
            </w:r>
            <w:r>
              <w:rPr>
                <w:rFonts w:hint="eastAsia" w:ascii="仿宋_GB2312" w:hAnsi="仿宋_GB2312" w:eastAsia="仿宋_GB2312" w:cs="仿宋_GB2312"/>
                <w:b/>
                <w:bCs/>
                <w:sz w:val="24"/>
                <w:lang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r>
              <w:rPr>
                <w:rFonts w:hint="eastAsia" w:ascii="仿宋_GB2312" w:hAnsi="仿宋_GB2312" w:eastAsia="仿宋_GB2312" w:cs="仿宋_GB2312"/>
                <w:sz w:val="24"/>
                <w:lang w:bidi="ar"/>
              </w:rPr>
              <w:t>公司聚焦“打造成为一家以中药创新药为核心的健康产业集团”的发展战略，促进资源整合和企业核心竞争力提升。在前述发展战略下，2026年，公司将继续围绕渠道下沉与提质增效下功夫，同时，推动品牌建设，高质量拓展中药创新药的市场占有率，同时稳步推进各项研发项目，为公司未来持续稳健发展奠定基础。目前，公司2026年的经营计划暂未完成，后续将根据工作进展及时提交董事会或股东会审议，并进行相应的信息披露。</w:t>
            </w:r>
          </w:p>
        </w:tc>
      </w:tr>
      <w:bookmarkEnd w:id="0"/>
      <w:bookmarkEnd w:id="1"/>
      <w:bookmarkEnd w:id="2"/>
      <w:tr w14:paraId="49C0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vAlign w:val="center"/>
          </w:tcPr>
          <w:p w14:paraId="2CF4807D">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14:paraId="71BF6637">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14:paraId="7566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vAlign w:val="center"/>
          </w:tcPr>
          <w:p w14:paraId="15FB6B42">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14:paraId="430307D1">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64FD6336">
      <w:pPr>
        <w:jc w:val="left"/>
        <w:rPr>
          <w:rFonts w:hint="eastAsia" w:ascii="仿宋_GB2312" w:hAnsi="仿宋_GB2312" w:eastAsia="仿宋_GB2312" w:cs="仿宋_GB2312"/>
          <w:b/>
          <w:bCs/>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1C89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91196">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23A91196">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33172"/>
    <w:multiLevelType w:val="multilevel"/>
    <w:tmpl w:val="64E33172"/>
    <w:lvl w:ilvl="0" w:tentative="0">
      <w:start w:val="1"/>
      <w:numFmt w:val="decimal"/>
      <w:suff w:val="nothing"/>
      <w:lvlText w:val="%1、"/>
      <w:lvlJc w:val="left"/>
      <w:pPr>
        <w:ind w:left="0" w:firstLine="0"/>
      </w:pPr>
      <w:rPr>
        <w:rFonts w:hint="default" w:ascii="仿宋_GB2312" w:hAnsi="仿宋_GB2312" w:eastAsia="仿宋_GB2312" w:cs="仿宋_GB2312"/>
        <w:b/>
        <w:bCs/>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3D13"/>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546F"/>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2307"/>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376A"/>
    <w:rsid w:val="00163D93"/>
    <w:rsid w:val="00163DF2"/>
    <w:rsid w:val="00167CDD"/>
    <w:rsid w:val="00167E07"/>
    <w:rsid w:val="001710F4"/>
    <w:rsid w:val="00172A27"/>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1C26"/>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17E1"/>
    <w:rsid w:val="00332517"/>
    <w:rsid w:val="00332E62"/>
    <w:rsid w:val="00333B32"/>
    <w:rsid w:val="00335277"/>
    <w:rsid w:val="003357D8"/>
    <w:rsid w:val="0034075A"/>
    <w:rsid w:val="0034305D"/>
    <w:rsid w:val="00344EE4"/>
    <w:rsid w:val="003459E0"/>
    <w:rsid w:val="00347373"/>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2D7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40E"/>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182F"/>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D6610"/>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1A4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A7EE4"/>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B267F"/>
    <w:rsid w:val="008B449A"/>
    <w:rsid w:val="008C11A9"/>
    <w:rsid w:val="008C3661"/>
    <w:rsid w:val="008C7E52"/>
    <w:rsid w:val="008C7EDE"/>
    <w:rsid w:val="008D0892"/>
    <w:rsid w:val="008E1A34"/>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91A"/>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080"/>
    <w:rsid w:val="009D4FDE"/>
    <w:rsid w:val="009E212D"/>
    <w:rsid w:val="009E2BBA"/>
    <w:rsid w:val="009E76A7"/>
    <w:rsid w:val="009F29CD"/>
    <w:rsid w:val="009F4910"/>
    <w:rsid w:val="009F69EB"/>
    <w:rsid w:val="009F7481"/>
    <w:rsid w:val="00A03CE0"/>
    <w:rsid w:val="00A055B8"/>
    <w:rsid w:val="00A06231"/>
    <w:rsid w:val="00A077C0"/>
    <w:rsid w:val="00A11EE3"/>
    <w:rsid w:val="00A12AB7"/>
    <w:rsid w:val="00A12ED9"/>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D91"/>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0814"/>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5A5E"/>
    <w:rsid w:val="00C36269"/>
    <w:rsid w:val="00C45746"/>
    <w:rsid w:val="00C45B4F"/>
    <w:rsid w:val="00C46715"/>
    <w:rsid w:val="00C47C3D"/>
    <w:rsid w:val="00C50428"/>
    <w:rsid w:val="00C51DD6"/>
    <w:rsid w:val="00C530E9"/>
    <w:rsid w:val="00C53D19"/>
    <w:rsid w:val="00C54165"/>
    <w:rsid w:val="00C56891"/>
    <w:rsid w:val="00C56B8C"/>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125"/>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48DB"/>
    <w:rsid w:val="00E259B0"/>
    <w:rsid w:val="00E27B9B"/>
    <w:rsid w:val="00E322C6"/>
    <w:rsid w:val="00E35927"/>
    <w:rsid w:val="00E36F70"/>
    <w:rsid w:val="00E4115B"/>
    <w:rsid w:val="00E4277E"/>
    <w:rsid w:val="00E450B3"/>
    <w:rsid w:val="00E5067B"/>
    <w:rsid w:val="00E50820"/>
    <w:rsid w:val="00E518CC"/>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A6249"/>
    <w:rsid w:val="00EB3CF9"/>
    <w:rsid w:val="00EB7671"/>
    <w:rsid w:val="00EB79B8"/>
    <w:rsid w:val="00EC15F9"/>
    <w:rsid w:val="00EC1816"/>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2F"/>
    <w:rsid w:val="00FC08B3"/>
    <w:rsid w:val="00FC0C12"/>
    <w:rsid w:val="00FC468A"/>
    <w:rsid w:val="00FC5DBB"/>
    <w:rsid w:val="00FD00DF"/>
    <w:rsid w:val="00FD56C1"/>
    <w:rsid w:val="00FD6314"/>
    <w:rsid w:val="00FE0765"/>
    <w:rsid w:val="00FE39FE"/>
    <w:rsid w:val="00FF1031"/>
    <w:rsid w:val="00FF165B"/>
    <w:rsid w:val="00FF31EF"/>
    <w:rsid w:val="00FF5F8F"/>
    <w:rsid w:val="012F03EF"/>
    <w:rsid w:val="014217C9"/>
    <w:rsid w:val="018E4D4F"/>
    <w:rsid w:val="01BD2144"/>
    <w:rsid w:val="022B3DE0"/>
    <w:rsid w:val="02352D25"/>
    <w:rsid w:val="025D69E7"/>
    <w:rsid w:val="027D5519"/>
    <w:rsid w:val="02E65D4A"/>
    <w:rsid w:val="02F32E86"/>
    <w:rsid w:val="02FE7C45"/>
    <w:rsid w:val="033327F6"/>
    <w:rsid w:val="036D2E22"/>
    <w:rsid w:val="03964581"/>
    <w:rsid w:val="039F38F9"/>
    <w:rsid w:val="04513BA5"/>
    <w:rsid w:val="047B4CE7"/>
    <w:rsid w:val="048879EE"/>
    <w:rsid w:val="04973F5D"/>
    <w:rsid w:val="04BF1BA5"/>
    <w:rsid w:val="04EA3B94"/>
    <w:rsid w:val="051C2CDE"/>
    <w:rsid w:val="0527650C"/>
    <w:rsid w:val="053C7FED"/>
    <w:rsid w:val="05854A64"/>
    <w:rsid w:val="05B559EA"/>
    <w:rsid w:val="05C13A9E"/>
    <w:rsid w:val="05FC230E"/>
    <w:rsid w:val="06055C57"/>
    <w:rsid w:val="063464D6"/>
    <w:rsid w:val="064569AB"/>
    <w:rsid w:val="06594433"/>
    <w:rsid w:val="065A6178"/>
    <w:rsid w:val="06FC0A3D"/>
    <w:rsid w:val="06FD1204"/>
    <w:rsid w:val="070E1304"/>
    <w:rsid w:val="070F33A6"/>
    <w:rsid w:val="0750124D"/>
    <w:rsid w:val="07535203"/>
    <w:rsid w:val="079371E0"/>
    <w:rsid w:val="07BC2197"/>
    <w:rsid w:val="07D57B91"/>
    <w:rsid w:val="07DA21A3"/>
    <w:rsid w:val="080A5EBF"/>
    <w:rsid w:val="080B4D38"/>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684A5B"/>
    <w:rsid w:val="0C7038AA"/>
    <w:rsid w:val="0C77062B"/>
    <w:rsid w:val="0C806248"/>
    <w:rsid w:val="0C8A5A23"/>
    <w:rsid w:val="0CD03AED"/>
    <w:rsid w:val="0CE43E2E"/>
    <w:rsid w:val="0D6A5529"/>
    <w:rsid w:val="0D8929E8"/>
    <w:rsid w:val="0DD124B7"/>
    <w:rsid w:val="0DEA55DF"/>
    <w:rsid w:val="0DEE7869"/>
    <w:rsid w:val="0E1D025D"/>
    <w:rsid w:val="0E2A70F9"/>
    <w:rsid w:val="0E63139C"/>
    <w:rsid w:val="0E662472"/>
    <w:rsid w:val="0E750CB5"/>
    <w:rsid w:val="0E9005E7"/>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580B97"/>
    <w:rsid w:val="11EF57FA"/>
    <w:rsid w:val="122725FE"/>
    <w:rsid w:val="123E76E9"/>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966195"/>
    <w:rsid w:val="15B13CA7"/>
    <w:rsid w:val="15CA0B29"/>
    <w:rsid w:val="15CA354C"/>
    <w:rsid w:val="15E4036A"/>
    <w:rsid w:val="15FE6E16"/>
    <w:rsid w:val="16247865"/>
    <w:rsid w:val="166F1ADC"/>
    <w:rsid w:val="166F4819"/>
    <w:rsid w:val="16912E4D"/>
    <w:rsid w:val="16957847"/>
    <w:rsid w:val="16B40FC8"/>
    <w:rsid w:val="16B56AEF"/>
    <w:rsid w:val="16BD2DAB"/>
    <w:rsid w:val="17152BFA"/>
    <w:rsid w:val="173B7447"/>
    <w:rsid w:val="178564C1"/>
    <w:rsid w:val="1794664F"/>
    <w:rsid w:val="17BB29A8"/>
    <w:rsid w:val="17E02C37"/>
    <w:rsid w:val="17FD48A4"/>
    <w:rsid w:val="180345D6"/>
    <w:rsid w:val="1810708E"/>
    <w:rsid w:val="18166994"/>
    <w:rsid w:val="18284470"/>
    <w:rsid w:val="188607C6"/>
    <w:rsid w:val="188A3382"/>
    <w:rsid w:val="188B614D"/>
    <w:rsid w:val="1940394D"/>
    <w:rsid w:val="19A15533"/>
    <w:rsid w:val="19D54CF7"/>
    <w:rsid w:val="19E20F0C"/>
    <w:rsid w:val="19FD6F54"/>
    <w:rsid w:val="1A135155"/>
    <w:rsid w:val="1A404D20"/>
    <w:rsid w:val="1A450A03"/>
    <w:rsid w:val="1A5B6587"/>
    <w:rsid w:val="1A78039C"/>
    <w:rsid w:val="1AA30920"/>
    <w:rsid w:val="1ACA29FE"/>
    <w:rsid w:val="1B65203D"/>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68309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D74E97"/>
    <w:rsid w:val="21E44EAD"/>
    <w:rsid w:val="22072C8D"/>
    <w:rsid w:val="221029F2"/>
    <w:rsid w:val="2233066A"/>
    <w:rsid w:val="22454890"/>
    <w:rsid w:val="22D16EAF"/>
    <w:rsid w:val="22DE231F"/>
    <w:rsid w:val="233F0961"/>
    <w:rsid w:val="23430C39"/>
    <w:rsid w:val="23553C79"/>
    <w:rsid w:val="237A3297"/>
    <w:rsid w:val="23A25387"/>
    <w:rsid w:val="23C20579"/>
    <w:rsid w:val="23E41475"/>
    <w:rsid w:val="23FD2397"/>
    <w:rsid w:val="24084503"/>
    <w:rsid w:val="240B0879"/>
    <w:rsid w:val="24187544"/>
    <w:rsid w:val="24264C19"/>
    <w:rsid w:val="24382508"/>
    <w:rsid w:val="24EA6C7B"/>
    <w:rsid w:val="251175E6"/>
    <w:rsid w:val="25700DFA"/>
    <w:rsid w:val="257C7BBC"/>
    <w:rsid w:val="25D3309D"/>
    <w:rsid w:val="25E43BA7"/>
    <w:rsid w:val="25E52FB7"/>
    <w:rsid w:val="26316C74"/>
    <w:rsid w:val="26777C58"/>
    <w:rsid w:val="269223E7"/>
    <w:rsid w:val="26AB5400"/>
    <w:rsid w:val="26B07208"/>
    <w:rsid w:val="270D4A2F"/>
    <w:rsid w:val="270E2D46"/>
    <w:rsid w:val="27315583"/>
    <w:rsid w:val="2781077E"/>
    <w:rsid w:val="279956AA"/>
    <w:rsid w:val="27B578FB"/>
    <w:rsid w:val="27E2526A"/>
    <w:rsid w:val="280C2C81"/>
    <w:rsid w:val="280D7590"/>
    <w:rsid w:val="281D794C"/>
    <w:rsid w:val="28204581"/>
    <w:rsid w:val="28276644"/>
    <w:rsid w:val="28337203"/>
    <w:rsid w:val="285C14C0"/>
    <w:rsid w:val="290B0851"/>
    <w:rsid w:val="294A3B8E"/>
    <w:rsid w:val="294F5552"/>
    <w:rsid w:val="298E3D93"/>
    <w:rsid w:val="29AA01EA"/>
    <w:rsid w:val="29D47291"/>
    <w:rsid w:val="29FC4F6A"/>
    <w:rsid w:val="2A441E71"/>
    <w:rsid w:val="2AB030E8"/>
    <w:rsid w:val="2AB92E84"/>
    <w:rsid w:val="2AC3165C"/>
    <w:rsid w:val="2AC80293"/>
    <w:rsid w:val="2AE71321"/>
    <w:rsid w:val="2B4C4117"/>
    <w:rsid w:val="2B513A1E"/>
    <w:rsid w:val="2B8F13B9"/>
    <w:rsid w:val="2BA744FB"/>
    <w:rsid w:val="2BBC5471"/>
    <w:rsid w:val="2BCC6C54"/>
    <w:rsid w:val="2BD15861"/>
    <w:rsid w:val="2BE82EB3"/>
    <w:rsid w:val="2C1377E4"/>
    <w:rsid w:val="2C92669A"/>
    <w:rsid w:val="2C972AC7"/>
    <w:rsid w:val="2CCE5985"/>
    <w:rsid w:val="2CFB0C2C"/>
    <w:rsid w:val="2D025963"/>
    <w:rsid w:val="2D0574F7"/>
    <w:rsid w:val="2D2A760E"/>
    <w:rsid w:val="2D4C2F71"/>
    <w:rsid w:val="2D4E0D94"/>
    <w:rsid w:val="2D8158E0"/>
    <w:rsid w:val="2DB558CF"/>
    <w:rsid w:val="2DC437C3"/>
    <w:rsid w:val="2E5205ED"/>
    <w:rsid w:val="2E720143"/>
    <w:rsid w:val="2E9D7E47"/>
    <w:rsid w:val="2EA96374"/>
    <w:rsid w:val="2EB73CF8"/>
    <w:rsid w:val="2F0B66E4"/>
    <w:rsid w:val="2F193C67"/>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2BA51EF"/>
    <w:rsid w:val="33172916"/>
    <w:rsid w:val="33AB50A9"/>
    <w:rsid w:val="33BA63EC"/>
    <w:rsid w:val="33C137F8"/>
    <w:rsid w:val="33E76AFF"/>
    <w:rsid w:val="33F94D37"/>
    <w:rsid w:val="340E6A52"/>
    <w:rsid w:val="3437105F"/>
    <w:rsid w:val="34671A0C"/>
    <w:rsid w:val="34A3313E"/>
    <w:rsid w:val="34B25EEA"/>
    <w:rsid w:val="34C82D26"/>
    <w:rsid w:val="34D95AE7"/>
    <w:rsid w:val="34E116D1"/>
    <w:rsid w:val="34E455D8"/>
    <w:rsid w:val="34F90FC7"/>
    <w:rsid w:val="351568D9"/>
    <w:rsid w:val="352C13AF"/>
    <w:rsid w:val="355A03B0"/>
    <w:rsid w:val="35C9034A"/>
    <w:rsid w:val="36073DE5"/>
    <w:rsid w:val="361E4D75"/>
    <w:rsid w:val="36264ECD"/>
    <w:rsid w:val="36382222"/>
    <w:rsid w:val="364F434D"/>
    <w:rsid w:val="366B3B7A"/>
    <w:rsid w:val="366E4E6B"/>
    <w:rsid w:val="368C40FC"/>
    <w:rsid w:val="3692550A"/>
    <w:rsid w:val="369B64A1"/>
    <w:rsid w:val="36D37903"/>
    <w:rsid w:val="36E2469A"/>
    <w:rsid w:val="36EB413B"/>
    <w:rsid w:val="370139B1"/>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17846"/>
    <w:rsid w:val="3AF6384B"/>
    <w:rsid w:val="3B1A57AD"/>
    <w:rsid w:val="3B3E2840"/>
    <w:rsid w:val="3B5564E5"/>
    <w:rsid w:val="3BA8397D"/>
    <w:rsid w:val="3BC0156B"/>
    <w:rsid w:val="3BC83BA3"/>
    <w:rsid w:val="3C3379CF"/>
    <w:rsid w:val="3C3925D8"/>
    <w:rsid w:val="3C5332FF"/>
    <w:rsid w:val="3CC2763E"/>
    <w:rsid w:val="3CCF6EAD"/>
    <w:rsid w:val="3D0F0211"/>
    <w:rsid w:val="3D1A2EA6"/>
    <w:rsid w:val="3D436BE6"/>
    <w:rsid w:val="3D8231C1"/>
    <w:rsid w:val="3D9D2CBE"/>
    <w:rsid w:val="3DB868D1"/>
    <w:rsid w:val="3DC45377"/>
    <w:rsid w:val="3DE56621"/>
    <w:rsid w:val="3DF45431"/>
    <w:rsid w:val="3DFA6393"/>
    <w:rsid w:val="3DFB09DB"/>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BE5E38"/>
    <w:rsid w:val="40E16D7E"/>
    <w:rsid w:val="41160F81"/>
    <w:rsid w:val="41220E6C"/>
    <w:rsid w:val="41375727"/>
    <w:rsid w:val="413A2C90"/>
    <w:rsid w:val="41A0173B"/>
    <w:rsid w:val="42134546"/>
    <w:rsid w:val="42164036"/>
    <w:rsid w:val="421957B9"/>
    <w:rsid w:val="4249266A"/>
    <w:rsid w:val="42536FE0"/>
    <w:rsid w:val="42894983"/>
    <w:rsid w:val="42A3643B"/>
    <w:rsid w:val="42A54B34"/>
    <w:rsid w:val="42C8640B"/>
    <w:rsid w:val="42EB4570"/>
    <w:rsid w:val="430C640E"/>
    <w:rsid w:val="431C0B45"/>
    <w:rsid w:val="432561CA"/>
    <w:rsid w:val="436D7F1A"/>
    <w:rsid w:val="437C4D4D"/>
    <w:rsid w:val="438A58A2"/>
    <w:rsid w:val="43BA36A6"/>
    <w:rsid w:val="43D46ACE"/>
    <w:rsid w:val="43F92A44"/>
    <w:rsid w:val="441C53CD"/>
    <w:rsid w:val="446A5719"/>
    <w:rsid w:val="44FD631E"/>
    <w:rsid w:val="453F76F1"/>
    <w:rsid w:val="456A2DB6"/>
    <w:rsid w:val="45854F53"/>
    <w:rsid w:val="45B23252"/>
    <w:rsid w:val="45E35BFF"/>
    <w:rsid w:val="45E90200"/>
    <w:rsid w:val="45F20BF7"/>
    <w:rsid w:val="461F3822"/>
    <w:rsid w:val="464004CF"/>
    <w:rsid w:val="46B4048E"/>
    <w:rsid w:val="46F25D74"/>
    <w:rsid w:val="47035794"/>
    <w:rsid w:val="472A7ACA"/>
    <w:rsid w:val="477F71A6"/>
    <w:rsid w:val="479A3377"/>
    <w:rsid w:val="47A85730"/>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253AC7"/>
    <w:rsid w:val="4B380F77"/>
    <w:rsid w:val="4B431506"/>
    <w:rsid w:val="4B46248B"/>
    <w:rsid w:val="4B754D9F"/>
    <w:rsid w:val="4B8C69DC"/>
    <w:rsid w:val="4B932BB8"/>
    <w:rsid w:val="4B9E5618"/>
    <w:rsid w:val="4B9F389D"/>
    <w:rsid w:val="4BD933C8"/>
    <w:rsid w:val="4BEB5035"/>
    <w:rsid w:val="4C0B10E1"/>
    <w:rsid w:val="4C1E270B"/>
    <w:rsid w:val="4C587AF2"/>
    <w:rsid w:val="4C644E61"/>
    <w:rsid w:val="4CBD221E"/>
    <w:rsid w:val="4CBE1F11"/>
    <w:rsid w:val="4CD40998"/>
    <w:rsid w:val="4CD82060"/>
    <w:rsid w:val="4D0805A5"/>
    <w:rsid w:val="4D212875"/>
    <w:rsid w:val="4D3E07AA"/>
    <w:rsid w:val="4D6B4AA2"/>
    <w:rsid w:val="4DDD53AD"/>
    <w:rsid w:val="4DF62707"/>
    <w:rsid w:val="4DF630E3"/>
    <w:rsid w:val="4E581666"/>
    <w:rsid w:val="4EA82245"/>
    <w:rsid w:val="4EB86532"/>
    <w:rsid w:val="4EBC7D13"/>
    <w:rsid w:val="4EEB25CF"/>
    <w:rsid w:val="4F180B72"/>
    <w:rsid w:val="4F321174"/>
    <w:rsid w:val="4F516A97"/>
    <w:rsid w:val="4F86508C"/>
    <w:rsid w:val="4F946CF5"/>
    <w:rsid w:val="4FB0312E"/>
    <w:rsid w:val="4FE1061B"/>
    <w:rsid w:val="4FF060DC"/>
    <w:rsid w:val="4FF75155"/>
    <w:rsid w:val="4FFE4E45"/>
    <w:rsid w:val="5026608B"/>
    <w:rsid w:val="50684785"/>
    <w:rsid w:val="50A56159"/>
    <w:rsid w:val="50D64084"/>
    <w:rsid w:val="51491259"/>
    <w:rsid w:val="51603CB9"/>
    <w:rsid w:val="516D145A"/>
    <w:rsid w:val="5196337F"/>
    <w:rsid w:val="51AF21F9"/>
    <w:rsid w:val="51C40C7B"/>
    <w:rsid w:val="523D083B"/>
    <w:rsid w:val="524F5082"/>
    <w:rsid w:val="527D1264"/>
    <w:rsid w:val="528662D1"/>
    <w:rsid w:val="5288688A"/>
    <w:rsid w:val="52970563"/>
    <w:rsid w:val="52AD1941"/>
    <w:rsid w:val="52BC31C2"/>
    <w:rsid w:val="52E86944"/>
    <w:rsid w:val="53384CFE"/>
    <w:rsid w:val="53434308"/>
    <w:rsid w:val="53541A12"/>
    <w:rsid w:val="53560F47"/>
    <w:rsid w:val="537A1FBA"/>
    <w:rsid w:val="53850296"/>
    <w:rsid w:val="538B39A0"/>
    <w:rsid w:val="539D33F0"/>
    <w:rsid w:val="53A524E0"/>
    <w:rsid w:val="53C11DF6"/>
    <w:rsid w:val="53F160BF"/>
    <w:rsid w:val="5411183C"/>
    <w:rsid w:val="54232975"/>
    <w:rsid w:val="543B5443"/>
    <w:rsid w:val="54635E6B"/>
    <w:rsid w:val="54977F44"/>
    <w:rsid w:val="54C42F2D"/>
    <w:rsid w:val="54ED681A"/>
    <w:rsid w:val="552A3CFB"/>
    <w:rsid w:val="55AC0D33"/>
    <w:rsid w:val="55AD5391"/>
    <w:rsid w:val="55B34786"/>
    <w:rsid w:val="55BF00BC"/>
    <w:rsid w:val="55C24022"/>
    <w:rsid w:val="5615077B"/>
    <w:rsid w:val="562333F5"/>
    <w:rsid w:val="563E3789"/>
    <w:rsid w:val="564568B7"/>
    <w:rsid w:val="565C54FE"/>
    <w:rsid w:val="56DB620A"/>
    <w:rsid w:val="56E731ED"/>
    <w:rsid w:val="56F269C8"/>
    <w:rsid w:val="57014E5D"/>
    <w:rsid w:val="57230737"/>
    <w:rsid w:val="577B076B"/>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969EF"/>
    <w:rsid w:val="5B2B529F"/>
    <w:rsid w:val="5B417AB4"/>
    <w:rsid w:val="5BCE79F6"/>
    <w:rsid w:val="5BED0BE1"/>
    <w:rsid w:val="5BF65C6D"/>
    <w:rsid w:val="5BFE1F0E"/>
    <w:rsid w:val="5BFE7BBD"/>
    <w:rsid w:val="5C123C78"/>
    <w:rsid w:val="5C6E089F"/>
    <w:rsid w:val="5CA11838"/>
    <w:rsid w:val="5CB42BA8"/>
    <w:rsid w:val="5CC34E30"/>
    <w:rsid w:val="5D735167"/>
    <w:rsid w:val="5DDA10EB"/>
    <w:rsid w:val="5E394450"/>
    <w:rsid w:val="5E3E16BA"/>
    <w:rsid w:val="5E4A64C2"/>
    <w:rsid w:val="5E4D117D"/>
    <w:rsid w:val="5E6023D7"/>
    <w:rsid w:val="5E675BA5"/>
    <w:rsid w:val="5EAE2963"/>
    <w:rsid w:val="5EB22BAB"/>
    <w:rsid w:val="5EBF1A7F"/>
    <w:rsid w:val="5EDD4C08"/>
    <w:rsid w:val="5F1D39D5"/>
    <w:rsid w:val="5F1F1B61"/>
    <w:rsid w:val="5F2F7F87"/>
    <w:rsid w:val="5F5B557E"/>
    <w:rsid w:val="5F8F6BEA"/>
    <w:rsid w:val="5F92791C"/>
    <w:rsid w:val="5F9F6F12"/>
    <w:rsid w:val="5FDE7BC3"/>
    <w:rsid w:val="5FF22B4C"/>
    <w:rsid w:val="603463A7"/>
    <w:rsid w:val="604030F9"/>
    <w:rsid w:val="60490185"/>
    <w:rsid w:val="60496D6F"/>
    <w:rsid w:val="60605BAC"/>
    <w:rsid w:val="606D0FAD"/>
    <w:rsid w:val="60B55DD5"/>
    <w:rsid w:val="61135B71"/>
    <w:rsid w:val="6154579E"/>
    <w:rsid w:val="62154F79"/>
    <w:rsid w:val="627E48A2"/>
    <w:rsid w:val="62B72F47"/>
    <w:rsid w:val="62BE1E64"/>
    <w:rsid w:val="63355583"/>
    <w:rsid w:val="633E5164"/>
    <w:rsid w:val="633F58A6"/>
    <w:rsid w:val="638D3C20"/>
    <w:rsid w:val="63B36C0C"/>
    <w:rsid w:val="63E61C76"/>
    <w:rsid w:val="64054C9A"/>
    <w:rsid w:val="6437382B"/>
    <w:rsid w:val="644260BD"/>
    <w:rsid w:val="645967C2"/>
    <w:rsid w:val="647145D8"/>
    <w:rsid w:val="64B54232"/>
    <w:rsid w:val="64C95114"/>
    <w:rsid w:val="64F63CD8"/>
    <w:rsid w:val="64FF63E0"/>
    <w:rsid w:val="651416B1"/>
    <w:rsid w:val="65151ECC"/>
    <w:rsid w:val="653D5B41"/>
    <w:rsid w:val="654724C9"/>
    <w:rsid w:val="658744C7"/>
    <w:rsid w:val="65AE37E0"/>
    <w:rsid w:val="65DD4C33"/>
    <w:rsid w:val="65E74C3F"/>
    <w:rsid w:val="662A1BBB"/>
    <w:rsid w:val="66375E83"/>
    <w:rsid w:val="663904A0"/>
    <w:rsid w:val="664B20E9"/>
    <w:rsid w:val="664F7AE6"/>
    <w:rsid w:val="666A0D54"/>
    <w:rsid w:val="66885F57"/>
    <w:rsid w:val="66BE1539"/>
    <w:rsid w:val="66D1570D"/>
    <w:rsid w:val="66EC590A"/>
    <w:rsid w:val="66FC2178"/>
    <w:rsid w:val="67A1307C"/>
    <w:rsid w:val="67B64C01"/>
    <w:rsid w:val="67FD60FF"/>
    <w:rsid w:val="681D225E"/>
    <w:rsid w:val="68452FDC"/>
    <w:rsid w:val="685E5ED4"/>
    <w:rsid w:val="68A4383E"/>
    <w:rsid w:val="68B25FB7"/>
    <w:rsid w:val="68D22F5A"/>
    <w:rsid w:val="697845B2"/>
    <w:rsid w:val="6A617017"/>
    <w:rsid w:val="6A7A5853"/>
    <w:rsid w:val="6A9421F2"/>
    <w:rsid w:val="6AB5142D"/>
    <w:rsid w:val="6AB824CE"/>
    <w:rsid w:val="6AC00E5F"/>
    <w:rsid w:val="6AE75B16"/>
    <w:rsid w:val="6B0C658F"/>
    <w:rsid w:val="6B7001E8"/>
    <w:rsid w:val="6BBA5BE1"/>
    <w:rsid w:val="6BBF33BA"/>
    <w:rsid w:val="6BC952E4"/>
    <w:rsid w:val="6BF37163"/>
    <w:rsid w:val="6C013C52"/>
    <w:rsid w:val="6C2868A4"/>
    <w:rsid w:val="6C2A3146"/>
    <w:rsid w:val="6C3A5CEF"/>
    <w:rsid w:val="6C4C0CB8"/>
    <w:rsid w:val="6CD559E6"/>
    <w:rsid w:val="6CD6478D"/>
    <w:rsid w:val="6D124381"/>
    <w:rsid w:val="6D3F274E"/>
    <w:rsid w:val="6D423D44"/>
    <w:rsid w:val="6D4455CD"/>
    <w:rsid w:val="6D4740E4"/>
    <w:rsid w:val="6D6C1710"/>
    <w:rsid w:val="6DA22D00"/>
    <w:rsid w:val="6E4E7D90"/>
    <w:rsid w:val="6E506811"/>
    <w:rsid w:val="6E644B81"/>
    <w:rsid w:val="6EB0658C"/>
    <w:rsid w:val="6F061723"/>
    <w:rsid w:val="6F12734A"/>
    <w:rsid w:val="6F262866"/>
    <w:rsid w:val="6F9604DF"/>
    <w:rsid w:val="6FB22F6B"/>
    <w:rsid w:val="6FBC3FB7"/>
    <w:rsid w:val="6FBF132B"/>
    <w:rsid w:val="7004047F"/>
    <w:rsid w:val="70206DF3"/>
    <w:rsid w:val="703809D3"/>
    <w:rsid w:val="70710F4C"/>
    <w:rsid w:val="70837843"/>
    <w:rsid w:val="70D35CA6"/>
    <w:rsid w:val="70EE6D98"/>
    <w:rsid w:val="71230D83"/>
    <w:rsid w:val="714C615E"/>
    <w:rsid w:val="71507FDC"/>
    <w:rsid w:val="71BF3502"/>
    <w:rsid w:val="71D45F6B"/>
    <w:rsid w:val="72205CFC"/>
    <w:rsid w:val="722966D8"/>
    <w:rsid w:val="7296631F"/>
    <w:rsid w:val="7297468D"/>
    <w:rsid w:val="7306762B"/>
    <w:rsid w:val="732867D4"/>
    <w:rsid w:val="733D612F"/>
    <w:rsid w:val="73424B26"/>
    <w:rsid w:val="73852C46"/>
    <w:rsid w:val="738A3D5C"/>
    <w:rsid w:val="73BE0FBF"/>
    <w:rsid w:val="73C67F66"/>
    <w:rsid w:val="73CB4193"/>
    <w:rsid w:val="741A5388"/>
    <w:rsid w:val="7467234B"/>
    <w:rsid w:val="74822894"/>
    <w:rsid w:val="749C7372"/>
    <w:rsid w:val="74B922B7"/>
    <w:rsid w:val="74C87E25"/>
    <w:rsid w:val="74D22BD0"/>
    <w:rsid w:val="75517C5B"/>
    <w:rsid w:val="755D0DC8"/>
    <w:rsid w:val="75A17B08"/>
    <w:rsid w:val="75A9656A"/>
    <w:rsid w:val="75B64ECC"/>
    <w:rsid w:val="75C31128"/>
    <w:rsid w:val="75EF420F"/>
    <w:rsid w:val="75F33817"/>
    <w:rsid w:val="763F7A2C"/>
    <w:rsid w:val="76411D1C"/>
    <w:rsid w:val="76E82E18"/>
    <w:rsid w:val="76EA3EA2"/>
    <w:rsid w:val="771E387C"/>
    <w:rsid w:val="773270B0"/>
    <w:rsid w:val="774619DC"/>
    <w:rsid w:val="77555AD4"/>
    <w:rsid w:val="777122B2"/>
    <w:rsid w:val="77A95CDF"/>
    <w:rsid w:val="77D32D21"/>
    <w:rsid w:val="78424BD9"/>
    <w:rsid w:val="78603BB9"/>
    <w:rsid w:val="787F5B7E"/>
    <w:rsid w:val="78A648FD"/>
    <w:rsid w:val="78B94EA1"/>
    <w:rsid w:val="790A4955"/>
    <w:rsid w:val="792802D4"/>
    <w:rsid w:val="793014C6"/>
    <w:rsid w:val="79491335"/>
    <w:rsid w:val="795B5D7C"/>
    <w:rsid w:val="796219BB"/>
    <w:rsid w:val="79677B49"/>
    <w:rsid w:val="79A94D1C"/>
    <w:rsid w:val="7A622655"/>
    <w:rsid w:val="7AB46BDC"/>
    <w:rsid w:val="7ABE483D"/>
    <w:rsid w:val="7AF325A0"/>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21846"/>
    <w:rsid w:val="7E1267F3"/>
    <w:rsid w:val="7E292D8B"/>
    <w:rsid w:val="7E4F1946"/>
    <w:rsid w:val="7E543940"/>
    <w:rsid w:val="7E65736C"/>
    <w:rsid w:val="7E690089"/>
    <w:rsid w:val="7E765088"/>
    <w:rsid w:val="7E7B0FA6"/>
    <w:rsid w:val="7E9E18FF"/>
    <w:rsid w:val="7F466DB8"/>
    <w:rsid w:val="7F544A77"/>
    <w:rsid w:val="7F56654B"/>
    <w:rsid w:val="7F8F79E4"/>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0"/>
    <w:rPr>
      <w:rFonts w:ascii="宋体"/>
      <w:sz w:val="18"/>
      <w:szCs w:val="18"/>
    </w:rPr>
  </w:style>
  <w:style w:type="paragraph" w:styleId="5">
    <w:name w:val="annotation text"/>
    <w:basedOn w:val="1"/>
    <w:link w:val="19"/>
    <w:qFormat/>
    <w:uiPriority w:val="0"/>
    <w:pPr>
      <w:jc w:val="left"/>
    </w:pPr>
  </w:style>
  <w:style w:type="paragraph" w:styleId="6">
    <w:name w:val="Balloon Text"/>
    <w:basedOn w:val="1"/>
    <w:link w:val="20"/>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3"/>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文档结构图 字符"/>
    <w:link w:val="4"/>
    <w:semiHidden/>
    <w:qFormat/>
    <w:uiPriority w:val="0"/>
    <w:rPr>
      <w:rFonts w:ascii="宋体" w:hAnsi="Calibri"/>
      <w:kern w:val="2"/>
      <w:sz w:val="18"/>
      <w:szCs w:val="18"/>
    </w:rPr>
  </w:style>
  <w:style w:type="character" w:customStyle="1" w:styleId="19">
    <w:name w:val="批注文字 字符"/>
    <w:link w:val="5"/>
    <w:qFormat/>
    <w:uiPriority w:val="0"/>
    <w:rPr>
      <w:rFonts w:ascii="Calibri" w:hAnsi="Calibri" w:eastAsia="宋体" w:cs="Times New Roman"/>
      <w:kern w:val="2"/>
      <w:sz w:val="21"/>
      <w:szCs w:val="24"/>
    </w:rPr>
  </w:style>
  <w:style w:type="character" w:customStyle="1" w:styleId="20">
    <w:name w:val="批注框文本 字符"/>
    <w:link w:val="6"/>
    <w:qFormat/>
    <w:uiPriority w:val="0"/>
    <w:rPr>
      <w:kern w:val="2"/>
      <w:sz w:val="18"/>
      <w:szCs w:val="18"/>
    </w:rPr>
  </w:style>
  <w:style w:type="character" w:customStyle="1" w:styleId="21">
    <w:name w:val="页脚 字符"/>
    <w:link w:val="7"/>
    <w:qFormat/>
    <w:uiPriority w:val="0"/>
    <w:rPr>
      <w:kern w:val="2"/>
      <w:sz w:val="18"/>
      <w:szCs w:val="18"/>
    </w:rPr>
  </w:style>
  <w:style w:type="character" w:customStyle="1" w:styleId="22">
    <w:name w:val="页眉 字符"/>
    <w:link w:val="8"/>
    <w:qFormat/>
    <w:uiPriority w:val="0"/>
    <w:rPr>
      <w:kern w:val="2"/>
      <w:sz w:val="18"/>
      <w:szCs w:val="18"/>
    </w:rPr>
  </w:style>
  <w:style w:type="character" w:customStyle="1" w:styleId="23">
    <w:name w:val="批注主题 字符"/>
    <w:link w:val="10"/>
    <w:qFormat/>
    <w:uiPriority w:val="0"/>
    <w:rPr>
      <w:rFonts w:ascii="Calibri" w:hAnsi="Calibri" w:eastAsia="宋体" w:cs="Times New Roman"/>
      <w:b/>
      <w:bCs/>
      <w:kern w:val="2"/>
      <w:sz w:val="21"/>
      <w:szCs w:val="24"/>
    </w:rPr>
  </w:style>
  <w:style w:type="character" w:customStyle="1" w:styleId="24">
    <w:name w:val="005 文 Char"/>
    <w:link w:val="25"/>
    <w:qFormat/>
    <w:uiPriority w:val="0"/>
    <w:rPr>
      <w:kern w:val="2"/>
      <w:sz w:val="24"/>
      <w:szCs w:val="24"/>
    </w:rPr>
  </w:style>
  <w:style w:type="paragraph" w:customStyle="1" w:styleId="25">
    <w:name w:val="005 文"/>
    <w:basedOn w:val="1"/>
    <w:link w:val="24"/>
    <w:qFormat/>
    <w:uiPriority w:val="0"/>
    <w:pPr>
      <w:spacing w:beforeLines="50" w:after="100" w:afterAutospacing="1" w:line="360" w:lineRule="auto"/>
      <w:ind w:firstLine="200" w:firstLineChars="200"/>
    </w:pPr>
    <w:rPr>
      <w:sz w:val="24"/>
    </w:rPr>
  </w:style>
  <w:style w:type="character" w:customStyle="1" w:styleId="26">
    <w:name w:val="006 左 Char"/>
    <w:link w:val="27"/>
    <w:qFormat/>
    <w:uiPriority w:val="0"/>
    <w:rPr>
      <w:kern w:val="2"/>
      <w:sz w:val="21"/>
      <w:szCs w:val="22"/>
      <w:lang w:val="en-US" w:eastAsia="zh-CN" w:bidi="ar-SA"/>
    </w:rPr>
  </w:style>
  <w:style w:type="paragraph" w:customStyle="1" w:styleId="27">
    <w:name w:val="006 左"/>
    <w:link w:val="26"/>
    <w:qFormat/>
    <w:uiPriority w:val="0"/>
    <w:rPr>
      <w:rFonts w:ascii="Times New Roman" w:hAnsi="Times New Roman" w:eastAsia="宋体" w:cs="Times New Roman"/>
      <w:kern w:val="2"/>
      <w:sz w:val="21"/>
      <w:szCs w:val="22"/>
      <w:lang w:val="en-US" w:eastAsia="zh-CN" w:bidi="ar-SA"/>
    </w:rPr>
  </w:style>
  <w:style w:type="character" w:customStyle="1" w:styleId="28">
    <w:name w:val="font11"/>
    <w:qFormat/>
    <w:uiPriority w:val="0"/>
    <w:rPr>
      <w:rFonts w:hint="eastAsia" w:ascii="宋体" w:hAnsi="宋体" w:eastAsia="宋体" w:cs="宋体"/>
      <w:color w:val="000000"/>
      <w:sz w:val="22"/>
      <w:szCs w:val="22"/>
      <w:u w:val="none"/>
    </w:rPr>
  </w:style>
  <w:style w:type="character" w:customStyle="1" w:styleId="29">
    <w:name w:val="表格 Char"/>
    <w:link w:val="30"/>
    <w:qFormat/>
    <w:uiPriority w:val="0"/>
    <w:rPr>
      <w:rFonts w:ascii="宋体" w:hAnsi="宋体"/>
      <w:color w:val="000000"/>
      <w:kern w:val="2"/>
      <w:sz w:val="21"/>
      <w:szCs w:val="21"/>
    </w:rPr>
  </w:style>
  <w:style w:type="paragraph" w:customStyle="1" w:styleId="30">
    <w:name w:val="表格"/>
    <w:basedOn w:val="1"/>
    <w:link w:val="29"/>
    <w:qFormat/>
    <w:uiPriority w:val="0"/>
    <w:pPr>
      <w:jc w:val="center"/>
    </w:pPr>
    <w:rPr>
      <w:rFonts w:ascii="宋体" w:hAnsi="宋体"/>
      <w:color w:val="000000"/>
      <w:szCs w:val="21"/>
    </w:rPr>
  </w:style>
  <w:style w:type="character" w:customStyle="1" w:styleId="31">
    <w:name w:val="font41"/>
    <w:qFormat/>
    <w:uiPriority w:val="0"/>
    <w:rPr>
      <w:rFonts w:hint="eastAsia" w:ascii="仿宋_GB2312" w:eastAsia="仿宋_GB2312" w:cs="仿宋_GB2312"/>
      <w:color w:val="000000"/>
      <w:sz w:val="22"/>
      <w:szCs w:val="22"/>
      <w:u w:val="none"/>
    </w:rPr>
  </w:style>
  <w:style w:type="paragraph" w:styleId="32">
    <w:name w:val="List Paragraph"/>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6">
    <w:name w:val="004"/>
    <w:basedOn w:val="1"/>
    <w:qFormat/>
    <w:uiPriority w:val="0"/>
    <w:pPr>
      <w:keepNext/>
      <w:widowControl/>
      <w:spacing w:line="360" w:lineRule="auto"/>
      <w:ind w:firstLine="200" w:firstLineChars="200"/>
      <w:jc w:val="left"/>
    </w:pPr>
    <w:rPr>
      <w:b/>
      <w:bCs/>
      <w:sz w:val="24"/>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样式1"/>
    <w:basedOn w:val="1"/>
    <w:qFormat/>
    <w:uiPriority w:val="0"/>
    <w:pPr>
      <w:tabs>
        <w:tab w:val="left" w:pos="420"/>
      </w:tabs>
      <w:ind w:firstLine="480" w:firstLineChars="200"/>
      <w:jc w:val="left"/>
    </w:pPr>
    <w:rPr>
      <w:rFonts w:hint="eastAsia" w:ascii="仿宋_GB2312" w:hAnsi="仿宋_GB2312" w:eastAsia="仿宋_GB2312"/>
      <w:sz w:val="24"/>
    </w:rPr>
  </w:style>
  <w:style w:type="paragraph" w:customStyle="1" w:styleId="39">
    <w:name w:val="List Paragraph1"/>
    <w:basedOn w:val="1"/>
    <w:qFormat/>
    <w:uiPriority w:val="99"/>
    <w:pPr>
      <w:ind w:firstLine="420" w:firstLineChars="200"/>
    </w:pPr>
  </w:style>
  <w:style w:type="paragraph" w:customStyle="1" w:styleId="40">
    <w:name w:val="正文10"/>
    <w:qFormat/>
    <w:uiPriority w:val="0"/>
    <w:pPr>
      <w:ind w:firstLine="480" w:firstLineChars="200"/>
      <w:jc w:val="both"/>
    </w:pPr>
    <w:rPr>
      <w:rFonts w:ascii="Times New Roman" w:hAnsi="Times New Roman" w:eastAsia="宋体" w:cs="Times New Roman"/>
      <w:kern w:val="2"/>
      <w:sz w:val="21"/>
      <w:szCs w:val="21"/>
      <w:lang w:val="en-US" w:eastAsia="zh-CN" w:bidi="ar-SA"/>
    </w:rPr>
  </w:style>
  <w:style w:type="paragraph" w:customStyle="1" w:styleId="41">
    <w:name w:val="列出段落2"/>
    <w:basedOn w:val="1"/>
    <w:qFormat/>
    <w:uiPriority w:val="0"/>
    <w:pPr>
      <w:ind w:firstLine="420" w:firstLineChars="200"/>
    </w:pPr>
    <w:rPr>
      <w:rFonts w:ascii="Calibri" w:hAnsi="Calibri"/>
      <w:szCs w:val="21"/>
    </w:rPr>
  </w:style>
  <w:style w:type="paragraph" w:customStyle="1" w:styleId="4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3080</Words>
  <Characters>3202</Characters>
  <Lines>22</Lines>
  <Paragraphs>6</Paragraphs>
  <TotalTime>297</TotalTime>
  <ScaleCrop>false</ScaleCrop>
  <LinksUpToDate>false</LinksUpToDate>
  <CharactersWithSpaces>3232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2026-02-09T14:34:00Z</dcterms:created>
  <dc:creator>li</dc:creator>
  <cp:lastModifiedBy>ABCDEFG</cp:lastModifiedBy>
  <cp:lastPrinted>2025-09-01T07:23:00Z</cp:lastPrinted>
  <dcterms:modified xsi:type="dcterms:W3CDTF">2026-02-13T06:19:50Z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39AB027C506640C7A4EAE55CC1C4E07B_13</vt:lpwstr>
  </property>
  <property fmtid="{D5CDD505-2E9C-101B-9397-08002B2CF9AE}" pid="4" name="KSOTemplateDocerSaveRecord">
    <vt:lpwstr>eyJoZGlkIjoiNDM4OGJiNjNiNDIwNzM1MjkyZTFkM2VlZWQzZWJiNzUiLCJ1c2VySWQiOiIyMTE2Njk1NDgifQ==</vt:lpwstr>
  </property>
</Properties>
</file>