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A575C">
      <w:pPr>
        <w:rPr>
          <w:rFonts w:ascii="宋体" w:hAnsi="宋体" w:eastAsia="宋体"/>
          <w:sz w:val="24"/>
          <w:szCs w:val="24"/>
        </w:rPr>
      </w:pPr>
      <w:r>
        <w:rPr>
          <w:rFonts w:hint="eastAsia" w:ascii="宋体" w:hAnsi="宋体" w:eastAsia="宋体"/>
          <w:sz w:val="24"/>
          <w:szCs w:val="24"/>
        </w:rPr>
        <w:t>证券代码：</w:t>
      </w:r>
      <w:r>
        <w:rPr>
          <w:rFonts w:ascii="宋体" w:hAnsi="宋体" w:eastAsia="宋体"/>
          <w:sz w:val="24"/>
          <w:szCs w:val="24"/>
        </w:rPr>
        <w:t xml:space="preserve">600332                                     </w:t>
      </w:r>
      <w:r>
        <w:rPr>
          <w:rFonts w:hint="eastAsia" w:ascii="宋体" w:hAnsi="宋体" w:eastAsia="宋体"/>
          <w:sz w:val="24"/>
          <w:szCs w:val="24"/>
        </w:rPr>
        <w:t>证券简称：白云山</w:t>
      </w:r>
    </w:p>
    <w:p w14:paraId="67996452">
      <w:pPr>
        <w:rPr>
          <w:rFonts w:ascii="宋体" w:hAnsi="宋体" w:eastAsia="宋体"/>
          <w:sz w:val="24"/>
          <w:szCs w:val="24"/>
        </w:rPr>
      </w:pPr>
    </w:p>
    <w:p w14:paraId="13C4D4F4">
      <w:pPr>
        <w:jc w:val="center"/>
        <w:rPr>
          <w:rFonts w:ascii="宋体" w:hAnsi="宋体" w:eastAsia="宋体"/>
          <w:b/>
          <w:sz w:val="28"/>
          <w:szCs w:val="24"/>
        </w:rPr>
      </w:pPr>
      <w:r>
        <w:rPr>
          <w:rFonts w:hint="eastAsia" w:ascii="宋体" w:hAnsi="宋体" w:eastAsia="宋体"/>
          <w:b/>
          <w:sz w:val="28"/>
          <w:szCs w:val="24"/>
        </w:rPr>
        <w:t>广州白云山医药集团股份有限公司</w:t>
      </w:r>
    </w:p>
    <w:p w14:paraId="674C23A3">
      <w:pPr>
        <w:jc w:val="center"/>
        <w:rPr>
          <w:rFonts w:ascii="宋体" w:hAnsi="宋体" w:eastAsia="宋体"/>
          <w:b/>
          <w:sz w:val="28"/>
          <w:szCs w:val="24"/>
        </w:rPr>
      </w:pPr>
      <w:r>
        <w:rPr>
          <w:rFonts w:hint="eastAsia" w:ascii="宋体" w:hAnsi="宋体" w:eastAsia="宋体"/>
          <w:b/>
          <w:sz w:val="28"/>
          <w:szCs w:val="24"/>
        </w:rPr>
        <w:t>投资者关系活动记录表</w:t>
      </w:r>
    </w:p>
    <w:p w14:paraId="3CF49817">
      <w:pPr>
        <w:rPr>
          <w:rFonts w:ascii="宋体" w:hAnsi="宋体" w:eastAsia="宋体"/>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600"/>
      </w:tblGrid>
      <w:tr w14:paraId="21E9F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1696" w:type="dxa"/>
            <w:vAlign w:val="center"/>
          </w:tcPr>
          <w:p w14:paraId="6E470B00">
            <w:pPr>
              <w:jc w:val="center"/>
              <w:rPr>
                <w:rFonts w:ascii="宋体" w:hAnsi="宋体" w:eastAsia="宋体"/>
                <w:sz w:val="24"/>
                <w:szCs w:val="24"/>
              </w:rPr>
            </w:pPr>
            <w:r>
              <w:rPr>
                <w:rFonts w:hint="eastAsia" w:ascii="宋体" w:hAnsi="宋体" w:eastAsia="宋体"/>
                <w:sz w:val="24"/>
                <w:szCs w:val="24"/>
              </w:rPr>
              <w:t>投资者关系活动类别</w:t>
            </w:r>
          </w:p>
        </w:tc>
        <w:tc>
          <w:tcPr>
            <w:tcW w:w="6600" w:type="dxa"/>
          </w:tcPr>
          <w:p w14:paraId="5C6E5405">
            <w:pPr>
              <w:spacing w:line="360" w:lineRule="auto"/>
              <w:rPr>
                <w:rFonts w:ascii="宋体" w:hAnsi="宋体" w:eastAsia="宋体"/>
                <w:sz w:val="24"/>
                <w:szCs w:val="24"/>
              </w:rPr>
            </w:pPr>
            <w:r>
              <w:rPr>
                <w:rFonts w:ascii="宋体" w:hAnsi="宋体" w:eastAsia="宋体"/>
                <w:sz w:val="24"/>
                <w:szCs w:val="24"/>
              </w:rPr>
              <w:sym w:font="Wingdings 2" w:char="0052"/>
            </w:r>
            <w:r>
              <w:rPr>
                <w:rFonts w:ascii="宋体" w:hAnsi="宋体" w:eastAsia="宋体"/>
                <w:sz w:val="24"/>
                <w:szCs w:val="24"/>
              </w:rPr>
              <w:t xml:space="preserve">特定对象调研 </w:t>
            </w:r>
            <w:r>
              <w:rPr>
                <w:rFonts w:ascii="宋体" w:hAnsi="宋体" w:eastAsia="宋体"/>
                <w:sz w:val="24"/>
                <w:szCs w:val="24"/>
              </w:rPr>
              <w:sym w:font="Wingdings 2" w:char="0052"/>
            </w:r>
            <w:r>
              <w:rPr>
                <w:rFonts w:ascii="宋体" w:hAnsi="宋体" w:eastAsia="宋体"/>
                <w:sz w:val="24"/>
                <w:szCs w:val="24"/>
              </w:rPr>
              <w:t xml:space="preserve">分析师会议 </w:t>
            </w:r>
          </w:p>
          <w:p w14:paraId="24E047FE">
            <w:pPr>
              <w:spacing w:line="360" w:lineRule="auto"/>
              <w:rPr>
                <w:rFonts w:ascii="宋体" w:hAnsi="宋体" w:eastAsia="宋体"/>
                <w:sz w:val="24"/>
                <w:szCs w:val="24"/>
              </w:rPr>
            </w:pPr>
            <w:r>
              <w:rPr>
                <w:rFonts w:ascii="宋体" w:hAnsi="宋体" w:eastAsia="宋体"/>
                <w:sz w:val="24"/>
                <w:szCs w:val="24"/>
              </w:rPr>
              <w:sym w:font="Wingdings 2" w:char="00A3"/>
            </w:r>
            <w:r>
              <w:rPr>
                <w:rFonts w:ascii="宋体" w:hAnsi="宋体" w:eastAsia="宋体"/>
                <w:sz w:val="24"/>
                <w:szCs w:val="24"/>
              </w:rPr>
              <w:t xml:space="preserve">媒体采访 </w:t>
            </w:r>
            <w:r>
              <w:rPr>
                <w:rFonts w:ascii="宋体" w:hAnsi="宋体" w:eastAsia="宋体"/>
                <w:sz w:val="24"/>
                <w:szCs w:val="24"/>
              </w:rPr>
              <w:sym w:font="Wingdings 2" w:char="00A3"/>
            </w:r>
            <w:r>
              <w:rPr>
                <w:rFonts w:ascii="宋体" w:hAnsi="宋体" w:eastAsia="宋体"/>
                <w:sz w:val="24"/>
                <w:szCs w:val="24"/>
              </w:rPr>
              <w:t xml:space="preserve">业绩说明会 </w:t>
            </w:r>
          </w:p>
          <w:p w14:paraId="1E27DA78">
            <w:pPr>
              <w:spacing w:line="360" w:lineRule="auto"/>
              <w:rPr>
                <w:rFonts w:ascii="宋体" w:hAnsi="宋体" w:eastAsia="宋体"/>
                <w:sz w:val="24"/>
                <w:szCs w:val="24"/>
              </w:rPr>
            </w:pPr>
            <w:r>
              <w:rPr>
                <w:rFonts w:ascii="宋体" w:hAnsi="宋体" w:eastAsia="宋体"/>
                <w:sz w:val="24"/>
                <w:szCs w:val="24"/>
              </w:rPr>
              <w:t>□新闻发布会</w:t>
            </w:r>
            <w:r>
              <w:rPr>
                <w:rFonts w:hint="eastAsia" w:ascii="宋体" w:hAnsi="宋体" w:eastAsia="宋体"/>
                <w:sz w:val="24"/>
                <w:szCs w:val="24"/>
              </w:rPr>
              <w:t xml:space="preserve"> </w:t>
            </w:r>
            <w:r>
              <w:rPr>
                <w:rFonts w:ascii="宋体" w:hAnsi="宋体" w:eastAsia="宋体"/>
                <w:sz w:val="24"/>
                <w:szCs w:val="24"/>
              </w:rPr>
              <w:sym w:font="Wingdings 2" w:char="00A3"/>
            </w:r>
            <w:r>
              <w:rPr>
                <w:rFonts w:ascii="宋体" w:hAnsi="宋体" w:eastAsia="宋体"/>
                <w:sz w:val="24"/>
                <w:szCs w:val="24"/>
              </w:rPr>
              <w:t xml:space="preserve">路演活动 </w:t>
            </w:r>
          </w:p>
          <w:p w14:paraId="75CB6BE8">
            <w:pPr>
              <w:spacing w:line="360" w:lineRule="auto"/>
              <w:rPr>
                <w:rFonts w:ascii="宋体" w:hAnsi="宋体" w:eastAsia="宋体"/>
                <w:sz w:val="24"/>
                <w:szCs w:val="24"/>
              </w:rPr>
            </w:pPr>
            <w:r>
              <w:rPr>
                <w:rFonts w:ascii="宋体" w:hAnsi="宋体" w:eastAsia="宋体"/>
                <w:sz w:val="24"/>
                <w:szCs w:val="24"/>
              </w:rPr>
              <w:sym w:font="Wingdings 2" w:char="0052"/>
            </w:r>
            <w:r>
              <w:rPr>
                <w:rFonts w:ascii="宋体" w:hAnsi="宋体" w:eastAsia="宋体"/>
                <w:sz w:val="24"/>
                <w:szCs w:val="24"/>
              </w:rPr>
              <w:t>现场参观</w:t>
            </w:r>
            <w:r>
              <w:rPr>
                <w:rFonts w:hint="eastAsia" w:ascii="宋体" w:hAnsi="宋体" w:eastAsia="宋体"/>
                <w:sz w:val="24"/>
                <w:szCs w:val="24"/>
              </w:rPr>
              <w:t xml:space="preserve"> </w:t>
            </w:r>
            <w:r>
              <w:rPr>
                <w:rFonts w:ascii="宋体" w:hAnsi="宋体" w:eastAsia="宋体"/>
                <w:sz w:val="24"/>
                <w:szCs w:val="24"/>
              </w:rPr>
              <w:sym w:font="Wingdings 2" w:char="00A3"/>
            </w:r>
            <w:r>
              <w:rPr>
                <w:rFonts w:ascii="宋体" w:hAnsi="宋体" w:eastAsia="宋体"/>
                <w:sz w:val="24"/>
                <w:szCs w:val="24"/>
              </w:rPr>
              <w:t>其他</w:t>
            </w:r>
          </w:p>
        </w:tc>
      </w:tr>
      <w:tr w14:paraId="56588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14:paraId="41090B47">
            <w:pPr>
              <w:jc w:val="center"/>
              <w:rPr>
                <w:rFonts w:ascii="宋体" w:hAnsi="宋体" w:eastAsia="宋体"/>
                <w:sz w:val="24"/>
                <w:szCs w:val="24"/>
              </w:rPr>
            </w:pPr>
            <w:r>
              <w:rPr>
                <w:rFonts w:ascii="宋体" w:hAnsi="宋体" w:eastAsia="宋体"/>
                <w:sz w:val="24"/>
                <w:szCs w:val="24"/>
              </w:rPr>
              <w:t>召开方式</w:t>
            </w:r>
          </w:p>
        </w:tc>
        <w:tc>
          <w:tcPr>
            <w:tcW w:w="6600" w:type="dxa"/>
          </w:tcPr>
          <w:p w14:paraId="66589743">
            <w:pPr>
              <w:spacing w:line="360" w:lineRule="auto"/>
              <w:rPr>
                <w:rFonts w:ascii="宋体" w:hAnsi="宋体" w:eastAsia="宋体"/>
                <w:sz w:val="24"/>
                <w:szCs w:val="24"/>
              </w:rPr>
            </w:pPr>
            <w:r>
              <w:rPr>
                <w:rFonts w:hint="eastAsia" w:ascii="宋体" w:hAnsi="宋体" w:eastAsia="宋体"/>
                <w:sz w:val="24"/>
                <w:szCs w:val="24"/>
              </w:rPr>
              <w:t>现场路演、线上会议</w:t>
            </w:r>
          </w:p>
        </w:tc>
      </w:tr>
      <w:tr w14:paraId="0A6D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14:paraId="2C6F6F9D">
            <w:pPr>
              <w:jc w:val="center"/>
              <w:rPr>
                <w:rFonts w:ascii="宋体" w:hAnsi="宋体" w:eastAsia="宋体"/>
                <w:sz w:val="24"/>
                <w:szCs w:val="24"/>
              </w:rPr>
            </w:pPr>
            <w:r>
              <w:rPr>
                <w:rFonts w:hint="eastAsia" w:ascii="宋体" w:hAnsi="宋体" w:eastAsia="宋体"/>
                <w:sz w:val="24"/>
                <w:szCs w:val="24"/>
              </w:rPr>
              <w:t>时间</w:t>
            </w:r>
          </w:p>
        </w:tc>
        <w:tc>
          <w:tcPr>
            <w:tcW w:w="6600" w:type="dxa"/>
          </w:tcPr>
          <w:p w14:paraId="4432CA37">
            <w:pPr>
              <w:spacing w:line="360" w:lineRule="auto"/>
              <w:rPr>
                <w:rFonts w:ascii="宋体" w:hAnsi="宋体" w:eastAsia="宋体"/>
                <w:sz w:val="24"/>
                <w:szCs w:val="24"/>
              </w:rPr>
            </w:pPr>
            <w:r>
              <w:rPr>
                <w:rFonts w:ascii="宋体" w:hAnsi="宋体" w:eastAsia="宋体"/>
                <w:sz w:val="24"/>
                <w:szCs w:val="24"/>
              </w:rPr>
              <w:t>202</w:t>
            </w:r>
            <w:r>
              <w:rPr>
                <w:rFonts w:hint="eastAsia" w:ascii="宋体" w:hAnsi="宋体" w:eastAsia="宋体"/>
                <w:sz w:val="24"/>
                <w:szCs w:val="24"/>
              </w:rPr>
              <w:t>6</w:t>
            </w:r>
            <w:r>
              <w:rPr>
                <w:rFonts w:ascii="宋体" w:hAnsi="宋体" w:eastAsia="宋体"/>
                <w:sz w:val="24"/>
                <w:szCs w:val="24"/>
              </w:rPr>
              <w:t>年</w:t>
            </w:r>
            <w:r>
              <w:rPr>
                <w:rFonts w:hint="eastAsia" w:ascii="宋体" w:hAnsi="宋体" w:eastAsia="宋体"/>
                <w:sz w:val="24"/>
                <w:szCs w:val="24"/>
              </w:rPr>
              <w:t>1月1日至2月13日</w:t>
            </w:r>
          </w:p>
        </w:tc>
      </w:tr>
      <w:tr w14:paraId="7C9DC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14:paraId="574A227D">
            <w:pPr>
              <w:jc w:val="center"/>
              <w:rPr>
                <w:rFonts w:ascii="宋体" w:hAnsi="宋体" w:eastAsia="宋体"/>
                <w:sz w:val="24"/>
                <w:szCs w:val="24"/>
              </w:rPr>
            </w:pPr>
            <w:r>
              <w:rPr>
                <w:rFonts w:hint="eastAsia" w:ascii="宋体" w:hAnsi="宋体" w:eastAsia="宋体"/>
                <w:sz w:val="24"/>
                <w:szCs w:val="24"/>
              </w:rPr>
              <w:t>地点</w:t>
            </w:r>
          </w:p>
        </w:tc>
        <w:tc>
          <w:tcPr>
            <w:tcW w:w="6600" w:type="dxa"/>
          </w:tcPr>
          <w:p w14:paraId="4AC4167E">
            <w:pPr>
              <w:spacing w:line="360" w:lineRule="auto"/>
              <w:rPr>
                <w:rFonts w:ascii="宋体" w:hAnsi="宋体" w:eastAsia="宋体"/>
                <w:sz w:val="24"/>
                <w:szCs w:val="24"/>
                <w:lang w:eastAsia="zh-Hans"/>
              </w:rPr>
            </w:pPr>
            <w:r>
              <w:rPr>
                <w:rFonts w:hint="eastAsia" w:ascii="宋体" w:hAnsi="宋体" w:eastAsia="宋体"/>
                <w:sz w:val="24"/>
                <w:szCs w:val="24"/>
              </w:rPr>
              <w:t>路演场地会议室、公司会议室</w:t>
            </w:r>
          </w:p>
        </w:tc>
      </w:tr>
      <w:tr w14:paraId="1C01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96" w:type="dxa"/>
            <w:vAlign w:val="center"/>
          </w:tcPr>
          <w:p w14:paraId="3F0D9AAC">
            <w:pPr>
              <w:jc w:val="center"/>
              <w:rPr>
                <w:rFonts w:ascii="宋体" w:hAnsi="宋体" w:eastAsia="宋体"/>
                <w:sz w:val="24"/>
                <w:szCs w:val="24"/>
              </w:rPr>
            </w:pPr>
            <w:r>
              <w:rPr>
                <w:rFonts w:hint="eastAsia" w:ascii="宋体" w:hAnsi="宋体" w:eastAsia="宋体"/>
                <w:sz w:val="24"/>
                <w:szCs w:val="24"/>
              </w:rPr>
              <w:t>公司参与人员</w:t>
            </w:r>
          </w:p>
        </w:tc>
        <w:tc>
          <w:tcPr>
            <w:tcW w:w="6600" w:type="dxa"/>
          </w:tcPr>
          <w:p w14:paraId="3D4CFB48">
            <w:pPr>
              <w:spacing w:line="360" w:lineRule="auto"/>
              <w:rPr>
                <w:rFonts w:ascii="宋体" w:hAnsi="宋体" w:eastAsia="宋体"/>
                <w:sz w:val="24"/>
                <w:szCs w:val="24"/>
              </w:rPr>
            </w:pPr>
            <w:r>
              <w:rPr>
                <w:rFonts w:hint="eastAsia" w:ascii="宋体" w:hAnsi="宋体" w:eastAsia="宋体"/>
                <w:sz w:val="24"/>
                <w:szCs w:val="24"/>
              </w:rPr>
              <w:t>董秘室副主任陈文霞，董秘室经理李春瑶、杨超文</w:t>
            </w:r>
          </w:p>
        </w:tc>
      </w:tr>
      <w:tr w14:paraId="6FECF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96" w:type="dxa"/>
            <w:vAlign w:val="center"/>
          </w:tcPr>
          <w:p w14:paraId="26334AE2">
            <w:pPr>
              <w:spacing w:line="360" w:lineRule="auto"/>
              <w:jc w:val="center"/>
              <w:rPr>
                <w:rFonts w:ascii="宋体" w:hAnsi="宋体" w:eastAsia="宋体"/>
                <w:sz w:val="24"/>
                <w:szCs w:val="24"/>
                <w:lang w:eastAsia="zh-Hans"/>
              </w:rPr>
            </w:pPr>
            <w:r>
              <w:rPr>
                <w:rFonts w:hint="eastAsia" w:ascii="宋体" w:hAnsi="宋体" w:eastAsia="宋体"/>
                <w:sz w:val="24"/>
                <w:szCs w:val="24"/>
                <w:lang w:eastAsia="zh-Hans"/>
              </w:rPr>
              <w:t>接待人员</w:t>
            </w:r>
          </w:p>
        </w:tc>
        <w:tc>
          <w:tcPr>
            <w:tcW w:w="6600" w:type="dxa"/>
          </w:tcPr>
          <w:p w14:paraId="40F84497">
            <w:pPr>
              <w:spacing w:line="360" w:lineRule="auto"/>
              <w:rPr>
                <w:rFonts w:ascii="宋体" w:hAnsi="宋体" w:eastAsia="宋体"/>
                <w:sz w:val="24"/>
                <w:szCs w:val="24"/>
              </w:rPr>
            </w:pPr>
            <w:r>
              <w:rPr>
                <w:rFonts w:hint="eastAsia" w:ascii="宋体" w:hAnsi="宋体" w:eastAsia="宋体"/>
                <w:sz w:val="24"/>
                <w:szCs w:val="24"/>
              </w:rPr>
              <w:t>1月9日：中金公司、富国基金</w:t>
            </w:r>
          </w:p>
          <w:p w14:paraId="2C705C70">
            <w:pPr>
              <w:spacing w:line="360" w:lineRule="auto"/>
              <w:rPr>
                <w:rFonts w:ascii="宋体" w:hAnsi="宋体" w:eastAsia="宋体"/>
                <w:sz w:val="24"/>
                <w:szCs w:val="24"/>
              </w:rPr>
            </w:pPr>
            <w:r>
              <w:rPr>
                <w:rFonts w:hint="eastAsia" w:ascii="宋体" w:hAnsi="宋体" w:eastAsia="宋体"/>
                <w:sz w:val="24"/>
                <w:szCs w:val="24"/>
              </w:rPr>
              <w:t>1月13日：溁德私募基金、广东邦政资产、太空融基金、皓海基金、宁波泽添基金、深圳德泉资本、河北华信投资、贲舜投资</w:t>
            </w:r>
          </w:p>
          <w:p w14:paraId="7613174C">
            <w:pPr>
              <w:spacing w:line="360" w:lineRule="auto"/>
              <w:rPr>
                <w:rFonts w:ascii="宋体" w:hAnsi="宋体" w:eastAsia="宋体"/>
                <w:sz w:val="24"/>
                <w:szCs w:val="24"/>
              </w:rPr>
            </w:pPr>
            <w:r>
              <w:rPr>
                <w:rFonts w:hint="eastAsia" w:ascii="宋体" w:hAnsi="宋体" w:eastAsia="宋体"/>
                <w:sz w:val="24"/>
                <w:szCs w:val="24"/>
              </w:rPr>
              <w:t>1月14日：国联民生证券、光大证券、南方基金、富国基金、博时基金、易方达基金、正圆投资</w:t>
            </w:r>
          </w:p>
          <w:p w14:paraId="61EB1EE7">
            <w:pPr>
              <w:spacing w:line="360" w:lineRule="auto"/>
              <w:rPr>
                <w:rFonts w:ascii="宋体" w:hAnsi="宋体" w:eastAsia="宋体"/>
                <w:sz w:val="24"/>
                <w:szCs w:val="24"/>
              </w:rPr>
            </w:pPr>
            <w:r>
              <w:rPr>
                <w:rFonts w:hint="eastAsia" w:ascii="宋体" w:hAnsi="宋体" w:eastAsia="宋体"/>
                <w:sz w:val="24"/>
                <w:szCs w:val="24"/>
              </w:rPr>
              <w:t>1月19日：中信建投证券、泰康资产（香港）</w:t>
            </w:r>
          </w:p>
          <w:p w14:paraId="4DA9B8D7">
            <w:pPr>
              <w:spacing w:line="360" w:lineRule="auto"/>
              <w:rPr>
                <w:rFonts w:ascii="宋体" w:hAnsi="宋体" w:eastAsia="宋体"/>
                <w:sz w:val="24"/>
                <w:szCs w:val="24"/>
              </w:rPr>
            </w:pPr>
            <w:r>
              <w:rPr>
                <w:rFonts w:hint="eastAsia" w:ascii="宋体" w:hAnsi="宋体" w:eastAsia="宋体"/>
                <w:sz w:val="24"/>
                <w:szCs w:val="24"/>
              </w:rPr>
              <w:t>1月20日：平安证券、甬兴证券、深圳杉树资产</w:t>
            </w:r>
          </w:p>
          <w:p w14:paraId="2C254D9E">
            <w:pPr>
              <w:spacing w:line="360" w:lineRule="auto"/>
              <w:rPr>
                <w:rFonts w:hint="eastAsia" w:ascii="宋体" w:hAnsi="宋体" w:eastAsia="宋体"/>
                <w:sz w:val="24"/>
                <w:szCs w:val="24"/>
                <w:lang w:val="en-US" w:eastAsia="zh-CN"/>
              </w:rPr>
            </w:pPr>
            <w:r>
              <w:rPr>
                <w:rFonts w:hint="eastAsia" w:ascii="宋体" w:hAnsi="宋体" w:eastAsia="宋体"/>
                <w:sz w:val="24"/>
                <w:szCs w:val="24"/>
              </w:rPr>
              <w:t>1月30日：信达证券、招商基金、海港人寿、大成基金</w:t>
            </w:r>
            <w:r>
              <w:rPr>
                <w:rFonts w:hint="eastAsia" w:ascii="宋体" w:hAnsi="宋体" w:eastAsia="宋体"/>
                <w:sz w:val="24"/>
                <w:szCs w:val="24"/>
                <w:lang w:val="en-US" w:eastAsia="zh-CN"/>
              </w:rPr>
              <w:t>等</w:t>
            </w:r>
            <w:bookmarkStart w:id="8" w:name="_GoBack"/>
            <w:bookmarkEnd w:id="8"/>
          </w:p>
          <w:p w14:paraId="5E1A2F07">
            <w:pPr>
              <w:spacing w:line="360" w:lineRule="auto"/>
              <w:rPr>
                <w:rFonts w:ascii="宋体" w:hAnsi="宋体" w:eastAsia="宋体"/>
                <w:sz w:val="24"/>
                <w:szCs w:val="24"/>
              </w:rPr>
            </w:pPr>
            <w:r>
              <w:rPr>
                <w:rFonts w:hint="eastAsia" w:ascii="宋体" w:hAnsi="宋体" w:eastAsia="宋体"/>
                <w:sz w:val="24"/>
                <w:szCs w:val="24"/>
              </w:rPr>
              <w:t>2月3日：华创证券、新华资产、银华基金、泓德基金</w:t>
            </w:r>
          </w:p>
          <w:p w14:paraId="13AF7DB9">
            <w:pPr>
              <w:spacing w:line="360" w:lineRule="auto"/>
              <w:rPr>
                <w:rFonts w:ascii="宋体" w:hAnsi="宋体" w:eastAsia="宋体"/>
                <w:sz w:val="24"/>
                <w:szCs w:val="24"/>
              </w:rPr>
            </w:pPr>
            <w:r>
              <w:rPr>
                <w:rFonts w:hint="eastAsia" w:ascii="宋体" w:hAnsi="宋体" w:eastAsia="宋体"/>
                <w:sz w:val="24"/>
                <w:szCs w:val="24"/>
              </w:rPr>
              <w:t>2月4日：华创证券、人保养老、华夏基金</w:t>
            </w:r>
          </w:p>
        </w:tc>
      </w:tr>
      <w:tr w14:paraId="0F6B6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696" w:type="dxa"/>
            <w:vAlign w:val="center"/>
          </w:tcPr>
          <w:p w14:paraId="1B3BCF09">
            <w:pPr>
              <w:jc w:val="center"/>
              <w:rPr>
                <w:rFonts w:ascii="宋体" w:hAnsi="宋体" w:eastAsia="宋体"/>
                <w:sz w:val="24"/>
                <w:szCs w:val="24"/>
              </w:rPr>
            </w:pPr>
            <w:r>
              <w:rPr>
                <w:rFonts w:ascii="宋体" w:hAnsi="宋体" w:eastAsia="宋体"/>
                <w:sz w:val="24"/>
                <w:szCs w:val="24"/>
              </w:rPr>
              <w:t>投资者关系活动主要内容介绍</w:t>
            </w:r>
          </w:p>
        </w:tc>
        <w:tc>
          <w:tcPr>
            <w:tcW w:w="6600" w:type="dxa"/>
          </w:tcPr>
          <w:p w14:paraId="4B415066">
            <w:pPr>
              <w:widowControl/>
              <w:spacing w:line="500" w:lineRule="exact"/>
              <w:ind w:firstLine="480" w:firstLineChars="200"/>
              <w:jc w:val="left"/>
              <w:rPr>
                <w:rFonts w:ascii="宋体" w:hAnsi="宋体" w:eastAsia="宋体"/>
                <w:sz w:val="24"/>
                <w:szCs w:val="24"/>
              </w:rPr>
            </w:pPr>
            <w:r>
              <w:rPr>
                <w:rFonts w:hint="eastAsia" w:ascii="宋体" w:hAnsi="宋体" w:eastAsia="宋体"/>
                <w:sz w:val="24"/>
                <w:szCs w:val="24"/>
              </w:rPr>
              <w:t>主要内容包括：</w:t>
            </w:r>
          </w:p>
          <w:p w14:paraId="0EB63199">
            <w:pPr>
              <w:pStyle w:val="2"/>
              <w:spacing w:line="500" w:lineRule="exact"/>
              <w:ind w:firstLine="482" w:firstLineChars="200"/>
              <w:rPr>
                <w:rFonts w:ascii="Calibri" w:hAnsi="Calibri" w:eastAsia="宋体"/>
                <w:kern w:val="0"/>
                <w:sz w:val="24"/>
                <w:szCs w:val="24"/>
                <w:lang w:bidi="ar"/>
              </w:rPr>
            </w:pPr>
            <w:bookmarkStart w:id="0" w:name="OLE_LINK8"/>
            <w:bookmarkStart w:id="1" w:name="OLE_LINK7"/>
            <w:r>
              <w:rPr>
                <w:rFonts w:hint="eastAsia" w:ascii="Calibri" w:hAnsi="Calibri" w:eastAsia="宋体"/>
                <w:b/>
                <w:bCs/>
                <w:kern w:val="0"/>
                <w:sz w:val="24"/>
                <w:szCs w:val="24"/>
                <w:lang w:bidi="ar"/>
              </w:rPr>
              <w:t>（一）公司2025年发展情况如何？</w:t>
            </w:r>
          </w:p>
          <w:p w14:paraId="4463C0A9">
            <w:pPr>
              <w:pStyle w:val="2"/>
              <w:spacing w:line="500" w:lineRule="exact"/>
              <w:ind w:firstLine="480" w:firstLineChars="200"/>
              <w:rPr>
                <w:rFonts w:ascii="Calibri" w:hAnsi="Calibri" w:eastAsia="宋体"/>
                <w:kern w:val="0"/>
                <w:sz w:val="24"/>
                <w:szCs w:val="24"/>
                <w:lang w:bidi="ar"/>
              </w:rPr>
            </w:pPr>
            <w:bookmarkStart w:id="2" w:name="OLE_LINK3"/>
            <w:bookmarkStart w:id="3" w:name="OLE_LINK4"/>
            <w:r>
              <w:rPr>
                <w:rFonts w:hint="eastAsia" w:ascii="Calibri" w:hAnsi="Calibri" w:eastAsia="宋体"/>
                <w:kern w:val="0"/>
                <w:sz w:val="24"/>
                <w:szCs w:val="24"/>
                <w:lang w:bidi="ar"/>
              </w:rPr>
              <w:t>答：</w:t>
            </w:r>
            <w:bookmarkStart w:id="4" w:name="OLE_LINK6"/>
            <w:bookmarkStart w:id="5" w:name="OLE_LINK5"/>
            <w:r>
              <w:rPr>
                <w:rFonts w:hint="eastAsia" w:ascii="Calibri" w:hAnsi="Calibri" w:eastAsia="宋体"/>
                <w:kern w:val="0"/>
                <w:sz w:val="24"/>
                <w:szCs w:val="24"/>
                <w:lang w:bidi="ar"/>
              </w:rPr>
              <w:t>2025年，公司深耕主业，上下齐心、不断加快在资本运作、科研创新、国际化发展、数字化建设等方面的发展步伐。前三季度，公司经营稳健，营业收入、利润总额以及归母净利润均实现同比增长</w:t>
            </w:r>
            <w:bookmarkEnd w:id="2"/>
            <w:bookmarkEnd w:id="3"/>
            <w:r>
              <w:rPr>
                <w:rFonts w:hint="eastAsia" w:ascii="Calibri" w:hAnsi="Calibri" w:eastAsia="宋体"/>
                <w:kern w:val="0"/>
                <w:sz w:val="24"/>
                <w:szCs w:val="24"/>
                <w:lang w:bidi="ar"/>
              </w:rPr>
              <w:t>。</w:t>
            </w:r>
            <w:bookmarkEnd w:id="0"/>
            <w:bookmarkEnd w:id="1"/>
            <w:bookmarkEnd w:id="4"/>
            <w:bookmarkEnd w:id="5"/>
          </w:p>
          <w:p w14:paraId="11E913FF">
            <w:pPr>
              <w:pStyle w:val="2"/>
              <w:spacing w:line="500" w:lineRule="exact"/>
              <w:ind w:firstLine="480" w:firstLineChars="200"/>
              <w:rPr>
                <w:rFonts w:ascii="Calibri" w:hAnsi="Calibri" w:eastAsia="宋体"/>
                <w:kern w:val="0"/>
                <w:sz w:val="24"/>
                <w:szCs w:val="24"/>
                <w:lang w:bidi="ar"/>
              </w:rPr>
            </w:pPr>
          </w:p>
          <w:p w14:paraId="69DA3C81">
            <w:pPr>
              <w:pStyle w:val="2"/>
              <w:spacing w:line="500" w:lineRule="exact"/>
              <w:ind w:firstLine="482" w:firstLineChars="200"/>
              <w:rPr>
                <w:rFonts w:ascii="Calibri" w:hAnsi="Calibri" w:eastAsia="宋体"/>
                <w:kern w:val="0"/>
                <w:sz w:val="24"/>
                <w:szCs w:val="24"/>
                <w:lang w:bidi="ar"/>
              </w:rPr>
            </w:pPr>
            <w:r>
              <w:rPr>
                <w:rFonts w:hint="eastAsia" w:ascii="Calibri" w:hAnsi="Calibri" w:eastAsia="宋体"/>
                <w:b/>
                <w:bCs/>
                <w:kern w:val="0"/>
                <w:sz w:val="24"/>
                <w:szCs w:val="24"/>
                <w:lang w:bidi="ar"/>
              </w:rPr>
              <w:t>（二）2025年，公司有哪些突破？发生了哪些改变？</w:t>
            </w:r>
          </w:p>
          <w:p w14:paraId="5811DC79">
            <w:pPr>
              <w:pStyle w:val="2"/>
              <w:spacing w:line="500" w:lineRule="exact"/>
              <w:ind w:firstLine="480" w:firstLineChars="200"/>
              <w:rPr>
                <w:rFonts w:ascii="Calibri" w:hAnsi="Calibri" w:eastAsia="宋体"/>
                <w:kern w:val="0"/>
                <w:sz w:val="24"/>
                <w:szCs w:val="24"/>
                <w:lang w:bidi="ar"/>
              </w:rPr>
            </w:pPr>
            <w:r>
              <w:rPr>
                <w:rFonts w:hint="eastAsia" w:ascii="Calibri" w:hAnsi="Calibri" w:eastAsia="宋体"/>
                <w:kern w:val="0"/>
                <w:sz w:val="24"/>
                <w:szCs w:val="24"/>
                <w:lang w:bidi="ar"/>
              </w:rPr>
              <w:t>答：2025年，公司紧紧围绕医药制造与研发这一核心，在科技研发、资本运作、国际化发展、人才队伍建设、降本增效等方面持续发力并取得一定成效，进一步提升核心竞争力，推动公司高质量发展。</w:t>
            </w:r>
          </w:p>
          <w:p w14:paraId="5B3295F1">
            <w:pPr>
              <w:pStyle w:val="2"/>
              <w:spacing w:line="500" w:lineRule="exact"/>
              <w:ind w:firstLine="480" w:firstLineChars="200"/>
              <w:rPr>
                <w:rFonts w:ascii="Calibri" w:hAnsi="Calibri" w:eastAsia="宋体"/>
                <w:kern w:val="0"/>
                <w:sz w:val="24"/>
                <w:szCs w:val="24"/>
                <w:lang w:bidi="ar"/>
              </w:rPr>
            </w:pPr>
          </w:p>
          <w:p w14:paraId="293E1B76">
            <w:pPr>
              <w:pStyle w:val="2"/>
              <w:spacing w:line="500" w:lineRule="exact"/>
              <w:ind w:firstLine="482" w:firstLineChars="200"/>
              <w:rPr>
                <w:rFonts w:ascii="Calibri" w:hAnsi="Calibri" w:eastAsia="宋体"/>
                <w:kern w:val="0"/>
                <w:sz w:val="24"/>
                <w:szCs w:val="24"/>
                <w:lang w:bidi="ar"/>
              </w:rPr>
            </w:pPr>
            <w:r>
              <w:rPr>
                <w:rFonts w:hint="eastAsia" w:ascii="Calibri" w:hAnsi="Calibri" w:eastAsia="宋体"/>
                <w:b/>
                <w:bCs/>
                <w:kern w:val="0"/>
                <w:sz w:val="24"/>
                <w:szCs w:val="24"/>
                <w:lang w:bidi="ar"/>
              </w:rPr>
              <w:t>（三）公司在降本增效方面有何举措？</w:t>
            </w:r>
          </w:p>
          <w:p w14:paraId="46D66321">
            <w:pPr>
              <w:pStyle w:val="2"/>
              <w:spacing w:line="500" w:lineRule="exact"/>
              <w:ind w:firstLine="480" w:firstLineChars="200"/>
              <w:rPr>
                <w:rFonts w:ascii="Calibri" w:hAnsi="Calibri" w:eastAsia="宋体"/>
                <w:kern w:val="0"/>
                <w:sz w:val="24"/>
                <w:szCs w:val="24"/>
                <w:lang w:bidi="ar"/>
              </w:rPr>
            </w:pPr>
            <w:r>
              <w:rPr>
                <w:rFonts w:hint="eastAsia" w:ascii="Calibri" w:hAnsi="Calibri" w:eastAsia="宋体"/>
                <w:kern w:val="0"/>
                <w:sz w:val="24"/>
                <w:szCs w:val="24"/>
                <w:lang w:bidi="ar"/>
              </w:rPr>
              <w:t>答：公司一直注重降本增效，2025年公司持续加大降本控费推进力度，优化采购平台管理模式，积极压降中药材、原辅包材集中采购成本，同时联合市属企业开展办公用品集中采购，促进公司节流控本。</w:t>
            </w:r>
          </w:p>
          <w:p w14:paraId="677E7656">
            <w:pPr>
              <w:pStyle w:val="2"/>
              <w:spacing w:line="500" w:lineRule="exact"/>
              <w:ind w:firstLine="480" w:firstLineChars="200"/>
              <w:rPr>
                <w:rFonts w:ascii="Calibri" w:hAnsi="Calibri" w:eastAsia="宋体"/>
                <w:kern w:val="0"/>
                <w:sz w:val="24"/>
                <w:szCs w:val="24"/>
                <w:lang w:bidi="ar"/>
              </w:rPr>
            </w:pPr>
          </w:p>
          <w:p w14:paraId="07F338CB">
            <w:pPr>
              <w:pStyle w:val="2"/>
              <w:spacing w:line="500" w:lineRule="exact"/>
              <w:ind w:firstLine="482" w:firstLineChars="200"/>
              <w:rPr>
                <w:rFonts w:ascii="Calibri" w:hAnsi="Calibri" w:eastAsia="宋体"/>
                <w:b/>
                <w:bCs/>
                <w:kern w:val="0"/>
                <w:sz w:val="24"/>
                <w:szCs w:val="24"/>
                <w:lang w:bidi="ar"/>
              </w:rPr>
            </w:pPr>
            <w:r>
              <w:rPr>
                <w:rFonts w:hint="eastAsia" w:ascii="Calibri" w:hAnsi="Calibri" w:eastAsia="宋体"/>
                <w:b/>
                <w:bCs/>
                <w:kern w:val="0"/>
                <w:sz w:val="24"/>
                <w:szCs w:val="24"/>
                <w:lang w:bidi="ar"/>
              </w:rPr>
              <w:t>（四）2025年，公司在新药研发创新方面有哪些突破？</w:t>
            </w:r>
          </w:p>
          <w:p w14:paraId="76202748">
            <w:pPr>
              <w:pStyle w:val="2"/>
              <w:spacing w:line="500" w:lineRule="exact"/>
              <w:ind w:firstLine="480" w:firstLineChars="200"/>
              <w:rPr>
                <w:rFonts w:ascii="Calibri" w:hAnsi="Calibri" w:eastAsia="宋体"/>
                <w:kern w:val="0"/>
                <w:sz w:val="24"/>
                <w:szCs w:val="24"/>
                <w:lang w:bidi="ar"/>
              </w:rPr>
            </w:pPr>
            <w:r>
              <w:rPr>
                <w:rFonts w:hint="eastAsia" w:ascii="Calibri" w:hAnsi="Calibri" w:eastAsia="宋体"/>
                <w:kern w:val="0"/>
                <w:sz w:val="24"/>
                <w:szCs w:val="24"/>
                <w:lang w:bidi="ar"/>
              </w:rPr>
              <w:t>答：公司继续加大研发投入力度，拓宽研发管线布局，攻关关键核心技术，阶段性成果不断涌现；</w:t>
            </w:r>
          </w:p>
          <w:p w14:paraId="7AF74494">
            <w:pPr>
              <w:pStyle w:val="2"/>
              <w:spacing w:line="500" w:lineRule="exact"/>
              <w:ind w:firstLine="482" w:firstLineChars="200"/>
              <w:rPr>
                <w:rFonts w:ascii="Calibri" w:hAnsi="Calibri" w:eastAsia="宋体"/>
                <w:kern w:val="0"/>
                <w:sz w:val="24"/>
                <w:szCs w:val="24"/>
                <w:lang w:bidi="ar"/>
              </w:rPr>
            </w:pPr>
            <w:r>
              <w:rPr>
                <w:rFonts w:ascii="Calibri" w:hAnsi="Calibri" w:eastAsia="宋体"/>
                <w:b/>
                <w:kern w:val="0"/>
                <w:sz w:val="24"/>
                <w:szCs w:val="24"/>
                <w:lang w:bidi="ar"/>
              </w:rPr>
              <w:t>1</w:t>
            </w:r>
            <w:r>
              <w:rPr>
                <w:rFonts w:hint="eastAsia" w:ascii="Calibri" w:hAnsi="Calibri" w:eastAsia="宋体"/>
                <w:b/>
                <w:kern w:val="0"/>
                <w:sz w:val="24"/>
                <w:szCs w:val="24"/>
                <w:lang w:bidi="ar"/>
              </w:rPr>
              <w:t>类创新药研发领域</w:t>
            </w:r>
            <w:r>
              <w:rPr>
                <w:rFonts w:hint="eastAsia" w:ascii="Calibri" w:hAnsi="Calibri" w:eastAsia="宋体"/>
                <w:kern w:val="0"/>
                <w:sz w:val="24"/>
                <w:szCs w:val="24"/>
                <w:lang w:bidi="ar"/>
              </w:rPr>
              <w:t>：公司管线涵盖治疗早发性卵巢功能不全的养阴舒肝颗粒、治疗骨关节炎的骨痹颗粒、治疗癌因性疲乏的LBZ-18等中药创新药；以及广谱抗肿瘤的HG030片和BYS10片、具有广泛抗菌谱的注射用头孢嗪脒钠等化学创新药。</w:t>
            </w:r>
          </w:p>
          <w:p w14:paraId="3BB32011">
            <w:pPr>
              <w:pStyle w:val="2"/>
              <w:spacing w:line="500" w:lineRule="exact"/>
              <w:ind w:firstLine="482" w:firstLineChars="200"/>
              <w:rPr>
                <w:rFonts w:ascii="Calibri" w:hAnsi="Calibri" w:eastAsia="宋体"/>
                <w:kern w:val="0"/>
                <w:sz w:val="24"/>
                <w:szCs w:val="24"/>
                <w:lang w:bidi="ar"/>
              </w:rPr>
            </w:pPr>
            <w:r>
              <w:rPr>
                <w:rFonts w:ascii="Calibri" w:hAnsi="Calibri" w:eastAsia="宋体"/>
                <w:b/>
                <w:kern w:val="0"/>
                <w:sz w:val="24"/>
                <w:szCs w:val="24"/>
                <w:lang w:bidi="ar"/>
              </w:rPr>
              <w:t>2</w:t>
            </w:r>
            <w:r>
              <w:rPr>
                <w:rFonts w:hint="eastAsia" w:ascii="Calibri" w:hAnsi="Calibri" w:eastAsia="宋体"/>
                <w:b/>
                <w:kern w:val="0"/>
                <w:sz w:val="24"/>
                <w:szCs w:val="24"/>
                <w:lang w:bidi="ar"/>
              </w:rPr>
              <w:t>类改良型新药领域：</w:t>
            </w:r>
            <w:r>
              <w:rPr>
                <w:rFonts w:hint="eastAsia" w:ascii="Calibri" w:hAnsi="Calibri" w:eastAsia="宋体"/>
                <w:kern w:val="0"/>
                <w:sz w:val="24"/>
                <w:szCs w:val="24"/>
                <w:lang w:bidi="ar"/>
              </w:rPr>
              <w:t>公司多项产品创下行业先例，其中治疗急性咽炎的克感利咽口服液为“三结合”审评审批证据体系下国内首个以人用经验研究豁免非临床研究及Ⅱ期临床，直接进入Ⅲ期临床试验研究的2.3类改良型新药；滋肾育胎丸为国内首个获批开展治疗“卵巢储备功能下降”（DOR）临床试验的药物；儿童小柴胡颗粒是基于已有小柴胡剂型品种开发而成的全国首个专门面向小儿胃肠型感冒的新药；玉屏风袋泡茶为全国首家针对桥本甲状腺炎获得临床试验批件的新药。</w:t>
            </w:r>
          </w:p>
          <w:p w14:paraId="67622414">
            <w:pPr>
              <w:pStyle w:val="2"/>
              <w:spacing w:line="500" w:lineRule="exact"/>
              <w:ind w:firstLine="480" w:firstLineChars="200"/>
              <w:rPr>
                <w:rFonts w:hint="eastAsia" w:ascii="Calibri" w:hAnsi="Calibri" w:eastAsia="宋体"/>
                <w:kern w:val="0"/>
                <w:sz w:val="24"/>
                <w:szCs w:val="24"/>
                <w:lang w:bidi="ar"/>
              </w:rPr>
            </w:pPr>
            <w:r>
              <w:rPr>
                <w:rFonts w:hint="eastAsia" w:ascii="Calibri" w:hAnsi="Calibri" w:eastAsia="宋体"/>
                <w:bCs/>
                <w:kern w:val="0"/>
                <w:sz w:val="24"/>
                <w:szCs w:val="24"/>
                <w:lang w:bidi="ar"/>
              </w:rPr>
              <w:t>此外，生物药领域中</w:t>
            </w:r>
            <w:r>
              <w:rPr>
                <w:rFonts w:hint="eastAsia" w:ascii="Calibri" w:hAnsi="Calibri" w:eastAsia="宋体"/>
                <w:kern w:val="0"/>
                <w:sz w:val="24"/>
                <w:szCs w:val="24"/>
                <w:lang w:bidi="ar"/>
              </w:rPr>
              <w:t>冻干人用狂犬病疫苗（Vero细胞）获得国家药品监督管理局核准签发的《药品注册证书》，进一步丰富公司的制药产品结构，目前正在加快推进上市工作。</w:t>
            </w:r>
          </w:p>
          <w:p w14:paraId="21FE388D">
            <w:pPr>
              <w:pStyle w:val="2"/>
              <w:spacing w:line="500" w:lineRule="exact"/>
              <w:ind w:firstLine="480" w:firstLineChars="200"/>
              <w:rPr>
                <w:rFonts w:ascii="Calibri" w:hAnsi="Calibri" w:eastAsia="宋体"/>
                <w:b/>
                <w:bCs/>
                <w:kern w:val="0"/>
                <w:sz w:val="24"/>
                <w:szCs w:val="24"/>
                <w:lang w:bidi="ar"/>
              </w:rPr>
            </w:pPr>
            <w:r>
              <w:rPr>
                <w:rFonts w:hint="eastAsia" w:ascii="Calibri" w:hAnsi="Calibri" w:eastAsia="宋体"/>
                <w:kern w:val="0"/>
                <w:sz w:val="24"/>
                <w:szCs w:val="24"/>
                <w:lang w:bidi="ar"/>
              </w:rPr>
              <w:t>同时，公司重点加强科技化、国际化等高端人才储备，持续完善研发创新体制机制，进一步调动公司科技创新积极性，打造良好的科研生态。</w:t>
            </w:r>
          </w:p>
          <w:p w14:paraId="23AA000D">
            <w:pPr>
              <w:pStyle w:val="2"/>
              <w:spacing w:line="500" w:lineRule="exact"/>
              <w:ind w:firstLine="480" w:firstLineChars="200"/>
              <w:rPr>
                <w:rFonts w:ascii="Calibri" w:hAnsi="Calibri" w:eastAsia="宋体"/>
                <w:kern w:val="0"/>
                <w:sz w:val="24"/>
                <w:szCs w:val="24"/>
                <w:lang w:bidi="ar"/>
              </w:rPr>
            </w:pPr>
          </w:p>
          <w:p w14:paraId="745EEBC3">
            <w:pPr>
              <w:pStyle w:val="2"/>
              <w:spacing w:line="500" w:lineRule="exact"/>
              <w:ind w:firstLine="482" w:firstLineChars="200"/>
              <w:rPr>
                <w:rFonts w:ascii="Calibri" w:hAnsi="Calibri" w:eastAsia="宋体"/>
                <w:b/>
                <w:bCs/>
                <w:kern w:val="0"/>
                <w:sz w:val="24"/>
                <w:szCs w:val="24"/>
                <w:lang w:bidi="ar"/>
              </w:rPr>
            </w:pPr>
            <w:r>
              <w:rPr>
                <w:rFonts w:hint="eastAsia" w:ascii="Calibri" w:hAnsi="Calibri" w:eastAsia="宋体"/>
                <w:b/>
                <w:bCs/>
                <w:kern w:val="0"/>
                <w:sz w:val="24"/>
                <w:szCs w:val="24"/>
                <w:lang w:bidi="ar"/>
              </w:rPr>
              <w:t>（五）未来公司研发创新将重点投入哪些方面？有何规划？</w:t>
            </w:r>
          </w:p>
          <w:p w14:paraId="1C7FE799">
            <w:pPr>
              <w:pStyle w:val="2"/>
              <w:spacing w:line="500" w:lineRule="exact"/>
              <w:ind w:firstLine="480" w:firstLineChars="200"/>
              <w:rPr>
                <w:rFonts w:ascii="Calibri" w:hAnsi="Calibri" w:eastAsia="宋体"/>
                <w:kern w:val="0"/>
                <w:sz w:val="24"/>
                <w:szCs w:val="24"/>
                <w:lang w:bidi="ar"/>
              </w:rPr>
            </w:pPr>
            <w:r>
              <w:rPr>
                <w:rFonts w:hint="eastAsia" w:ascii="Calibri" w:hAnsi="Calibri" w:eastAsia="宋体"/>
                <w:kern w:val="0"/>
                <w:sz w:val="24"/>
                <w:szCs w:val="24"/>
                <w:lang w:bidi="ar"/>
              </w:rPr>
              <w:t>答：公司将进一步加大研发创新投入，通过举才引智、建强平台、深耕生态、拓展布局、优化激励等途径推进创新转型，具体包括：（1）大力整合科研体系资源，积极打造中医药创新平台、化学药创新平台、生物药创新平台、高端营养创新平台、医疗器械创新平台五大创新研发平台为核心的创新平台体系，进一步夯实科技</w:t>
            </w:r>
            <w:bookmarkStart w:id="6" w:name="OLE_LINK9"/>
            <w:bookmarkStart w:id="7" w:name="OLE_LINK10"/>
            <w:r>
              <w:rPr>
                <w:rFonts w:hint="eastAsia" w:ascii="Calibri" w:hAnsi="Calibri" w:eastAsia="宋体"/>
                <w:kern w:val="0"/>
                <w:sz w:val="24"/>
                <w:szCs w:val="24"/>
                <w:lang w:bidi="ar"/>
              </w:rPr>
              <w:t>创新策源</w:t>
            </w:r>
            <w:bookmarkEnd w:id="6"/>
            <w:bookmarkEnd w:id="7"/>
            <w:r>
              <w:rPr>
                <w:rFonts w:hint="eastAsia" w:ascii="Calibri" w:hAnsi="Calibri" w:eastAsia="宋体"/>
                <w:kern w:val="0"/>
                <w:sz w:val="24"/>
                <w:szCs w:val="24"/>
                <w:lang w:bidi="ar"/>
              </w:rPr>
              <w:t>基础。（2）引进外部“智囊团”为公司“科技创新大脑”赋能。（3）积极优化重大项目决策机制，建立健全科技创新容错机制，通过体制机制改革，为科技创新转型厚植发展沃土。</w:t>
            </w:r>
          </w:p>
          <w:p w14:paraId="4B5262E6">
            <w:pPr>
              <w:pStyle w:val="2"/>
              <w:spacing w:line="500" w:lineRule="exact"/>
              <w:ind w:firstLine="480" w:firstLineChars="200"/>
              <w:rPr>
                <w:rFonts w:ascii="Calibri" w:hAnsi="Calibri" w:eastAsia="宋体"/>
                <w:kern w:val="0"/>
                <w:sz w:val="24"/>
                <w:szCs w:val="24"/>
                <w:lang w:bidi="ar"/>
              </w:rPr>
            </w:pPr>
          </w:p>
          <w:p w14:paraId="537FC621">
            <w:pPr>
              <w:pStyle w:val="2"/>
              <w:spacing w:line="500" w:lineRule="exact"/>
              <w:ind w:firstLine="482" w:firstLineChars="200"/>
              <w:rPr>
                <w:rFonts w:ascii="Calibri" w:hAnsi="Calibri" w:eastAsia="宋体"/>
                <w:b/>
                <w:bCs/>
                <w:kern w:val="0"/>
                <w:sz w:val="24"/>
                <w:szCs w:val="24"/>
                <w:lang w:bidi="ar"/>
              </w:rPr>
            </w:pPr>
            <w:r>
              <w:rPr>
                <w:rFonts w:hint="eastAsia" w:ascii="Calibri" w:hAnsi="Calibri" w:eastAsia="宋体"/>
                <w:b/>
                <w:bCs/>
                <w:kern w:val="0"/>
                <w:sz w:val="24"/>
                <w:szCs w:val="24"/>
                <w:lang w:bidi="ar"/>
              </w:rPr>
              <w:t>（六）公司计划如何加强药品培育与产品梯队建设？</w:t>
            </w:r>
          </w:p>
          <w:p w14:paraId="61119EE0">
            <w:pPr>
              <w:pStyle w:val="2"/>
              <w:spacing w:line="500" w:lineRule="exact"/>
              <w:ind w:firstLine="480" w:firstLineChars="200"/>
              <w:rPr>
                <w:rFonts w:ascii="Calibri" w:hAnsi="Calibri" w:eastAsia="宋体"/>
                <w:kern w:val="0"/>
                <w:sz w:val="24"/>
                <w:szCs w:val="24"/>
                <w:lang w:bidi="ar"/>
              </w:rPr>
            </w:pPr>
            <w:r>
              <w:rPr>
                <w:rFonts w:hint="eastAsia" w:ascii="Calibri" w:hAnsi="Calibri" w:eastAsia="宋体"/>
                <w:kern w:val="0"/>
                <w:sz w:val="24"/>
                <w:szCs w:val="24"/>
                <w:lang w:bidi="ar"/>
              </w:rPr>
              <w:t>答：公司将聚焦优势领域，锚定“好品种、好品质、好品牌”目标，通过推动营销精细化管理、持续提升产品品质、强化品牌统筹与形象提升等，不断完善正在大力推进的各类产品线的系统梳理工作，推动形成抗感染、妇科、男科、儿科、止咳化痰类、感冒类等产品矩阵，做强核心大单品和高潜力品种。</w:t>
            </w:r>
          </w:p>
          <w:p w14:paraId="6BDEE196">
            <w:pPr>
              <w:pStyle w:val="2"/>
              <w:spacing w:line="500" w:lineRule="exact"/>
              <w:rPr>
                <w:rFonts w:ascii="Calibri" w:hAnsi="Calibri" w:eastAsia="宋体"/>
                <w:kern w:val="0"/>
                <w:sz w:val="24"/>
                <w:szCs w:val="24"/>
                <w:lang w:bidi="ar"/>
              </w:rPr>
            </w:pPr>
          </w:p>
          <w:p w14:paraId="582F8E7F">
            <w:pPr>
              <w:pStyle w:val="2"/>
              <w:spacing w:line="500" w:lineRule="exact"/>
              <w:ind w:firstLine="482" w:firstLineChars="200"/>
              <w:rPr>
                <w:rFonts w:ascii="Calibri" w:hAnsi="Calibri" w:eastAsia="宋体"/>
                <w:kern w:val="0"/>
                <w:sz w:val="24"/>
                <w:szCs w:val="24"/>
                <w:lang w:bidi="ar"/>
              </w:rPr>
            </w:pPr>
            <w:r>
              <w:rPr>
                <w:rFonts w:hint="eastAsia" w:ascii="Calibri" w:hAnsi="Calibri" w:eastAsia="宋体"/>
                <w:b/>
                <w:bCs/>
                <w:kern w:val="0"/>
                <w:sz w:val="24"/>
                <w:szCs w:val="24"/>
                <w:lang w:bidi="ar"/>
              </w:rPr>
              <w:t>（七）公司2025年在资本运作方面加大了推进力度，具体包括哪些？</w:t>
            </w:r>
          </w:p>
          <w:p w14:paraId="769AD1E3">
            <w:pPr>
              <w:pStyle w:val="2"/>
              <w:spacing w:line="500" w:lineRule="exact"/>
              <w:ind w:firstLine="480" w:firstLineChars="200"/>
              <w:rPr>
                <w:rFonts w:ascii="Calibri" w:hAnsi="Calibri" w:eastAsia="宋体"/>
                <w:kern w:val="0"/>
                <w:sz w:val="24"/>
                <w:szCs w:val="24"/>
                <w:lang w:bidi="ar"/>
              </w:rPr>
            </w:pPr>
            <w:r>
              <w:rPr>
                <w:rFonts w:hint="eastAsia" w:ascii="Calibri" w:hAnsi="Calibri" w:eastAsia="宋体"/>
                <w:kern w:val="0"/>
                <w:sz w:val="24"/>
                <w:szCs w:val="24"/>
                <w:lang w:bidi="ar"/>
              </w:rPr>
              <w:t>答：2025年，公司进一步加大资本运作和对外并购力度，发挥项目协同效应，提升竞争优势。</w:t>
            </w:r>
          </w:p>
          <w:p w14:paraId="630677F0">
            <w:pPr>
              <w:pStyle w:val="2"/>
              <w:spacing w:line="500" w:lineRule="exact"/>
              <w:ind w:firstLine="480" w:firstLineChars="200"/>
              <w:rPr>
                <w:rFonts w:ascii="Calibri" w:hAnsi="Calibri" w:eastAsia="宋体"/>
                <w:kern w:val="0"/>
                <w:sz w:val="24"/>
                <w:szCs w:val="24"/>
                <w:lang w:bidi="ar"/>
              </w:rPr>
            </w:pPr>
            <w:r>
              <w:rPr>
                <w:rFonts w:hint="eastAsia" w:ascii="Calibri" w:hAnsi="Calibri" w:eastAsia="宋体"/>
                <w:kern w:val="0"/>
                <w:sz w:val="24"/>
                <w:szCs w:val="24"/>
                <w:lang w:bidi="ar"/>
              </w:rPr>
              <w:t>一方面，公司大力构建创投基金体系，分别出资参设广药二期基金、广药荔湾基金、广药广开基金，加强公司在创新药、现代中药、高端医疗器械等生物医药前沿领域的布局。其中，广药二期基金已先后投资布局疫苗、合成生物、健康电商、微针制剂等前沿领域项目4个。</w:t>
            </w:r>
          </w:p>
          <w:p w14:paraId="27CD4A0D">
            <w:pPr>
              <w:pStyle w:val="2"/>
              <w:spacing w:line="500" w:lineRule="exact"/>
              <w:ind w:firstLine="480" w:firstLineChars="200"/>
              <w:rPr>
                <w:rFonts w:ascii="Calibri" w:hAnsi="Calibri" w:eastAsia="宋体"/>
                <w:kern w:val="0"/>
                <w:sz w:val="24"/>
                <w:szCs w:val="24"/>
                <w:lang w:bidi="ar"/>
              </w:rPr>
            </w:pPr>
            <w:r>
              <w:rPr>
                <w:rFonts w:hint="eastAsia" w:ascii="Calibri" w:hAnsi="Calibri" w:eastAsia="宋体"/>
                <w:kern w:val="0"/>
                <w:sz w:val="24"/>
                <w:szCs w:val="24"/>
                <w:lang w:bidi="ar"/>
              </w:rPr>
              <w:t>另一方面，公司加大并购力度，广药二期基金与Alliance Healthcare Asia Pacific Limited签署股份转让合同拟收购南京医药11.04%股份，广州医药成功竞得浙江医药工业100%股权，强化公司在华东区域的产业布局；王老吉药业成功收购福建采善堂，公司旗下老字号数量增至13个。</w:t>
            </w:r>
          </w:p>
          <w:p w14:paraId="5860039C">
            <w:pPr>
              <w:pStyle w:val="2"/>
              <w:spacing w:line="500" w:lineRule="exact"/>
              <w:ind w:firstLine="480" w:firstLineChars="200"/>
              <w:rPr>
                <w:rFonts w:ascii="Calibri" w:hAnsi="Calibri" w:eastAsia="宋体"/>
                <w:kern w:val="0"/>
                <w:sz w:val="24"/>
                <w:szCs w:val="24"/>
                <w:lang w:bidi="ar"/>
              </w:rPr>
            </w:pPr>
            <w:r>
              <w:rPr>
                <w:rFonts w:hint="eastAsia" w:ascii="Calibri" w:hAnsi="Calibri" w:eastAsia="宋体"/>
                <w:kern w:val="0"/>
                <w:sz w:val="24"/>
                <w:szCs w:val="24"/>
                <w:lang w:bidi="ar"/>
              </w:rPr>
              <w:t>此外，白云山汉方完成混改工作；广州医药股票于2025年5月成功在新三板挂牌；公司完成对下属企业白云山生物增资3亿元，助力冻干人用狂犬病疫苗PM株产品产业化项目的推进。</w:t>
            </w:r>
          </w:p>
          <w:p w14:paraId="0B487F1C">
            <w:pPr>
              <w:pStyle w:val="2"/>
              <w:spacing w:line="500" w:lineRule="exact"/>
              <w:ind w:firstLine="480" w:firstLineChars="200"/>
              <w:rPr>
                <w:rFonts w:ascii="Calibri" w:hAnsi="Calibri" w:eastAsia="宋体"/>
                <w:kern w:val="0"/>
                <w:sz w:val="24"/>
                <w:szCs w:val="24"/>
                <w:lang w:bidi="ar"/>
              </w:rPr>
            </w:pPr>
          </w:p>
          <w:p w14:paraId="74E2B0E0">
            <w:pPr>
              <w:pStyle w:val="2"/>
              <w:spacing w:line="500" w:lineRule="exact"/>
              <w:ind w:firstLine="482" w:firstLineChars="200"/>
              <w:rPr>
                <w:rFonts w:ascii="Calibri" w:hAnsi="Calibri" w:eastAsia="宋体"/>
                <w:kern w:val="0"/>
                <w:sz w:val="24"/>
                <w:szCs w:val="24"/>
                <w:lang w:bidi="ar"/>
              </w:rPr>
            </w:pPr>
            <w:r>
              <w:rPr>
                <w:rFonts w:hint="eastAsia" w:ascii="Calibri" w:hAnsi="Calibri" w:eastAsia="宋体"/>
                <w:b/>
                <w:bCs/>
                <w:kern w:val="0"/>
                <w:sz w:val="24"/>
                <w:szCs w:val="24"/>
                <w:lang w:bidi="ar"/>
              </w:rPr>
              <w:t>（八）公司医药流通业务已在整体营收中占据一定规模，后续通过收购拓展该领域的战略考量是什么？</w:t>
            </w:r>
          </w:p>
          <w:p w14:paraId="22377431">
            <w:pPr>
              <w:pStyle w:val="2"/>
              <w:spacing w:line="500" w:lineRule="exact"/>
              <w:ind w:firstLine="480" w:firstLineChars="200"/>
              <w:rPr>
                <w:rFonts w:ascii="Calibri" w:hAnsi="Calibri" w:eastAsia="宋体"/>
                <w:kern w:val="0"/>
                <w:sz w:val="24"/>
                <w:szCs w:val="24"/>
                <w:lang w:bidi="ar"/>
              </w:rPr>
            </w:pPr>
            <w:r>
              <w:rPr>
                <w:rFonts w:hint="eastAsia" w:ascii="Calibri" w:hAnsi="Calibri" w:eastAsia="宋体"/>
                <w:kern w:val="0"/>
                <w:sz w:val="24"/>
                <w:szCs w:val="24"/>
                <w:lang w:bidi="ar"/>
              </w:rPr>
              <w:t>答：当前，医药流通行业集中度不断提高。长三角地区医药市场发达，并且南京医药、浙江医工均是排名靠前的优质医药流通企业。目前，广州医药在长三角地区尚未设有分子公司，购买南京医药股份以及收购浙江医工，有利于广州医药获得长三角及周边地区成熟的客户网络，进一步优化广州医药在华东区域的产业布局，提升对国内终端市场的覆盖广度和深度，增强公司医药流通业务竞争优势；同时，有利于公司借助南京医药、浙江医工的流通网络进一步推动公司自有医药品种分销渠道建设，带动医药制造业务增长，符合公司长远发展的战略规划。</w:t>
            </w:r>
          </w:p>
          <w:p w14:paraId="4AB79D8A">
            <w:pPr>
              <w:pStyle w:val="2"/>
              <w:spacing w:line="500" w:lineRule="exact"/>
              <w:rPr>
                <w:rFonts w:ascii="Calibri" w:hAnsi="Calibri" w:eastAsia="宋体"/>
                <w:kern w:val="0"/>
                <w:sz w:val="24"/>
                <w:szCs w:val="24"/>
                <w:lang w:bidi="ar"/>
              </w:rPr>
            </w:pPr>
          </w:p>
          <w:p w14:paraId="24B5205A">
            <w:pPr>
              <w:pStyle w:val="2"/>
              <w:spacing w:line="500" w:lineRule="exact"/>
              <w:ind w:firstLine="482" w:firstLineChars="200"/>
              <w:rPr>
                <w:rFonts w:ascii="Calibri" w:hAnsi="Calibri" w:eastAsia="宋体"/>
                <w:b/>
                <w:bCs/>
                <w:kern w:val="0"/>
                <w:sz w:val="24"/>
                <w:szCs w:val="24"/>
                <w:lang w:bidi="ar"/>
              </w:rPr>
            </w:pPr>
            <w:r>
              <w:rPr>
                <w:rFonts w:hint="eastAsia" w:ascii="Calibri" w:hAnsi="Calibri" w:eastAsia="宋体"/>
                <w:b/>
                <w:bCs/>
                <w:kern w:val="0"/>
                <w:sz w:val="24"/>
                <w:szCs w:val="24"/>
                <w:lang w:bidi="ar"/>
              </w:rPr>
              <w:t>（九）第11批国家集采结果已公布，公司是否有产品中选？</w:t>
            </w:r>
          </w:p>
          <w:p w14:paraId="4213D03A">
            <w:pPr>
              <w:pStyle w:val="2"/>
              <w:spacing w:line="500" w:lineRule="exact"/>
              <w:ind w:firstLine="480" w:firstLineChars="200"/>
              <w:rPr>
                <w:rFonts w:ascii="Calibri" w:hAnsi="Calibri" w:eastAsia="宋体"/>
                <w:kern w:val="0"/>
                <w:sz w:val="24"/>
                <w:szCs w:val="24"/>
                <w:lang w:bidi="ar"/>
              </w:rPr>
            </w:pPr>
            <w:r>
              <w:rPr>
                <w:rFonts w:hint="eastAsia" w:ascii="Calibri" w:hAnsi="Calibri" w:eastAsia="宋体"/>
                <w:kern w:val="0"/>
                <w:sz w:val="24"/>
                <w:szCs w:val="24"/>
                <w:lang w:bidi="ar"/>
              </w:rPr>
              <w:t>答：公司旗下阿莫西林克拉维酸钾干混悬剂在第11批国家集采中中标。公司初步判断，该产品在国采中中标有望增强其在院内的优势并带动OTC市场，从而拉动产品销售收入。</w:t>
            </w:r>
          </w:p>
          <w:p w14:paraId="7816AB75">
            <w:pPr>
              <w:pStyle w:val="2"/>
              <w:spacing w:line="500" w:lineRule="exact"/>
              <w:rPr>
                <w:rFonts w:ascii="Calibri" w:hAnsi="Calibri" w:eastAsia="宋体"/>
                <w:kern w:val="0"/>
                <w:sz w:val="24"/>
                <w:szCs w:val="24"/>
                <w:lang w:bidi="ar"/>
              </w:rPr>
            </w:pPr>
          </w:p>
          <w:p w14:paraId="40A8E5DB">
            <w:pPr>
              <w:pStyle w:val="2"/>
              <w:spacing w:line="500" w:lineRule="exact"/>
              <w:ind w:left="420" w:leftChars="200"/>
              <w:rPr>
                <w:rFonts w:ascii="Calibri" w:hAnsi="Calibri" w:eastAsia="宋体"/>
                <w:b/>
                <w:bCs/>
                <w:kern w:val="0"/>
                <w:sz w:val="24"/>
                <w:szCs w:val="24"/>
                <w:lang w:bidi="ar"/>
              </w:rPr>
            </w:pPr>
            <w:r>
              <w:rPr>
                <w:rFonts w:hint="eastAsia" w:ascii="Calibri" w:hAnsi="Calibri" w:eastAsia="宋体"/>
                <w:b/>
                <w:bCs/>
                <w:kern w:val="0"/>
                <w:sz w:val="24"/>
                <w:szCs w:val="24"/>
                <w:lang w:bidi="ar"/>
              </w:rPr>
              <w:t>（十）王老吉海外业务发展情况如何？</w:t>
            </w:r>
          </w:p>
          <w:p w14:paraId="343E91B9">
            <w:pPr>
              <w:pStyle w:val="2"/>
              <w:spacing w:line="500" w:lineRule="exact"/>
              <w:ind w:firstLine="480" w:firstLineChars="200"/>
              <w:rPr>
                <w:rFonts w:ascii="Calibri" w:hAnsi="Calibri" w:eastAsia="宋体"/>
                <w:kern w:val="0"/>
                <w:sz w:val="24"/>
                <w:szCs w:val="24"/>
                <w:lang w:bidi="ar"/>
              </w:rPr>
            </w:pPr>
            <w:r>
              <w:rPr>
                <w:rFonts w:hint="eastAsia" w:ascii="Calibri" w:hAnsi="Calibri" w:eastAsia="宋体"/>
                <w:kern w:val="0"/>
                <w:sz w:val="24"/>
                <w:szCs w:val="24"/>
                <w:lang w:bidi="ar"/>
              </w:rPr>
              <w:t>答：2025年，公司大健康板块加快推进国际化进程，逐步推进从产品出海到产业链出海再到品牌出海的跨越式升级。</w:t>
            </w:r>
          </w:p>
          <w:p w14:paraId="045AA905">
            <w:pPr>
              <w:pStyle w:val="2"/>
              <w:spacing w:line="500" w:lineRule="exact"/>
              <w:ind w:firstLine="480" w:firstLineChars="200"/>
              <w:rPr>
                <w:rFonts w:ascii="Calibri" w:hAnsi="Calibri" w:eastAsia="宋体"/>
                <w:kern w:val="0"/>
                <w:sz w:val="24"/>
                <w:szCs w:val="24"/>
                <w:lang w:bidi="ar"/>
              </w:rPr>
            </w:pPr>
            <w:r>
              <w:rPr>
                <w:rFonts w:hint="eastAsia" w:ascii="Calibri" w:hAnsi="Calibri" w:eastAsia="宋体"/>
                <w:kern w:val="0"/>
                <w:sz w:val="24"/>
                <w:szCs w:val="24"/>
                <w:lang w:bidi="ar"/>
              </w:rPr>
              <w:t>品牌出海方面，上市</w:t>
            </w:r>
            <w:r>
              <w:rPr>
                <w:rFonts w:ascii="Calibri" w:hAnsi="Calibri" w:eastAsia="宋体"/>
                <w:kern w:val="0"/>
                <w:sz w:val="24"/>
                <w:szCs w:val="24"/>
                <w:lang w:bidi="ar"/>
              </w:rPr>
              <w:t>4</w:t>
            </w:r>
            <w:r>
              <w:rPr>
                <w:rFonts w:hint="eastAsia" w:ascii="Calibri" w:hAnsi="Calibri" w:eastAsia="宋体"/>
                <w:kern w:val="0"/>
                <w:sz w:val="24"/>
                <w:szCs w:val="24"/>
                <w:lang w:bidi="ar"/>
              </w:rPr>
              <w:t>大风味国际罐并在上海召开全球发布盛典，持续强化媒体的宣传推广与重点城市的铺市与地推；</w:t>
            </w:r>
          </w:p>
          <w:p w14:paraId="0DDFEDD9">
            <w:pPr>
              <w:pStyle w:val="2"/>
              <w:spacing w:line="500" w:lineRule="exact"/>
              <w:ind w:firstLine="480" w:firstLineChars="200"/>
              <w:rPr>
                <w:rFonts w:ascii="Calibri" w:hAnsi="Calibri" w:eastAsia="宋体"/>
                <w:kern w:val="0"/>
                <w:sz w:val="24"/>
                <w:szCs w:val="24"/>
                <w:lang w:bidi="ar"/>
              </w:rPr>
            </w:pPr>
            <w:r>
              <w:rPr>
                <w:rFonts w:hint="eastAsia" w:ascii="Calibri" w:hAnsi="Calibri" w:eastAsia="宋体"/>
                <w:kern w:val="0"/>
                <w:sz w:val="24"/>
                <w:szCs w:val="24"/>
                <w:lang w:bidi="ar"/>
              </w:rPr>
              <w:t>产品方面，自</w:t>
            </w:r>
            <w:r>
              <w:rPr>
                <w:rFonts w:ascii="Calibri" w:hAnsi="Calibri" w:eastAsia="宋体"/>
                <w:kern w:val="0"/>
                <w:sz w:val="24"/>
                <w:szCs w:val="24"/>
                <w:lang w:bidi="ar"/>
              </w:rPr>
              <w:t>11</w:t>
            </w:r>
            <w:r>
              <w:rPr>
                <w:rFonts w:hint="eastAsia" w:ascii="Calibri" w:hAnsi="Calibri" w:eastAsia="宋体"/>
                <w:kern w:val="0"/>
                <w:sz w:val="24"/>
                <w:szCs w:val="24"/>
                <w:lang w:bidi="ar"/>
              </w:rPr>
              <w:t>月以来，</w:t>
            </w:r>
            <w:r>
              <w:rPr>
                <w:rFonts w:ascii="Calibri" w:hAnsi="Calibri" w:eastAsia="宋体"/>
                <w:kern w:val="0"/>
                <w:sz w:val="24"/>
                <w:szCs w:val="24"/>
                <w:lang w:bidi="ar"/>
              </w:rPr>
              <w:t>4</w:t>
            </w:r>
            <w:r>
              <w:rPr>
                <w:rFonts w:hint="eastAsia" w:ascii="Calibri" w:hAnsi="Calibri" w:eastAsia="宋体"/>
                <w:kern w:val="0"/>
                <w:sz w:val="24"/>
                <w:szCs w:val="24"/>
                <w:lang w:bidi="ar"/>
              </w:rPr>
              <w:t>大风味国际罐先后登陆德国、沙特、澳大利亚、新加坡、马来西亚等海外市场；</w:t>
            </w:r>
          </w:p>
          <w:p w14:paraId="16D3BE7D">
            <w:pPr>
              <w:pStyle w:val="2"/>
              <w:spacing w:line="500" w:lineRule="exact"/>
              <w:ind w:firstLine="480" w:firstLineChars="200"/>
              <w:rPr>
                <w:rFonts w:ascii="Calibri" w:hAnsi="Calibri" w:eastAsia="宋体"/>
                <w:kern w:val="0"/>
                <w:sz w:val="24"/>
                <w:szCs w:val="24"/>
                <w:lang w:bidi="ar"/>
              </w:rPr>
            </w:pPr>
            <w:r>
              <w:rPr>
                <w:rFonts w:hint="eastAsia" w:ascii="Calibri" w:hAnsi="Calibri" w:eastAsia="宋体"/>
                <w:kern w:val="0"/>
                <w:sz w:val="24"/>
                <w:szCs w:val="24"/>
                <w:lang w:bidi="ar"/>
              </w:rPr>
              <w:t>海外生产方面，与艾杜克国际、韩国农心集团、百达国际等企业签署战略协议，打通“本地生产</w:t>
            </w:r>
            <w:r>
              <w:rPr>
                <w:rFonts w:ascii="Calibri" w:hAnsi="Calibri" w:eastAsia="宋体"/>
                <w:kern w:val="0"/>
                <w:sz w:val="24"/>
                <w:szCs w:val="24"/>
                <w:lang w:bidi="ar"/>
              </w:rPr>
              <w:t>+</w:t>
            </w:r>
            <w:r>
              <w:rPr>
                <w:rFonts w:hint="eastAsia" w:ascii="Calibri" w:hAnsi="Calibri" w:eastAsia="宋体"/>
                <w:kern w:val="0"/>
                <w:sz w:val="24"/>
                <w:szCs w:val="24"/>
                <w:lang w:bidi="ar"/>
              </w:rPr>
              <w:t>本地罐装</w:t>
            </w:r>
            <w:r>
              <w:rPr>
                <w:rFonts w:ascii="Calibri" w:hAnsi="Calibri" w:eastAsia="宋体"/>
                <w:kern w:val="0"/>
                <w:sz w:val="24"/>
                <w:szCs w:val="24"/>
                <w:lang w:bidi="ar"/>
              </w:rPr>
              <w:t>+</w:t>
            </w:r>
            <w:r>
              <w:rPr>
                <w:rFonts w:hint="eastAsia" w:ascii="Calibri" w:hAnsi="Calibri" w:eastAsia="宋体"/>
                <w:kern w:val="0"/>
                <w:sz w:val="24"/>
                <w:szCs w:val="24"/>
                <w:lang w:bidi="ar"/>
              </w:rPr>
              <w:t>区域辐射”完整产业链条，迈出海外本土化生产关键步伐；</w:t>
            </w:r>
          </w:p>
          <w:p w14:paraId="38F54567">
            <w:pPr>
              <w:pStyle w:val="2"/>
              <w:spacing w:line="500" w:lineRule="exact"/>
              <w:ind w:firstLine="480" w:firstLineChars="200"/>
              <w:rPr>
                <w:rFonts w:ascii="Calibri" w:hAnsi="Calibri" w:eastAsia="宋体"/>
                <w:kern w:val="0"/>
                <w:sz w:val="24"/>
                <w:szCs w:val="24"/>
                <w:lang w:bidi="ar"/>
              </w:rPr>
            </w:pPr>
            <w:r>
              <w:rPr>
                <w:rFonts w:hint="eastAsia" w:ascii="Calibri" w:hAnsi="Calibri" w:eastAsia="宋体"/>
                <w:kern w:val="0"/>
                <w:sz w:val="24"/>
                <w:szCs w:val="24"/>
                <w:lang w:bidi="ar"/>
              </w:rPr>
              <w:t>此外，还在重点区域市场深耕、产品本地化适配及海外社媒运营等方面持续发力，系统性构建国际业务增长新格局。</w:t>
            </w:r>
          </w:p>
          <w:p w14:paraId="407CB703">
            <w:pPr>
              <w:pStyle w:val="2"/>
              <w:spacing w:line="500" w:lineRule="exact"/>
              <w:rPr>
                <w:rFonts w:ascii="Calibri" w:hAnsi="Calibri" w:eastAsia="宋体"/>
                <w:kern w:val="0"/>
                <w:sz w:val="24"/>
                <w:szCs w:val="24"/>
                <w:lang w:bidi="ar"/>
              </w:rPr>
            </w:pPr>
          </w:p>
          <w:p w14:paraId="50861767">
            <w:pPr>
              <w:pStyle w:val="2"/>
              <w:spacing w:line="500" w:lineRule="exact"/>
              <w:ind w:firstLine="482" w:firstLineChars="200"/>
              <w:rPr>
                <w:rFonts w:ascii="Calibri" w:hAnsi="Calibri" w:eastAsia="宋体"/>
                <w:b/>
                <w:bCs/>
                <w:kern w:val="0"/>
                <w:sz w:val="24"/>
                <w:szCs w:val="24"/>
                <w:lang w:bidi="ar"/>
              </w:rPr>
            </w:pPr>
            <w:r>
              <w:rPr>
                <w:rFonts w:hint="eastAsia" w:ascii="Calibri" w:hAnsi="Calibri" w:eastAsia="宋体"/>
                <w:b/>
                <w:bCs/>
                <w:kern w:val="0"/>
                <w:sz w:val="24"/>
                <w:szCs w:val="24"/>
                <w:lang w:bidi="ar"/>
              </w:rPr>
              <w:t>（十</w:t>
            </w:r>
            <w:r>
              <w:rPr>
                <w:rFonts w:hint="eastAsia" w:ascii="Calibri" w:hAnsi="Calibri" w:eastAsia="宋体"/>
                <w:b/>
                <w:bCs/>
                <w:kern w:val="0"/>
                <w:sz w:val="24"/>
                <w:szCs w:val="24"/>
                <w:lang w:val="en-US" w:eastAsia="zh-CN" w:bidi="ar"/>
              </w:rPr>
              <w:t>一</w:t>
            </w:r>
            <w:r>
              <w:rPr>
                <w:rFonts w:hint="eastAsia" w:ascii="Calibri" w:hAnsi="Calibri" w:eastAsia="宋体"/>
                <w:b/>
                <w:bCs/>
                <w:kern w:val="0"/>
                <w:sz w:val="24"/>
                <w:szCs w:val="24"/>
                <w:lang w:bidi="ar"/>
              </w:rPr>
              <w:t>）公司“王老吉”在品牌营销方面有何新举措？</w:t>
            </w:r>
          </w:p>
          <w:p w14:paraId="7B16A2AA">
            <w:pPr>
              <w:pStyle w:val="2"/>
              <w:spacing w:line="500" w:lineRule="exact"/>
              <w:ind w:firstLine="480" w:firstLineChars="200"/>
              <w:rPr>
                <w:rFonts w:ascii="Calibri" w:hAnsi="Calibri" w:eastAsia="宋体"/>
                <w:kern w:val="0"/>
                <w:sz w:val="24"/>
                <w:szCs w:val="24"/>
                <w:lang w:bidi="ar"/>
              </w:rPr>
            </w:pPr>
            <w:r>
              <w:rPr>
                <w:rFonts w:hint="eastAsia" w:ascii="Calibri" w:hAnsi="Calibri" w:eastAsia="宋体"/>
                <w:kern w:val="0"/>
                <w:sz w:val="24"/>
                <w:szCs w:val="24"/>
                <w:lang w:bidi="ar"/>
              </w:rPr>
              <w:t>答：2025年，公司借助多维举措，系统强化品牌建设。</w:t>
            </w:r>
          </w:p>
          <w:p w14:paraId="2535A08F">
            <w:pPr>
              <w:pStyle w:val="2"/>
              <w:spacing w:line="500" w:lineRule="exact"/>
              <w:ind w:firstLine="480" w:firstLineChars="200"/>
              <w:rPr>
                <w:rFonts w:ascii="Calibri" w:hAnsi="Calibri" w:eastAsia="宋体"/>
                <w:kern w:val="0"/>
                <w:sz w:val="24"/>
                <w:szCs w:val="24"/>
                <w:lang w:bidi="ar"/>
              </w:rPr>
            </w:pPr>
            <w:r>
              <w:rPr>
                <w:rFonts w:hint="eastAsia" w:ascii="Calibri" w:hAnsi="Calibri" w:eastAsia="宋体"/>
                <w:kern w:val="0"/>
                <w:sz w:val="24"/>
                <w:szCs w:val="24"/>
                <w:lang w:bidi="ar"/>
              </w:rPr>
              <w:t>一方面，通过夏季档剧综合作、明星代言、升级媒介配置组合、国际罐全球发布等多重举措，提升国内外市场声量，强化品牌高频触达。</w:t>
            </w:r>
          </w:p>
          <w:p w14:paraId="619DD9E4">
            <w:pPr>
              <w:pStyle w:val="2"/>
              <w:spacing w:line="500" w:lineRule="exact"/>
              <w:ind w:firstLine="480" w:firstLineChars="200"/>
              <w:rPr>
                <w:rFonts w:ascii="Calibri" w:hAnsi="Calibri" w:eastAsia="宋体"/>
                <w:kern w:val="0"/>
                <w:sz w:val="24"/>
                <w:szCs w:val="24"/>
                <w:lang w:bidi="ar"/>
              </w:rPr>
            </w:pPr>
            <w:r>
              <w:rPr>
                <w:rFonts w:hint="eastAsia" w:ascii="Calibri" w:hAnsi="Calibri" w:eastAsia="宋体"/>
                <w:kern w:val="0"/>
                <w:sz w:val="24"/>
                <w:szCs w:val="24"/>
                <w:lang w:bidi="ar"/>
              </w:rPr>
              <w:t>另一方面，携手不同领域品牌开展系列跨界营销动作，时尚化演绎生活吉场景，激活多圈层消费；同时，借势第十五届全运会，推出联名主题产品，将赛事流量转化为品牌关注度和市场销量，系统渗透年轻圈层，强化品牌时尚活力形象。</w:t>
            </w:r>
          </w:p>
          <w:p w14:paraId="2A471BDC">
            <w:pPr>
              <w:pStyle w:val="2"/>
              <w:spacing w:line="500" w:lineRule="exact"/>
              <w:rPr>
                <w:rFonts w:ascii="Calibri" w:hAnsi="Calibri" w:eastAsia="宋体"/>
                <w:kern w:val="0"/>
                <w:sz w:val="24"/>
                <w:szCs w:val="24"/>
                <w:lang w:bidi="ar"/>
              </w:rPr>
            </w:pPr>
          </w:p>
          <w:p w14:paraId="1FC69FA3">
            <w:pPr>
              <w:pStyle w:val="2"/>
              <w:spacing w:line="500" w:lineRule="exact"/>
              <w:ind w:firstLine="482" w:firstLineChars="200"/>
              <w:rPr>
                <w:rFonts w:ascii="Calibri" w:hAnsi="Calibri" w:eastAsia="宋体"/>
                <w:b/>
                <w:bCs/>
                <w:kern w:val="0"/>
                <w:sz w:val="24"/>
                <w:szCs w:val="24"/>
                <w:lang w:bidi="ar"/>
              </w:rPr>
            </w:pPr>
            <w:r>
              <w:rPr>
                <w:rFonts w:hint="eastAsia" w:ascii="Calibri" w:hAnsi="Calibri" w:eastAsia="宋体"/>
                <w:b/>
                <w:bCs/>
                <w:kern w:val="0"/>
                <w:sz w:val="24"/>
                <w:szCs w:val="24"/>
                <w:lang w:bidi="ar"/>
              </w:rPr>
              <w:t>（十</w:t>
            </w:r>
            <w:r>
              <w:rPr>
                <w:rFonts w:hint="eastAsia" w:ascii="Calibri" w:hAnsi="Calibri" w:eastAsia="宋体"/>
                <w:b/>
                <w:bCs/>
                <w:kern w:val="0"/>
                <w:sz w:val="24"/>
                <w:szCs w:val="24"/>
                <w:lang w:val="en-US" w:eastAsia="zh-CN" w:bidi="ar"/>
              </w:rPr>
              <w:t>二</w:t>
            </w:r>
            <w:r>
              <w:rPr>
                <w:rFonts w:hint="eastAsia" w:ascii="Calibri" w:hAnsi="Calibri" w:eastAsia="宋体"/>
                <w:b/>
                <w:bCs/>
                <w:kern w:val="0"/>
                <w:sz w:val="24"/>
                <w:szCs w:val="24"/>
                <w:lang w:bidi="ar"/>
              </w:rPr>
              <w:t>）公司王老吉大健康在兰州建设生产基地是怎么考虑的？</w:t>
            </w:r>
          </w:p>
          <w:p w14:paraId="6ABDC457">
            <w:pPr>
              <w:pStyle w:val="2"/>
              <w:spacing w:line="500" w:lineRule="exact"/>
              <w:ind w:firstLine="480" w:firstLineChars="200"/>
              <w:rPr>
                <w:rFonts w:ascii="Calibri" w:hAnsi="Calibri" w:eastAsia="宋体"/>
                <w:kern w:val="0"/>
                <w:sz w:val="24"/>
                <w:szCs w:val="24"/>
                <w:lang w:bidi="ar"/>
              </w:rPr>
            </w:pPr>
            <w:r>
              <w:rPr>
                <w:rFonts w:hint="eastAsia" w:ascii="Calibri" w:hAnsi="Calibri" w:eastAsia="宋体"/>
                <w:kern w:val="0"/>
                <w:sz w:val="24"/>
                <w:szCs w:val="24"/>
                <w:lang w:bidi="ar"/>
              </w:rPr>
              <w:t>答：王老吉兰州基地的顺利建成与投产，一是有利于巩固并拓展王老吉凉茶在西北地区的市场地位，通过本地化生产，降低物流成本，更好满足西北五省及周边市场对王老吉凉茶产品的需求，增强产品的新鲜度从而提高产品竞争力；二是进一步强化了王老吉凉茶全国生产网络覆盖能力，与广州南沙、广东梅州、四川雅安工厂有效协同，构建起横跨华南、西南、西北地区的战略布局，提升供应链效率与区域市场响应及服务能力。</w:t>
            </w:r>
          </w:p>
          <w:p w14:paraId="68D3C495">
            <w:pPr>
              <w:pStyle w:val="2"/>
              <w:spacing w:line="500" w:lineRule="exact"/>
              <w:rPr>
                <w:rFonts w:ascii="Calibri" w:hAnsi="Calibri" w:eastAsia="宋体"/>
                <w:kern w:val="0"/>
                <w:sz w:val="24"/>
                <w:szCs w:val="24"/>
                <w:lang w:bidi="ar"/>
              </w:rPr>
            </w:pPr>
          </w:p>
          <w:p w14:paraId="28F20C2A">
            <w:pPr>
              <w:pStyle w:val="2"/>
              <w:spacing w:line="500" w:lineRule="exact"/>
              <w:ind w:firstLine="482" w:firstLineChars="200"/>
              <w:rPr>
                <w:rFonts w:ascii="Calibri" w:hAnsi="Calibri" w:eastAsia="宋体"/>
                <w:kern w:val="0"/>
                <w:sz w:val="24"/>
                <w:szCs w:val="24"/>
                <w:lang w:bidi="ar"/>
              </w:rPr>
            </w:pPr>
            <w:r>
              <w:rPr>
                <w:rFonts w:hint="eastAsia" w:ascii="Calibri" w:hAnsi="Calibri" w:eastAsia="宋体"/>
                <w:b/>
                <w:bCs/>
                <w:kern w:val="0"/>
                <w:sz w:val="24"/>
                <w:szCs w:val="24"/>
                <w:lang w:bidi="ar"/>
              </w:rPr>
              <w:t>（十</w:t>
            </w:r>
            <w:r>
              <w:rPr>
                <w:rFonts w:hint="eastAsia" w:ascii="Calibri" w:hAnsi="Calibri" w:eastAsia="宋体"/>
                <w:b/>
                <w:bCs/>
                <w:kern w:val="0"/>
                <w:sz w:val="24"/>
                <w:szCs w:val="24"/>
                <w:lang w:val="en-US" w:eastAsia="zh-CN" w:bidi="ar"/>
              </w:rPr>
              <w:t>三</w:t>
            </w:r>
            <w:r>
              <w:rPr>
                <w:rFonts w:hint="eastAsia" w:ascii="Calibri" w:hAnsi="Calibri" w:eastAsia="宋体"/>
                <w:b/>
                <w:bCs/>
                <w:kern w:val="0"/>
                <w:sz w:val="24"/>
                <w:szCs w:val="24"/>
                <w:lang w:bidi="ar"/>
              </w:rPr>
              <w:t>）</w:t>
            </w:r>
            <w:r>
              <w:rPr>
                <w:rFonts w:ascii="Calibri" w:hAnsi="Calibri" w:eastAsia="宋体"/>
                <w:b/>
                <w:bCs/>
                <w:kern w:val="0"/>
                <w:sz w:val="24"/>
                <w:szCs w:val="24"/>
                <w:lang w:bidi="ar"/>
              </w:rPr>
              <w:t>当前广州医药应收账款的整体周转情况怎样？针对行业常见的回款相关挑战，公司已采取或计划采取哪些应对措施？</w:t>
            </w:r>
          </w:p>
          <w:p w14:paraId="5D166171">
            <w:pPr>
              <w:pStyle w:val="2"/>
              <w:spacing w:line="500" w:lineRule="exact"/>
              <w:ind w:firstLine="480" w:firstLineChars="200"/>
              <w:rPr>
                <w:rFonts w:ascii="Calibri" w:hAnsi="Calibri" w:eastAsia="宋体"/>
                <w:kern w:val="0"/>
                <w:sz w:val="24"/>
                <w:szCs w:val="24"/>
                <w:lang w:bidi="ar"/>
              </w:rPr>
            </w:pPr>
            <w:r>
              <w:rPr>
                <w:rFonts w:hint="eastAsia" w:ascii="Calibri" w:hAnsi="Calibri" w:eastAsia="宋体"/>
                <w:kern w:val="0"/>
                <w:sz w:val="24"/>
                <w:szCs w:val="24"/>
                <w:lang w:bidi="ar"/>
              </w:rPr>
              <w:t>答：受部分医疗机构回款延迟等外部环境和因素影响，广州医药应收账款周转效率面临一定压力。为有效应对回款挑战，广州医药一方面将深化过程精细化管理与催收，持续强化动态风险监控和回款管理；另一方面，积极拓展多元化融资渠道，加速推动应收账款资产证券化（ABS）、保理等金融工具的应用，不断优化整体财务结构。</w:t>
            </w:r>
          </w:p>
          <w:p w14:paraId="61B3F7A0">
            <w:pPr>
              <w:pStyle w:val="2"/>
              <w:spacing w:line="500" w:lineRule="exact"/>
              <w:rPr>
                <w:rFonts w:ascii="Calibri" w:hAnsi="Calibri" w:eastAsia="宋体"/>
                <w:kern w:val="0"/>
                <w:sz w:val="24"/>
                <w:szCs w:val="24"/>
                <w:lang w:bidi="ar"/>
              </w:rPr>
            </w:pPr>
          </w:p>
          <w:p w14:paraId="2048AD89">
            <w:pPr>
              <w:pStyle w:val="2"/>
              <w:spacing w:line="500" w:lineRule="exact"/>
              <w:ind w:firstLine="482" w:firstLineChars="200"/>
              <w:rPr>
                <w:rFonts w:ascii="宋体" w:hAnsi="宋体" w:eastAsia="宋体"/>
                <w:b/>
                <w:bCs/>
                <w:sz w:val="24"/>
                <w:szCs w:val="24"/>
                <w:lang w:bidi="ar"/>
              </w:rPr>
            </w:pPr>
            <w:r>
              <w:rPr>
                <w:rFonts w:hint="eastAsia" w:ascii="宋体" w:hAnsi="宋体" w:eastAsia="宋体"/>
                <w:b/>
                <w:bCs/>
                <w:sz w:val="24"/>
                <w:szCs w:val="24"/>
                <w:lang w:bidi="ar"/>
              </w:rPr>
              <w:t>（十</w:t>
            </w:r>
            <w:r>
              <w:rPr>
                <w:rFonts w:hint="eastAsia" w:ascii="宋体" w:hAnsi="宋体" w:eastAsia="宋体"/>
                <w:b/>
                <w:bCs/>
                <w:sz w:val="24"/>
                <w:szCs w:val="24"/>
                <w:lang w:val="en-US" w:eastAsia="zh-CN" w:bidi="ar"/>
              </w:rPr>
              <w:t>四</w:t>
            </w:r>
            <w:r>
              <w:rPr>
                <w:rFonts w:hint="eastAsia" w:ascii="宋体" w:hAnsi="宋体" w:eastAsia="宋体"/>
                <w:b/>
                <w:bCs/>
                <w:sz w:val="24"/>
                <w:szCs w:val="24"/>
                <w:lang w:bidi="ar"/>
              </w:rPr>
              <w:t>）公司在薪酬绩效与激励机制方面有何进展？</w:t>
            </w:r>
          </w:p>
          <w:p w14:paraId="7C03D403">
            <w:pPr>
              <w:pStyle w:val="2"/>
              <w:spacing w:line="500" w:lineRule="exact"/>
              <w:ind w:firstLine="480" w:firstLineChars="200"/>
              <w:rPr>
                <w:rFonts w:ascii="宋体" w:hAnsi="宋体" w:eastAsia="宋体"/>
                <w:sz w:val="24"/>
                <w:szCs w:val="24"/>
                <w:lang w:bidi="ar"/>
              </w:rPr>
            </w:pPr>
            <w:r>
              <w:rPr>
                <w:rFonts w:hint="eastAsia" w:ascii="宋体" w:hAnsi="宋体" w:eastAsia="宋体"/>
                <w:sz w:val="24"/>
                <w:szCs w:val="24"/>
                <w:lang w:bidi="ar"/>
              </w:rPr>
              <w:t>答：公司已聘请第三方机构，结合公司实际发展需求，探索制定薪酬绩效优化方案，进一步激发人才动力，加强人才队伍建设；同时，积极探索适合公司或下属企业发展的改革方案，探索开展混改、职业经理人机制等创新性举措，同时支持符合条件的下属企业探索开展股权激励、员工持股等，进一步激发下属子公司发展活力。</w:t>
            </w:r>
          </w:p>
          <w:p w14:paraId="5F4BDAB4">
            <w:pPr>
              <w:pStyle w:val="2"/>
              <w:spacing w:line="500" w:lineRule="exact"/>
              <w:ind w:firstLine="480" w:firstLineChars="200"/>
              <w:rPr>
                <w:rFonts w:ascii="宋体" w:hAnsi="宋体" w:eastAsia="宋体"/>
                <w:sz w:val="24"/>
                <w:szCs w:val="24"/>
                <w:lang w:bidi="ar"/>
              </w:rPr>
            </w:pPr>
          </w:p>
          <w:p w14:paraId="451C5EEB">
            <w:pPr>
              <w:pStyle w:val="2"/>
              <w:spacing w:line="500" w:lineRule="exact"/>
              <w:ind w:firstLine="482" w:firstLineChars="200"/>
              <w:rPr>
                <w:rFonts w:ascii="Calibri" w:hAnsi="Calibri" w:eastAsia="宋体"/>
                <w:b/>
                <w:bCs/>
                <w:kern w:val="0"/>
                <w:sz w:val="24"/>
                <w:szCs w:val="24"/>
                <w:lang w:bidi="ar"/>
              </w:rPr>
            </w:pPr>
            <w:r>
              <w:rPr>
                <w:rFonts w:hint="eastAsia" w:ascii="Calibri" w:hAnsi="Calibri" w:eastAsia="宋体"/>
                <w:b/>
                <w:bCs/>
                <w:kern w:val="0"/>
                <w:sz w:val="24"/>
                <w:szCs w:val="24"/>
                <w:lang w:bidi="ar"/>
              </w:rPr>
              <w:t>（十</w:t>
            </w:r>
            <w:r>
              <w:rPr>
                <w:rFonts w:hint="eastAsia" w:ascii="Calibri" w:hAnsi="Calibri" w:eastAsia="宋体"/>
                <w:b/>
                <w:bCs/>
                <w:kern w:val="0"/>
                <w:sz w:val="24"/>
                <w:szCs w:val="24"/>
                <w:lang w:val="en-US" w:eastAsia="zh-CN" w:bidi="ar"/>
              </w:rPr>
              <w:t>五</w:t>
            </w:r>
            <w:r>
              <w:rPr>
                <w:rFonts w:hint="eastAsia" w:ascii="Calibri" w:hAnsi="Calibri" w:eastAsia="宋体"/>
                <w:b/>
                <w:bCs/>
                <w:kern w:val="0"/>
                <w:sz w:val="24"/>
                <w:szCs w:val="24"/>
                <w:lang w:bidi="ar"/>
              </w:rPr>
              <w:t>）未来公司是否会提高分红？</w:t>
            </w:r>
          </w:p>
          <w:p w14:paraId="0EB0F124">
            <w:pPr>
              <w:pStyle w:val="2"/>
              <w:spacing w:line="500" w:lineRule="exact"/>
              <w:ind w:firstLine="480" w:firstLineChars="200"/>
              <w:rPr>
                <w:rFonts w:ascii="Calibri" w:hAnsi="Calibri" w:eastAsia="宋体"/>
                <w:kern w:val="0"/>
                <w:sz w:val="24"/>
                <w:szCs w:val="24"/>
                <w:lang w:bidi="ar"/>
              </w:rPr>
            </w:pPr>
            <w:r>
              <w:rPr>
                <w:rFonts w:hint="eastAsia" w:ascii="Calibri" w:hAnsi="Calibri" w:eastAsia="宋体"/>
                <w:kern w:val="0"/>
                <w:sz w:val="24"/>
                <w:szCs w:val="24"/>
                <w:lang w:bidi="ar"/>
              </w:rPr>
              <w:t>答：为进一步提升投资者回报，公司已实施2025年中期现金分红方案，每股派发现金红利0.4元（含税），合计派发现金红利6.5亿元（含税）。未来，公司将根据企业经营的实际情况，继续经营好业绩，争取在合理范围内给投资者更大回报。</w:t>
            </w:r>
          </w:p>
          <w:p w14:paraId="566D6CFF">
            <w:pPr>
              <w:pStyle w:val="2"/>
              <w:spacing w:line="500" w:lineRule="exact"/>
              <w:rPr>
                <w:rFonts w:ascii="宋体" w:hAnsi="宋体" w:eastAsia="宋体"/>
                <w:sz w:val="24"/>
                <w:szCs w:val="24"/>
                <w:lang w:bidi="ar"/>
              </w:rPr>
            </w:pPr>
          </w:p>
          <w:p w14:paraId="371C3CD7">
            <w:pPr>
              <w:pStyle w:val="2"/>
              <w:spacing w:line="500" w:lineRule="exact"/>
              <w:ind w:left="420" w:leftChars="200"/>
              <w:rPr>
                <w:rFonts w:ascii="宋体" w:hAnsi="宋体" w:eastAsia="宋体"/>
                <w:b/>
                <w:bCs/>
                <w:sz w:val="24"/>
                <w:szCs w:val="24"/>
                <w:lang w:bidi="ar"/>
              </w:rPr>
            </w:pPr>
            <w:r>
              <w:rPr>
                <w:rFonts w:hint="eastAsia" w:ascii="宋体" w:hAnsi="宋体" w:eastAsia="宋体"/>
                <w:b/>
                <w:bCs/>
                <w:sz w:val="24"/>
                <w:szCs w:val="24"/>
                <w:lang w:bidi="ar"/>
              </w:rPr>
              <w:t>（十</w:t>
            </w:r>
            <w:r>
              <w:rPr>
                <w:rFonts w:hint="eastAsia" w:ascii="宋体" w:hAnsi="宋体" w:eastAsia="宋体"/>
                <w:b/>
                <w:bCs/>
                <w:sz w:val="24"/>
                <w:szCs w:val="24"/>
                <w:lang w:val="en-US" w:eastAsia="zh-CN" w:bidi="ar"/>
              </w:rPr>
              <w:t>六</w:t>
            </w:r>
            <w:r>
              <w:rPr>
                <w:rFonts w:hint="eastAsia" w:ascii="宋体" w:hAnsi="宋体" w:eastAsia="宋体"/>
                <w:b/>
                <w:bCs/>
                <w:sz w:val="24"/>
                <w:szCs w:val="24"/>
                <w:lang w:bidi="ar"/>
              </w:rPr>
              <w:t>）公司在加强市值管理方面有哪些举措？</w:t>
            </w:r>
          </w:p>
          <w:p w14:paraId="68E56B87">
            <w:pPr>
              <w:pStyle w:val="2"/>
              <w:spacing w:line="500" w:lineRule="exact"/>
              <w:ind w:firstLine="480" w:firstLineChars="200"/>
              <w:rPr>
                <w:rFonts w:ascii="宋体" w:hAnsi="宋体" w:eastAsia="宋体"/>
                <w:sz w:val="24"/>
                <w:szCs w:val="24"/>
                <w:lang w:bidi="ar"/>
              </w:rPr>
            </w:pPr>
            <w:r>
              <w:rPr>
                <w:rFonts w:hint="eastAsia" w:ascii="宋体" w:hAnsi="宋体" w:eastAsia="宋体"/>
                <w:sz w:val="24"/>
                <w:szCs w:val="24"/>
                <w:lang w:bidi="ar"/>
              </w:rPr>
              <w:t>答：公司一直重视市值管理。2025年，公司制定了《市值管理制度》和《2025年度“提质增效重回报”行动方案》，同时通过提高分红比例（2024年分红比例提高至45.87%）、增加分红频次（实施2025年中期分红）、持续加强投资者交流（开展各类投资者交流活动近90场、交流人次近400）、强化ESG体系建设（MSCI、WIND的ESG评级均为A级），</w:t>
            </w:r>
            <w:r>
              <w:rPr>
                <w:rFonts w:ascii="宋体" w:hAnsi="宋体" w:eastAsia="宋体"/>
                <w:sz w:val="24"/>
                <w:szCs w:val="24"/>
                <w:lang w:bidi="ar"/>
              </w:rPr>
              <w:t>全方位夯实公司价值基础与市场信任度</w:t>
            </w:r>
            <w:r>
              <w:rPr>
                <w:rFonts w:hint="eastAsia" w:ascii="宋体" w:hAnsi="宋体" w:eastAsia="宋体"/>
                <w:sz w:val="24"/>
                <w:szCs w:val="24"/>
                <w:lang w:bidi="ar"/>
              </w:rPr>
              <w:t>。下一步，公司将坚持内生增长与外延拓展，推动公司持续稳定发展，同时加强品牌管理、强化科研创新、加快资本运作、优化完善考核与激励机制、灵活运用股利措施、更加主动开展投资者交流等，进一步强化市值管理。</w:t>
            </w:r>
          </w:p>
        </w:tc>
      </w:tr>
    </w:tbl>
    <w:p w14:paraId="00462C00">
      <w:pPr>
        <w:rPr>
          <w:rFonts w:ascii="宋体" w:hAnsi="宋体" w:eastAsia="宋体"/>
          <w:sz w:val="24"/>
          <w:szCs w:val="24"/>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095F5">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89927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C89927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hMmVlNzFjNDI0ZTliMTBjN2NmZDYxODZkZGVmMDcifQ=="/>
  </w:docVars>
  <w:rsids>
    <w:rsidRoot w:val="00172A27"/>
    <w:rsid w:val="00025CB0"/>
    <w:rsid w:val="00026AD9"/>
    <w:rsid w:val="00032329"/>
    <w:rsid w:val="000423CF"/>
    <w:rsid w:val="00044D1C"/>
    <w:rsid w:val="00050DF4"/>
    <w:rsid w:val="0005752C"/>
    <w:rsid w:val="00061C18"/>
    <w:rsid w:val="0008758C"/>
    <w:rsid w:val="000C455F"/>
    <w:rsid w:val="00150AE8"/>
    <w:rsid w:val="001512EA"/>
    <w:rsid w:val="00162AF3"/>
    <w:rsid w:val="00172A27"/>
    <w:rsid w:val="00181A29"/>
    <w:rsid w:val="00190A5F"/>
    <w:rsid w:val="00192476"/>
    <w:rsid w:val="0019375C"/>
    <w:rsid w:val="001A7C3F"/>
    <w:rsid w:val="001B2FA5"/>
    <w:rsid w:val="001D5B13"/>
    <w:rsid w:val="001D6CF4"/>
    <w:rsid w:val="001E2434"/>
    <w:rsid w:val="001E2B27"/>
    <w:rsid w:val="001E5849"/>
    <w:rsid w:val="001F0D8E"/>
    <w:rsid w:val="002030C7"/>
    <w:rsid w:val="00227682"/>
    <w:rsid w:val="00234F62"/>
    <w:rsid w:val="0023523C"/>
    <w:rsid w:val="00237154"/>
    <w:rsid w:val="0023740A"/>
    <w:rsid w:val="00244BDD"/>
    <w:rsid w:val="002A55F9"/>
    <w:rsid w:val="002D34CA"/>
    <w:rsid w:val="002F071F"/>
    <w:rsid w:val="0031151B"/>
    <w:rsid w:val="00333576"/>
    <w:rsid w:val="003638D2"/>
    <w:rsid w:val="00372AEC"/>
    <w:rsid w:val="00372E22"/>
    <w:rsid w:val="003843DA"/>
    <w:rsid w:val="00393833"/>
    <w:rsid w:val="003B20EB"/>
    <w:rsid w:val="003D4A24"/>
    <w:rsid w:val="003E2611"/>
    <w:rsid w:val="00416276"/>
    <w:rsid w:val="00417D16"/>
    <w:rsid w:val="0042267D"/>
    <w:rsid w:val="00426DE7"/>
    <w:rsid w:val="00430C9F"/>
    <w:rsid w:val="00440515"/>
    <w:rsid w:val="00444319"/>
    <w:rsid w:val="004508A9"/>
    <w:rsid w:val="00454DB9"/>
    <w:rsid w:val="004575B0"/>
    <w:rsid w:val="004629A5"/>
    <w:rsid w:val="00464276"/>
    <w:rsid w:val="004830A0"/>
    <w:rsid w:val="004A0494"/>
    <w:rsid w:val="004D0DC3"/>
    <w:rsid w:val="004D7C37"/>
    <w:rsid w:val="00535815"/>
    <w:rsid w:val="005666FB"/>
    <w:rsid w:val="0058744F"/>
    <w:rsid w:val="005A0C6A"/>
    <w:rsid w:val="005A6D48"/>
    <w:rsid w:val="005D695F"/>
    <w:rsid w:val="005E6EA6"/>
    <w:rsid w:val="005F2058"/>
    <w:rsid w:val="005F2987"/>
    <w:rsid w:val="005F4FCF"/>
    <w:rsid w:val="005F6069"/>
    <w:rsid w:val="00624602"/>
    <w:rsid w:val="00631DD3"/>
    <w:rsid w:val="006366B1"/>
    <w:rsid w:val="00641E4D"/>
    <w:rsid w:val="00643621"/>
    <w:rsid w:val="00653716"/>
    <w:rsid w:val="00672B6C"/>
    <w:rsid w:val="00676F1A"/>
    <w:rsid w:val="0068760B"/>
    <w:rsid w:val="00690627"/>
    <w:rsid w:val="00694DCE"/>
    <w:rsid w:val="006A31C5"/>
    <w:rsid w:val="006B399C"/>
    <w:rsid w:val="006C7988"/>
    <w:rsid w:val="006D3077"/>
    <w:rsid w:val="006E36C1"/>
    <w:rsid w:val="006F0129"/>
    <w:rsid w:val="006F78C2"/>
    <w:rsid w:val="007118FE"/>
    <w:rsid w:val="00711D0F"/>
    <w:rsid w:val="00711D80"/>
    <w:rsid w:val="007137B8"/>
    <w:rsid w:val="00716CD9"/>
    <w:rsid w:val="007616A5"/>
    <w:rsid w:val="007636A3"/>
    <w:rsid w:val="007802B8"/>
    <w:rsid w:val="00795FD5"/>
    <w:rsid w:val="007A2E2D"/>
    <w:rsid w:val="007C124C"/>
    <w:rsid w:val="007C2D01"/>
    <w:rsid w:val="007E76DC"/>
    <w:rsid w:val="008000EC"/>
    <w:rsid w:val="00806304"/>
    <w:rsid w:val="00812351"/>
    <w:rsid w:val="00816522"/>
    <w:rsid w:val="008534FA"/>
    <w:rsid w:val="00861A58"/>
    <w:rsid w:val="008F5BDD"/>
    <w:rsid w:val="00900532"/>
    <w:rsid w:val="00916D30"/>
    <w:rsid w:val="0092138B"/>
    <w:rsid w:val="00924CFF"/>
    <w:rsid w:val="00926D52"/>
    <w:rsid w:val="00941BE8"/>
    <w:rsid w:val="00954ADF"/>
    <w:rsid w:val="00957621"/>
    <w:rsid w:val="00965600"/>
    <w:rsid w:val="00981F53"/>
    <w:rsid w:val="009846E6"/>
    <w:rsid w:val="009917D2"/>
    <w:rsid w:val="009A2F93"/>
    <w:rsid w:val="009B2D59"/>
    <w:rsid w:val="009D1231"/>
    <w:rsid w:val="009E4068"/>
    <w:rsid w:val="00A04B95"/>
    <w:rsid w:val="00A055C7"/>
    <w:rsid w:val="00A27FC2"/>
    <w:rsid w:val="00A42E7E"/>
    <w:rsid w:val="00A838B1"/>
    <w:rsid w:val="00AB16B9"/>
    <w:rsid w:val="00AB2E37"/>
    <w:rsid w:val="00AB78DB"/>
    <w:rsid w:val="00AD1DDC"/>
    <w:rsid w:val="00AE3836"/>
    <w:rsid w:val="00AF4F8E"/>
    <w:rsid w:val="00B10F38"/>
    <w:rsid w:val="00B2542A"/>
    <w:rsid w:val="00B34BCA"/>
    <w:rsid w:val="00B409FC"/>
    <w:rsid w:val="00B4791A"/>
    <w:rsid w:val="00B47DA0"/>
    <w:rsid w:val="00B82458"/>
    <w:rsid w:val="00B85224"/>
    <w:rsid w:val="00B85BF3"/>
    <w:rsid w:val="00B86058"/>
    <w:rsid w:val="00BA4FAB"/>
    <w:rsid w:val="00BD34F3"/>
    <w:rsid w:val="00BE71DD"/>
    <w:rsid w:val="00BF53F3"/>
    <w:rsid w:val="00BF6490"/>
    <w:rsid w:val="00C17FFD"/>
    <w:rsid w:val="00C30AEE"/>
    <w:rsid w:val="00C419EA"/>
    <w:rsid w:val="00C52639"/>
    <w:rsid w:val="00C618C3"/>
    <w:rsid w:val="00C6785D"/>
    <w:rsid w:val="00C67F92"/>
    <w:rsid w:val="00C74C1A"/>
    <w:rsid w:val="00C84386"/>
    <w:rsid w:val="00C90242"/>
    <w:rsid w:val="00CB14DC"/>
    <w:rsid w:val="00CC5714"/>
    <w:rsid w:val="00CE6791"/>
    <w:rsid w:val="00CF047B"/>
    <w:rsid w:val="00CF1631"/>
    <w:rsid w:val="00CF4DDB"/>
    <w:rsid w:val="00D075FA"/>
    <w:rsid w:val="00D15514"/>
    <w:rsid w:val="00D22970"/>
    <w:rsid w:val="00D22A15"/>
    <w:rsid w:val="00D25777"/>
    <w:rsid w:val="00D32B0B"/>
    <w:rsid w:val="00D4320B"/>
    <w:rsid w:val="00DA63E6"/>
    <w:rsid w:val="00DB1D0E"/>
    <w:rsid w:val="00DC5CB4"/>
    <w:rsid w:val="00DD7901"/>
    <w:rsid w:val="00DE1A21"/>
    <w:rsid w:val="00E00758"/>
    <w:rsid w:val="00E10DEB"/>
    <w:rsid w:val="00E163CE"/>
    <w:rsid w:val="00E24D7D"/>
    <w:rsid w:val="00E265BD"/>
    <w:rsid w:val="00E4048D"/>
    <w:rsid w:val="00E46AD2"/>
    <w:rsid w:val="00E735D9"/>
    <w:rsid w:val="00E7643E"/>
    <w:rsid w:val="00E863F3"/>
    <w:rsid w:val="00EA7ED8"/>
    <w:rsid w:val="00EC4BF3"/>
    <w:rsid w:val="00EC7D58"/>
    <w:rsid w:val="00ED3436"/>
    <w:rsid w:val="00F01C36"/>
    <w:rsid w:val="00F06EDA"/>
    <w:rsid w:val="00F22A2A"/>
    <w:rsid w:val="00F269D3"/>
    <w:rsid w:val="00F609E2"/>
    <w:rsid w:val="00FB5649"/>
    <w:rsid w:val="00FC6C8E"/>
    <w:rsid w:val="00FC7316"/>
    <w:rsid w:val="00FE79E5"/>
    <w:rsid w:val="010D427B"/>
    <w:rsid w:val="01201F55"/>
    <w:rsid w:val="01AD3A23"/>
    <w:rsid w:val="026B2CB8"/>
    <w:rsid w:val="03920A67"/>
    <w:rsid w:val="03C9092D"/>
    <w:rsid w:val="04212517"/>
    <w:rsid w:val="04917185"/>
    <w:rsid w:val="05BF3CB6"/>
    <w:rsid w:val="063D4CBA"/>
    <w:rsid w:val="06622973"/>
    <w:rsid w:val="07102EA3"/>
    <w:rsid w:val="07452CE3"/>
    <w:rsid w:val="074B4461"/>
    <w:rsid w:val="07852DBD"/>
    <w:rsid w:val="079E79DA"/>
    <w:rsid w:val="07A27EEC"/>
    <w:rsid w:val="07A836F4"/>
    <w:rsid w:val="07B03875"/>
    <w:rsid w:val="07B32739"/>
    <w:rsid w:val="0882554E"/>
    <w:rsid w:val="090C0028"/>
    <w:rsid w:val="091A677A"/>
    <w:rsid w:val="09EB2C7F"/>
    <w:rsid w:val="0A2F6341"/>
    <w:rsid w:val="0A764C3F"/>
    <w:rsid w:val="0A8344B4"/>
    <w:rsid w:val="0AA7304A"/>
    <w:rsid w:val="0ADD5073"/>
    <w:rsid w:val="0AE71698"/>
    <w:rsid w:val="0AEC3153"/>
    <w:rsid w:val="0AF11EFA"/>
    <w:rsid w:val="0B801AF3"/>
    <w:rsid w:val="0BCE214B"/>
    <w:rsid w:val="0BE24FAD"/>
    <w:rsid w:val="0BFD6B61"/>
    <w:rsid w:val="0C17188A"/>
    <w:rsid w:val="0C9B098C"/>
    <w:rsid w:val="0CB240D8"/>
    <w:rsid w:val="0D9E5A0B"/>
    <w:rsid w:val="0E1600BC"/>
    <w:rsid w:val="0E5928AD"/>
    <w:rsid w:val="0EE20AF5"/>
    <w:rsid w:val="0F5B1954"/>
    <w:rsid w:val="0FBF0E36"/>
    <w:rsid w:val="0FE85BEC"/>
    <w:rsid w:val="0FE91A0F"/>
    <w:rsid w:val="104C4D64"/>
    <w:rsid w:val="11976A68"/>
    <w:rsid w:val="11B36F2A"/>
    <w:rsid w:val="11BD6E3E"/>
    <w:rsid w:val="11E91587"/>
    <w:rsid w:val="12170AB5"/>
    <w:rsid w:val="12353631"/>
    <w:rsid w:val="124C4FD5"/>
    <w:rsid w:val="125A30C4"/>
    <w:rsid w:val="128D521B"/>
    <w:rsid w:val="12ED7A68"/>
    <w:rsid w:val="130152C1"/>
    <w:rsid w:val="133F476E"/>
    <w:rsid w:val="13482EF0"/>
    <w:rsid w:val="1363595C"/>
    <w:rsid w:val="14123C2A"/>
    <w:rsid w:val="142D0E0E"/>
    <w:rsid w:val="148E15C6"/>
    <w:rsid w:val="15507A24"/>
    <w:rsid w:val="16055DDA"/>
    <w:rsid w:val="161812FA"/>
    <w:rsid w:val="162219DC"/>
    <w:rsid w:val="16806CB1"/>
    <w:rsid w:val="16CA07EC"/>
    <w:rsid w:val="16DC407B"/>
    <w:rsid w:val="16EF1130"/>
    <w:rsid w:val="179E3A27"/>
    <w:rsid w:val="17C9137B"/>
    <w:rsid w:val="17CA65CA"/>
    <w:rsid w:val="17E54BD3"/>
    <w:rsid w:val="17F0126D"/>
    <w:rsid w:val="18090EA0"/>
    <w:rsid w:val="181E5365"/>
    <w:rsid w:val="18290801"/>
    <w:rsid w:val="18545F68"/>
    <w:rsid w:val="189360E5"/>
    <w:rsid w:val="18EE0096"/>
    <w:rsid w:val="19293B87"/>
    <w:rsid w:val="1940793F"/>
    <w:rsid w:val="19A215B9"/>
    <w:rsid w:val="19E70E0E"/>
    <w:rsid w:val="19FC104D"/>
    <w:rsid w:val="1A0E09F0"/>
    <w:rsid w:val="1A8707A2"/>
    <w:rsid w:val="1AB7210B"/>
    <w:rsid w:val="1AC65D6F"/>
    <w:rsid w:val="1B5B5EB7"/>
    <w:rsid w:val="1B6B70D8"/>
    <w:rsid w:val="1B6E62F4"/>
    <w:rsid w:val="1B8515C8"/>
    <w:rsid w:val="1BAB4AC5"/>
    <w:rsid w:val="1BD65A0D"/>
    <w:rsid w:val="1C051F94"/>
    <w:rsid w:val="1C3861F8"/>
    <w:rsid w:val="1C4A1A87"/>
    <w:rsid w:val="1C4B4A0F"/>
    <w:rsid w:val="1C5A6817"/>
    <w:rsid w:val="1C5B5A42"/>
    <w:rsid w:val="1CA94A00"/>
    <w:rsid w:val="1CD43639"/>
    <w:rsid w:val="1D494184"/>
    <w:rsid w:val="1D7B7E7D"/>
    <w:rsid w:val="1D8944E9"/>
    <w:rsid w:val="1DCE33A3"/>
    <w:rsid w:val="1DD333DB"/>
    <w:rsid w:val="1DDE150B"/>
    <w:rsid w:val="1E3C42D4"/>
    <w:rsid w:val="1ECB4267"/>
    <w:rsid w:val="1F3638AE"/>
    <w:rsid w:val="1F594E5D"/>
    <w:rsid w:val="1FBD2442"/>
    <w:rsid w:val="202D1DEC"/>
    <w:rsid w:val="20681567"/>
    <w:rsid w:val="20B348F3"/>
    <w:rsid w:val="20D075ED"/>
    <w:rsid w:val="210743EB"/>
    <w:rsid w:val="212D4142"/>
    <w:rsid w:val="21303941"/>
    <w:rsid w:val="215D5E73"/>
    <w:rsid w:val="217D46AD"/>
    <w:rsid w:val="218F236A"/>
    <w:rsid w:val="21D30E45"/>
    <w:rsid w:val="22121D98"/>
    <w:rsid w:val="222F1E4B"/>
    <w:rsid w:val="223E68AF"/>
    <w:rsid w:val="2265586D"/>
    <w:rsid w:val="23361B69"/>
    <w:rsid w:val="233A223B"/>
    <w:rsid w:val="234B1C36"/>
    <w:rsid w:val="23563407"/>
    <w:rsid w:val="23CF4182"/>
    <w:rsid w:val="25C83F87"/>
    <w:rsid w:val="25DB0FD9"/>
    <w:rsid w:val="25F95EEC"/>
    <w:rsid w:val="261C0BF7"/>
    <w:rsid w:val="262275D1"/>
    <w:rsid w:val="266876DA"/>
    <w:rsid w:val="26862B41"/>
    <w:rsid w:val="26F61EFB"/>
    <w:rsid w:val="2758774E"/>
    <w:rsid w:val="278E4F1E"/>
    <w:rsid w:val="280D4603"/>
    <w:rsid w:val="287912E5"/>
    <w:rsid w:val="287C121A"/>
    <w:rsid w:val="292E501E"/>
    <w:rsid w:val="29B535B1"/>
    <w:rsid w:val="2A1A2444"/>
    <w:rsid w:val="2A3648F0"/>
    <w:rsid w:val="2A715156"/>
    <w:rsid w:val="2A790107"/>
    <w:rsid w:val="2A86447F"/>
    <w:rsid w:val="2ADF2513"/>
    <w:rsid w:val="2B075C65"/>
    <w:rsid w:val="2B447689"/>
    <w:rsid w:val="2B591E08"/>
    <w:rsid w:val="2BBB02AC"/>
    <w:rsid w:val="2BCF10A6"/>
    <w:rsid w:val="2C1300E8"/>
    <w:rsid w:val="2C575738"/>
    <w:rsid w:val="2C8B5ED0"/>
    <w:rsid w:val="2C960884"/>
    <w:rsid w:val="2CA973E9"/>
    <w:rsid w:val="2D4521E4"/>
    <w:rsid w:val="2DD90EBD"/>
    <w:rsid w:val="2DF81343"/>
    <w:rsid w:val="2E6B2BC6"/>
    <w:rsid w:val="2EE47B19"/>
    <w:rsid w:val="2F2D14C0"/>
    <w:rsid w:val="2F6A3570"/>
    <w:rsid w:val="2F964F05"/>
    <w:rsid w:val="2FEA11EA"/>
    <w:rsid w:val="3036293F"/>
    <w:rsid w:val="30896480"/>
    <w:rsid w:val="30963095"/>
    <w:rsid w:val="30A07565"/>
    <w:rsid w:val="31363720"/>
    <w:rsid w:val="314E47F2"/>
    <w:rsid w:val="315C308A"/>
    <w:rsid w:val="31807F66"/>
    <w:rsid w:val="31B118FD"/>
    <w:rsid w:val="32A7158A"/>
    <w:rsid w:val="32AE46C6"/>
    <w:rsid w:val="32DE69D8"/>
    <w:rsid w:val="32EB2B64"/>
    <w:rsid w:val="334F6D3D"/>
    <w:rsid w:val="335C6172"/>
    <w:rsid w:val="336229E7"/>
    <w:rsid w:val="337F6B6E"/>
    <w:rsid w:val="33911F37"/>
    <w:rsid w:val="33E21C1A"/>
    <w:rsid w:val="34311A53"/>
    <w:rsid w:val="343230D5"/>
    <w:rsid w:val="346C48F4"/>
    <w:rsid w:val="346D766F"/>
    <w:rsid w:val="34E71972"/>
    <w:rsid w:val="34F9186F"/>
    <w:rsid w:val="3533084D"/>
    <w:rsid w:val="354D54A9"/>
    <w:rsid w:val="359679D1"/>
    <w:rsid w:val="36E63C08"/>
    <w:rsid w:val="36E92225"/>
    <w:rsid w:val="372C6E7F"/>
    <w:rsid w:val="376D1E36"/>
    <w:rsid w:val="37DA313A"/>
    <w:rsid w:val="381B277F"/>
    <w:rsid w:val="3824770E"/>
    <w:rsid w:val="38545D10"/>
    <w:rsid w:val="38C43E25"/>
    <w:rsid w:val="399972E4"/>
    <w:rsid w:val="39F6132E"/>
    <w:rsid w:val="3A1864B2"/>
    <w:rsid w:val="3A1F4445"/>
    <w:rsid w:val="3A3815D3"/>
    <w:rsid w:val="3A3E6C77"/>
    <w:rsid w:val="3A415891"/>
    <w:rsid w:val="3A591F82"/>
    <w:rsid w:val="3A6D7BE3"/>
    <w:rsid w:val="3ACC7DDF"/>
    <w:rsid w:val="3B225C51"/>
    <w:rsid w:val="3B3E3FA5"/>
    <w:rsid w:val="3B450930"/>
    <w:rsid w:val="3BA23236"/>
    <w:rsid w:val="3C1852A6"/>
    <w:rsid w:val="3C6A7383"/>
    <w:rsid w:val="3C74099D"/>
    <w:rsid w:val="3C7D054C"/>
    <w:rsid w:val="3CE8383B"/>
    <w:rsid w:val="3D605157"/>
    <w:rsid w:val="3D7A3C99"/>
    <w:rsid w:val="3DC512D0"/>
    <w:rsid w:val="3E5B4D46"/>
    <w:rsid w:val="3E66054B"/>
    <w:rsid w:val="3F4C5993"/>
    <w:rsid w:val="3F8E5FAB"/>
    <w:rsid w:val="3FD10385"/>
    <w:rsid w:val="3FDB51DB"/>
    <w:rsid w:val="40871FB8"/>
    <w:rsid w:val="40CD253B"/>
    <w:rsid w:val="40E35B04"/>
    <w:rsid w:val="41990C37"/>
    <w:rsid w:val="41ED47FB"/>
    <w:rsid w:val="41F80C94"/>
    <w:rsid w:val="42537038"/>
    <w:rsid w:val="42835EF4"/>
    <w:rsid w:val="42CE4911"/>
    <w:rsid w:val="430D7664"/>
    <w:rsid w:val="43190F58"/>
    <w:rsid w:val="43763100"/>
    <w:rsid w:val="437B2938"/>
    <w:rsid w:val="43FB0295"/>
    <w:rsid w:val="4427077C"/>
    <w:rsid w:val="44492474"/>
    <w:rsid w:val="44617BA5"/>
    <w:rsid w:val="44DC3315"/>
    <w:rsid w:val="450137F0"/>
    <w:rsid w:val="45053792"/>
    <w:rsid w:val="4534527F"/>
    <w:rsid w:val="453D05C7"/>
    <w:rsid w:val="45516773"/>
    <w:rsid w:val="45BE5CA2"/>
    <w:rsid w:val="45FA1CE4"/>
    <w:rsid w:val="460C5E7C"/>
    <w:rsid w:val="46380A1F"/>
    <w:rsid w:val="467CFF17"/>
    <w:rsid w:val="469C0860"/>
    <w:rsid w:val="46A351E1"/>
    <w:rsid w:val="46BA58D8"/>
    <w:rsid w:val="47022DDB"/>
    <w:rsid w:val="47327B17"/>
    <w:rsid w:val="473936A6"/>
    <w:rsid w:val="474F52FA"/>
    <w:rsid w:val="476B2748"/>
    <w:rsid w:val="47B440D5"/>
    <w:rsid w:val="47C841F6"/>
    <w:rsid w:val="47D77BA6"/>
    <w:rsid w:val="47E47B88"/>
    <w:rsid w:val="48166B3E"/>
    <w:rsid w:val="48742673"/>
    <w:rsid w:val="48764D34"/>
    <w:rsid w:val="48DA5496"/>
    <w:rsid w:val="491F1A22"/>
    <w:rsid w:val="49574D12"/>
    <w:rsid w:val="495751DE"/>
    <w:rsid w:val="49C16F7D"/>
    <w:rsid w:val="4A34702F"/>
    <w:rsid w:val="4A710A83"/>
    <w:rsid w:val="4A714A31"/>
    <w:rsid w:val="4A832E71"/>
    <w:rsid w:val="4AEA31D4"/>
    <w:rsid w:val="4B4810FE"/>
    <w:rsid w:val="4B73153F"/>
    <w:rsid w:val="4B977597"/>
    <w:rsid w:val="4C066EC9"/>
    <w:rsid w:val="4C3752D5"/>
    <w:rsid w:val="4C602AB7"/>
    <w:rsid w:val="4CBF7C75"/>
    <w:rsid w:val="4CD11285"/>
    <w:rsid w:val="4CE70AA9"/>
    <w:rsid w:val="4D0623E1"/>
    <w:rsid w:val="4D233AF8"/>
    <w:rsid w:val="4D3E1798"/>
    <w:rsid w:val="4D480730"/>
    <w:rsid w:val="4D571ED4"/>
    <w:rsid w:val="4DD40C5E"/>
    <w:rsid w:val="4DDC4A17"/>
    <w:rsid w:val="4E121B55"/>
    <w:rsid w:val="4E2A6F15"/>
    <w:rsid w:val="4E30647F"/>
    <w:rsid w:val="4E3432F4"/>
    <w:rsid w:val="4F6B3C13"/>
    <w:rsid w:val="4FBB7FCB"/>
    <w:rsid w:val="502D0E36"/>
    <w:rsid w:val="50333DEC"/>
    <w:rsid w:val="50414974"/>
    <w:rsid w:val="508F56DF"/>
    <w:rsid w:val="50E35EBB"/>
    <w:rsid w:val="50FB0FC7"/>
    <w:rsid w:val="51404C2B"/>
    <w:rsid w:val="51F949B7"/>
    <w:rsid w:val="52985AF9"/>
    <w:rsid w:val="53505AE5"/>
    <w:rsid w:val="53830F02"/>
    <w:rsid w:val="53A316C5"/>
    <w:rsid w:val="53CE31DB"/>
    <w:rsid w:val="53FD9CDC"/>
    <w:rsid w:val="54327A61"/>
    <w:rsid w:val="54DC7AC6"/>
    <w:rsid w:val="5560764A"/>
    <w:rsid w:val="55AC288F"/>
    <w:rsid w:val="55C86F8B"/>
    <w:rsid w:val="55D6790C"/>
    <w:rsid w:val="56D15A89"/>
    <w:rsid w:val="572C51A7"/>
    <w:rsid w:val="576C677A"/>
    <w:rsid w:val="57C661A5"/>
    <w:rsid w:val="57CB1AC4"/>
    <w:rsid w:val="58035059"/>
    <w:rsid w:val="587358E6"/>
    <w:rsid w:val="58AC2BA6"/>
    <w:rsid w:val="58E41B62"/>
    <w:rsid w:val="592D325B"/>
    <w:rsid w:val="59314761"/>
    <w:rsid w:val="593D2E59"/>
    <w:rsid w:val="59D02FE6"/>
    <w:rsid w:val="5A2C6B69"/>
    <w:rsid w:val="5A497EFA"/>
    <w:rsid w:val="5A8D3D2B"/>
    <w:rsid w:val="5B697EEF"/>
    <w:rsid w:val="5B702511"/>
    <w:rsid w:val="5B913D4A"/>
    <w:rsid w:val="5C056287"/>
    <w:rsid w:val="5C1F32A6"/>
    <w:rsid w:val="5D311BE6"/>
    <w:rsid w:val="5D3B34D2"/>
    <w:rsid w:val="5D976B3F"/>
    <w:rsid w:val="5E024645"/>
    <w:rsid w:val="5E548B43"/>
    <w:rsid w:val="5E5B3ACA"/>
    <w:rsid w:val="5E780AE1"/>
    <w:rsid w:val="5EB3CE55"/>
    <w:rsid w:val="5F246A9A"/>
    <w:rsid w:val="5F2D68B1"/>
    <w:rsid w:val="5F8EA272"/>
    <w:rsid w:val="5FAE0644"/>
    <w:rsid w:val="5FF7D567"/>
    <w:rsid w:val="5FFD5AB9"/>
    <w:rsid w:val="60844B35"/>
    <w:rsid w:val="60B92AAF"/>
    <w:rsid w:val="610F1255"/>
    <w:rsid w:val="612A6E3D"/>
    <w:rsid w:val="61572249"/>
    <w:rsid w:val="61930DA7"/>
    <w:rsid w:val="61D43888"/>
    <w:rsid w:val="62214605"/>
    <w:rsid w:val="6223212B"/>
    <w:rsid w:val="622C188E"/>
    <w:rsid w:val="623D38BB"/>
    <w:rsid w:val="62691F3E"/>
    <w:rsid w:val="62B75CC2"/>
    <w:rsid w:val="63604CB9"/>
    <w:rsid w:val="636D7E27"/>
    <w:rsid w:val="6393680E"/>
    <w:rsid w:val="63F447FA"/>
    <w:rsid w:val="646B1ECE"/>
    <w:rsid w:val="653603C7"/>
    <w:rsid w:val="65420882"/>
    <w:rsid w:val="6553506E"/>
    <w:rsid w:val="65672E18"/>
    <w:rsid w:val="656C1155"/>
    <w:rsid w:val="65707DCC"/>
    <w:rsid w:val="658B309F"/>
    <w:rsid w:val="664A15ED"/>
    <w:rsid w:val="665600F0"/>
    <w:rsid w:val="66727C84"/>
    <w:rsid w:val="66876902"/>
    <w:rsid w:val="66A650D9"/>
    <w:rsid w:val="66BD5E1B"/>
    <w:rsid w:val="66CD2666"/>
    <w:rsid w:val="67087B42"/>
    <w:rsid w:val="67A27022"/>
    <w:rsid w:val="67E05496"/>
    <w:rsid w:val="680C559B"/>
    <w:rsid w:val="68686BBC"/>
    <w:rsid w:val="687A00C6"/>
    <w:rsid w:val="68934717"/>
    <w:rsid w:val="69043963"/>
    <w:rsid w:val="69044022"/>
    <w:rsid w:val="6907627A"/>
    <w:rsid w:val="69165080"/>
    <w:rsid w:val="696B304E"/>
    <w:rsid w:val="697838DF"/>
    <w:rsid w:val="69C40A40"/>
    <w:rsid w:val="6A293639"/>
    <w:rsid w:val="6A5777C2"/>
    <w:rsid w:val="6A6634FD"/>
    <w:rsid w:val="6B287AD5"/>
    <w:rsid w:val="6B7316A4"/>
    <w:rsid w:val="6B8B77E1"/>
    <w:rsid w:val="6B9C4F21"/>
    <w:rsid w:val="6BDA2AFA"/>
    <w:rsid w:val="6BE4317B"/>
    <w:rsid w:val="6C58469A"/>
    <w:rsid w:val="6C6E055C"/>
    <w:rsid w:val="6C740B5E"/>
    <w:rsid w:val="6CC57182"/>
    <w:rsid w:val="6CC7277A"/>
    <w:rsid w:val="6D1D1356"/>
    <w:rsid w:val="6DA74875"/>
    <w:rsid w:val="6DE8697B"/>
    <w:rsid w:val="6E1967C1"/>
    <w:rsid w:val="6EBC5114"/>
    <w:rsid w:val="6ED57945"/>
    <w:rsid w:val="6EF2710D"/>
    <w:rsid w:val="6F4E7113"/>
    <w:rsid w:val="6F541B76"/>
    <w:rsid w:val="6F8E7ECA"/>
    <w:rsid w:val="6F9D2C59"/>
    <w:rsid w:val="6FAE28B9"/>
    <w:rsid w:val="6FBB11B3"/>
    <w:rsid w:val="70096E04"/>
    <w:rsid w:val="70B12FF8"/>
    <w:rsid w:val="71141CBA"/>
    <w:rsid w:val="71F37B08"/>
    <w:rsid w:val="72127AC6"/>
    <w:rsid w:val="722F31E7"/>
    <w:rsid w:val="724F6669"/>
    <w:rsid w:val="72A5504C"/>
    <w:rsid w:val="72E363F2"/>
    <w:rsid w:val="734C133A"/>
    <w:rsid w:val="73722F12"/>
    <w:rsid w:val="73972904"/>
    <w:rsid w:val="73B788E7"/>
    <w:rsid w:val="742C183A"/>
    <w:rsid w:val="743E1047"/>
    <w:rsid w:val="74404DBF"/>
    <w:rsid w:val="74566577"/>
    <w:rsid w:val="748E5089"/>
    <w:rsid w:val="74DB23BF"/>
    <w:rsid w:val="74E1184F"/>
    <w:rsid w:val="74FC2BFE"/>
    <w:rsid w:val="75DE31F0"/>
    <w:rsid w:val="75E85E43"/>
    <w:rsid w:val="767E3A20"/>
    <w:rsid w:val="76AF7FDA"/>
    <w:rsid w:val="76CE593B"/>
    <w:rsid w:val="76F3B939"/>
    <w:rsid w:val="76FD4DCB"/>
    <w:rsid w:val="771222E8"/>
    <w:rsid w:val="77664B3C"/>
    <w:rsid w:val="77C4430A"/>
    <w:rsid w:val="77C82386"/>
    <w:rsid w:val="77E3785D"/>
    <w:rsid w:val="78457530"/>
    <w:rsid w:val="78C9620B"/>
    <w:rsid w:val="790A14F7"/>
    <w:rsid w:val="790F2AC2"/>
    <w:rsid w:val="7923774A"/>
    <w:rsid w:val="79856F2C"/>
    <w:rsid w:val="7A7237F8"/>
    <w:rsid w:val="7AA65250"/>
    <w:rsid w:val="7AFD1314"/>
    <w:rsid w:val="7B2F0256"/>
    <w:rsid w:val="7B926184"/>
    <w:rsid w:val="7C023D81"/>
    <w:rsid w:val="7C3B688B"/>
    <w:rsid w:val="7C41491B"/>
    <w:rsid w:val="7C58305E"/>
    <w:rsid w:val="7C7F7042"/>
    <w:rsid w:val="7D2637C1"/>
    <w:rsid w:val="7D505977"/>
    <w:rsid w:val="7E210840"/>
    <w:rsid w:val="7E325778"/>
    <w:rsid w:val="7FB6280C"/>
    <w:rsid w:val="7FB739EF"/>
    <w:rsid w:val="7FFF0A28"/>
    <w:rsid w:val="7FFF3A7E"/>
    <w:rsid w:val="8FFF3353"/>
    <w:rsid w:val="9CBF896A"/>
    <w:rsid w:val="A33D4B8B"/>
    <w:rsid w:val="A75F56E0"/>
    <w:rsid w:val="BFFA55A4"/>
    <w:rsid w:val="BFFBAC19"/>
    <w:rsid w:val="CFF5705B"/>
    <w:rsid w:val="DC5ED6EA"/>
    <w:rsid w:val="E67FB003"/>
    <w:rsid w:val="EB7F9EED"/>
    <w:rsid w:val="EC6FF248"/>
    <w:rsid w:val="EEFF9DCC"/>
    <w:rsid w:val="EF3E74E9"/>
    <w:rsid w:val="F6BEE215"/>
    <w:rsid w:val="F97B3386"/>
    <w:rsid w:val="FD7D69D4"/>
    <w:rsid w:val="FF2EA5B3"/>
    <w:rsid w:val="FFBF2C72"/>
    <w:rsid w:val="FFFFC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autoRedefine/>
    <w:unhideWhenUsed/>
    <w:qFormat/>
    <w:uiPriority w:val="99"/>
    <w:pPr>
      <w:jc w:val="left"/>
    </w:pPr>
  </w:style>
  <w:style w:type="paragraph" w:styleId="3">
    <w:name w:val="Balloon Text"/>
    <w:basedOn w:val="1"/>
    <w:link w:val="13"/>
    <w:autoRedefine/>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autoRedefine/>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autoRedefine/>
    <w:qFormat/>
    <w:uiPriority w:val="22"/>
    <w:rPr>
      <w:b/>
    </w:rPr>
  </w:style>
  <w:style w:type="character" w:styleId="11">
    <w:name w:val="annotation reference"/>
    <w:autoRedefine/>
    <w:unhideWhenUsed/>
    <w:qFormat/>
    <w:uiPriority w:val="99"/>
    <w:rPr>
      <w:sz w:val="21"/>
      <w:szCs w:val="21"/>
    </w:rPr>
  </w:style>
  <w:style w:type="character" w:customStyle="1" w:styleId="12">
    <w:name w:val="批注文字 字符"/>
    <w:link w:val="2"/>
    <w:autoRedefine/>
    <w:qFormat/>
    <w:uiPriority w:val="99"/>
    <w:rPr>
      <w:rFonts w:ascii="等线" w:hAnsi="等线" w:eastAsia="等线"/>
      <w:kern w:val="2"/>
      <w:sz w:val="21"/>
      <w:szCs w:val="22"/>
    </w:rPr>
  </w:style>
  <w:style w:type="character" w:customStyle="1" w:styleId="13">
    <w:name w:val="批注框文本 字符"/>
    <w:link w:val="3"/>
    <w:autoRedefine/>
    <w:semiHidden/>
    <w:qFormat/>
    <w:uiPriority w:val="99"/>
    <w:rPr>
      <w:sz w:val="18"/>
      <w:szCs w:val="18"/>
    </w:rPr>
  </w:style>
  <w:style w:type="character" w:customStyle="1" w:styleId="14">
    <w:name w:val="页脚 字符"/>
    <w:link w:val="4"/>
    <w:autoRedefine/>
    <w:qFormat/>
    <w:uiPriority w:val="99"/>
    <w:rPr>
      <w:sz w:val="18"/>
      <w:szCs w:val="18"/>
    </w:rPr>
  </w:style>
  <w:style w:type="character" w:customStyle="1" w:styleId="15">
    <w:name w:val="页眉 字符"/>
    <w:link w:val="5"/>
    <w:autoRedefine/>
    <w:qFormat/>
    <w:uiPriority w:val="99"/>
    <w:rPr>
      <w:sz w:val="18"/>
      <w:szCs w:val="18"/>
    </w:rPr>
  </w:style>
  <w:style w:type="character" w:customStyle="1" w:styleId="16">
    <w:name w:val="批注主题 字符"/>
    <w:link w:val="6"/>
    <w:autoRedefine/>
    <w:semiHidden/>
    <w:qFormat/>
    <w:uiPriority w:val="99"/>
    <w:rPr>
      <w:rFonts w:ascii="等线" w:hAnsi="等线" w:eastAsia="等线"/>
      <w:b/>
      <w:bCs/>
      <w:kern w:val="2"/>
      <w:sz w:val="21"/>
      <w:szCs w:val="22"/>
    </w:rPr>
  </w:style>
  <w:style w:type="paragraph" w:styleId="17">
    <w:name w:val="List Paragraph"/>
    <w:basedOn w:val="1"/>
    <w:autoRedefine/>
    <w:qFormat/>
    <w:uiPriority w:val="34"/>
    <w:pPr>
      <w:ind w:firstLine="420" w:firstLineChars="200"/>
    </w:pPr>
  </w:style>
  <w:style w:type="paragraph" w:customStyle="1" w:styleId="18">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7fb80200-7b34-459a-a273-bfd26c1c06f4</errorID>
      <errorWord>司</errorWord>
      <group>L1_Word</group>
      <groupName>字词问题</groupName>
      <ability>L2_Typo</ability>
      <abilityName>字词错误</abilityName>
      <candidateList>
        <item>司将</item>
      </candidateList>
      <explain/>
      <paraID>657AB9E0</paraID>
      <start>3</start>
      <end>4</end>
      <status>ignored</status>
      <modifiedWord/>
      <trackRevisions>false</trackRevisions>
    </reviewItem>
    <reviewItem>
      <errorID>92c08f89-7721-4af9-92a3-04adfad677e3</errorID>
      <errorWord>创新的</errorWord>
      <group>L1_Word</group>
      <groupName>字词问题</groupName>
      <ability>L2_Typo</ability>
      <abilityName>字词错误</abilityName>
      <candidateList>
        <item>创新</item>
      </candidateList>
      <explain/>
      <paraID>44857321</paraID>
      <start>198</start>
      <end>200</end>
      <status>modified</status>
      <modifiedWord>创新</modifiedWord>
      <trackRevisions>false</trackRevisions>
    </reviewItem>
    <reviewItem>
      <errorID>98201a56-8ed9-483a-b2fb-2baa74f7becc</errorID>
      <errorWord>生活吉</errorWord>
      <group>L1_Word</group>
      <groupName>字词问题</groupName>
      <ability>L2_Typo</ability>
      <abilityName>字词错误</abilityName>
      <candidateList>
        <item>生活</item>
      </candidateList>
      <explain>❶〈名〉人或生物为了生存和发展而进行的各种活动：政治～｜日常～｜观察蜜蜂和蚂蚁的～。❷〈动〉进行各种活动：老人一直和儿孙们～在一起。❸〈动〉生存：一个人脱离了社会就不能～下去。❹〈名〉衣、食、住、行等方面的情况：人民的～不断提高。❺〈方〉〈名〉活儿（主要指工业、农业、手工业方面的）：做～｜～忙。</explain>
      <paraID>3F01045A</paraID>
      <start>29</start>
      <end>32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E3376E-78DF-4C7B-BBA4-0968773DA05F}">
  <ds:schemaRefs/>
</ds:datastoreItem>
</file>

<file path=docProps/app.xml><?xml version="1.0" encoding="utf-8"?>
<Properties xmlns="http://schemas.openxmlformats.org/officeDocument/2006/extended-properties" xmlns:vt="http://schemas.openxmlformats.org/officeDocument/2006/docPropsVTypes">
  <Template>Normal</Template>
  <Company>GYBYS</Company>
  <Pages>8</Pages>
  <Words>3920</Words>
  <Characters>4072</Characters>
  <Lines>31</Lines>
  <Paragraphs>8</Paragraphs>
  <TotalTime>51</TotalTime>
  <ScaleCrop>false</ScaleCrop>
  <LinksUpToDate>false</LinksUpToDate>
  <CharactersWithSpaces>4120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2023-09-13T06:13:00Z</dcterms:created>
  <dc:creator>Licy</dc:creator>
  <cp:lastModifiedBy>谭涛</cp:lastModifiedBy>
  <cp:lastPrinted>2026-02-10T07:39:00Z</cp:lastPrinted>
  <dcterms:modified xsi:type="dcterms:W3CDTF">2026-02-13T03:25:40Z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D2AB886900D2416481103A9E3E730BFB_13</vt:lpwstr>
  </property>
  <property fmtid="{D5CDD505-2E9C-101B-9397-08002B2CF9AE}" pid="4" name="KSOTemplateDocerSaveRecord">
    <vt:lpwstr>eyJoZGlkIjoiMzEwNTM5NzYwMDRjMzkwZTVkZjY2ODkwMGIxNGU0OTUiLCJ1c2VySWQiOiI3MjI1Nzg5MDgifQ==</vt:lpwstr>
  </property>
</Properties>
</file>