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333A">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证券代码：</w:t>
      </w:r>
      <w:r>
        <w:rPr>
          <w:rFonts w:hint="eastAsia" w:ascii="Times New Roman" w:hAnsi="Times New Roman" w:cs="Times New Roman"/>
          <w:sz w:val="24"/>
        </w:rPr>
        <w:t>601026</w:t>
      </w:r>
      <w:r>
        <w:rPr>
          <w:rFonts w:ascii="Times New Roman" w:hAnsi="Times New Roman" w:cs="Times New Roman"/>
          <w:sz w:val="24"/>
        </w:rPr>
        <w:t xml:space="preserve">                                    证券简称：</w:t>
      </w:r>
      <w:r>
        <w:rPr>
          <w:rFonts w:hint="eastAsia" w:ascii="Times New Roman" w:hAnsi="Times New Roman" w:cs="Times New Roman"/>
          <w:sz w:val="24"/>
        </w:rPr>
        <w:t>道生天合</w:t>
      </w:r>
    </w:p>
    <w:p w14:paraId="4004198D">
      <w:pPr>
        <w:adjustRightInd w:val="0"/>
        <w:snapToGrid w:val="0"/>
        <w:spacing w:before="312" w:beforeLines="100" w:line="360" w:lineRule="auto"/>
        <w:jc w:val="center"/>
        <w:rPr>
          <w:rFonts w:ascii="Times New Roman" w:hAnsi="Times New Roman" w:eastAsia="黑体" w:cs="Times New Roman"/>
          <w:b/>
          <w:bCs/>
          <w:iCs/>
          <w:color w:val="000000"/>
          <w:sz w:val="36"/>
          <w:szCs w:val="36"/>
        </w:rPr>
      </w:pPr>
      <w:r>
        <w:rPr>
          <w:rFonts w:hint="eastAsia" w:ascii="Times New Roman" w:hAnsi="Times New Roman" w:eastAsia="黑体" w:cs="Times New Roman"/>
          <w:b/>
          <w:bCs/>
          <w:iCs/>
          <w:color w:val="000000"/>
          <w:sz w:val="36"/>
          <w:szCs w:val="36"/>
        </w:rPr>
        <w:t>道生天合材料科技（上海）</w:t>
      </w:r>
      <w:r>
        <w:rPr>
          <w:rFonts w:ascii="Times New Roman" w:hAnsi="Times New Roman" w:eastAsia="黑体" w:cs="Times New Roman"/>
          <w:b/>
          <w:bCs/>
          <w:iCs/>
          <w:color w:val="000000"/>
          <w:sz w:val="36"/>
          <w:szCs w:val="36"/>
        </w:rPr>
        <w:t>股份有限公司</w:t>
      </w:r>
    </w:p>
    <w:p w14:paraId="78551C1F">
      <w:pPr>
        <w:adjustRightInd w:val="0"/>
        <w:snapToGrid w:val="0"/>
        <w:spacing w:line="360" w:lineRule="auto"/>
        <w:jc w:val="center"/>
        <w:rPr>
          <w:rFonts w:ascii="Times New Roman" w:hAnsi="Times New Roman" w:eastAsia="黑体" w:cs="Times New Roman"/>
          <w:b/>
          <w:bCs/>
          <w:iCs/>
          <w:color w:val="000000"/>
          <w:sz w:val="36"/>
          <w:szCs w:val="36"/>
        </w:rPr>
      </w:pPr>
      <w:r>
        <w:rPr>
          <w:rFonts w:ascii="Times New Roman" w:hAnsi="Times New Roman" w:eastAsia="黑体" w:cs="Times New Roman"/>
          <w:b/>
          <w:bCs/>
          <w:iCs/>
          <w:color w:val="000000"/>
          <w:sz w:val="36"/>
          <w:szCs w:val="36"/>
        </w:rPr>
        <w:t>投资者关系活动记录表</w:t>
      </w:r>
    </w:p>
    <w:p w14:paraId="7424D2A9">
      <w:pPr>
        <w:adjustRightInd w:val="0"/>
        <w:snapToGrid w:val="0"/>
        <w:spacing w:before="312" w:beforeLines="100"/>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 xml:space="preserve">                                                        编号：202</w:t>
      </w:r>
      <w:r>
        <w:rPr>
          <w:rFonts w:hint="eastAsia" w:ascii="Times New Roman" w:hAnsi="Times New Roman" w:eastAsia="宋体" w:cs="Times New Roman"/>
          <w:bCs/>
          <w:iCs/>
          <w:color w:val="000000"/>
          <w:sz w:val="24"/>
          <w:szCs w:val="24"/>
        </w:rPr>
        <w:t>6</w:t>
      </w:r>
      <w:r>
        <w:rPr>
          <w:rFonts w:ascii="Times New Roman" w:hAnsi="Times New Roman" w:eastAsia="宋体" w:cs="Times New Roman"/>
          <w:bCs/>
          <w:iCs/>
          <w:color w:val="000000"/>
          <w:sz w:val="24"/>
          <w:szCs w:val="24"/>
        </w:rPr>
        <w:t>-00</w:t>
      </w:r>
      <w:r>
        <w:rPr>
          <w:rFonts w:hint="eastAsia" w:ascii="Times New Roman" w:hAnsi="Times New Roman" w:eastAsia="宋体" w:cs="Times New Roman"/>
          <w:bCs/>
          <w:iCs/>
          <w:color w:val="000000"/>
          <w:sz w:val="24"/>
          <w:szCs w:val="24"/>
        </w:rPr>
        <w:t>2</w:t>
      </w:r>
    </w:p>
    <w:tbl>
      <w:tblPr>
        <w:tblStyle w:val="3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28"/>
        <w:gridCol w:w="2410"/>
        <w:gridCol w:w="1276"/>
        <w:gridCol w:w="2409"/>
        <w:gridCol w:w="1276"/>
      </w:tblGrid>
      <w:tr w14:paraId="13789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43B291E8">
            <w:pPr>
              <w:adjustRightInd w:val="0"/>
              <w:snapToGrid w:val="0"/>
              <w:rPr>
                <w:rFonts w:hint="eastAsia" w:ascii="宋体" w:hAnsi="宋体" w:eastAsia="宋体" w:cs="Times New Roman"/>
                <w:b/>
                <w:iCs/>
                <w:color w:val="000000"/>
                <w:kern w:val="0"/>
                <w:sz w:val="24"/>
                <w:szCs w:val="24"/>
              </w:rPr>
            </w:pPr>
            <w:r>
              <w:rPr>
                <w:rFonts w:hint="eastAsia" w:ascii="宋体" w:hAnsi="宋体" w:eastAsia="宋体" w:cs="Times New Roman"/>
                <w:b/>
                <w:iCs/>
                <w:color w:val="000000"/>
                <w:kern w:val="0"/>
                <w:sz w:val="24"/>
                <w:szCs w:val="24"/>
              </w:rPr>
              <w:t>活动类别</w:t>
            </w:r>
          </w:p>
        </w:tc>
        <w:tc>
          <w:tcPr>
            <w:tcW w:w="7371" w:type="dxa"/>
            <w:gridSpan w:val="4"/>
            <w:vAlign w:val="center"/>
          </w:tcPr>
          <w:p w14:paraId="34945C81">
            <w:pPr>
              <w:adjustRightInd w:val="0"/>
              <w:snapToGrid w:val="0"/>
              <w:spacing w:before="156" w:beforeLines="50" w:line="360" w:lineRule="auto"/>
              <w:rPr>
                <w:rFonts w:hint="eastAsia" w:ascii="宋体" w:hAnsi="宋体" w:eastAsia="宋体" w:cs="Times New Roman"/>
                <w:bCs/>
                <w:iCs/>
                <w:color w:val="000000"/>
                <w:kern w:val="0"/>
                <w:sz w:val="24"/>
                <w:szCs w:val="24"/>
              </w:rPr>
            </w:pPr>
            <w:r>
              <w:rPr>
                <w:rFonts w:hint="eastAsia" w:ascii="宋体" w:hAnsi="宋体" w:eastAsia="宋体" w:cs="Times New Roman"/>
                <w:kern w:val="0"/>
                <w:sz w:val="24"/>
                <w:szCs w:val="24"/>
              </w:rPr>
              <w:t>█特定对象调研</w:t>
            </w:r>
            <w:r>
              <w:rPr>
                <w:rFonts w:ascii="宋体" w:hAnsi="宋体" w:eastAsia="宋体" w:cs="Times New Roman"/>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 xml:space="preserve">分析师会议  </w:t>
            </w:r>
            <w:r>
              <w:rPr>
                <w:rFonts w:ascii="宋体" w:hAnsi="宋体" w:eastAsia="宋体" w:cs="Times New Roman"/>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媒体采访</w:t>
            </w:r>
          </w:p>
          <w:p w14:paraId="3AAD97EE">
            <w:pPr>
              <w:adjustRightInd w:val="0"/>
              <w:snapToGrid w:val="0"/>
              <w:spacing w:line="360" w:lineRule="auto"/>
              <w:rPr>
                <w:rFonts w:hint="eastAsia" w:ascii="宋体" w:hAnsi="宋体" w:eastAsia="宋体" w:cs="Times New Roman"/>
                <w:kern w:val="0"/>
                <w:sz w:val="24"/>
                <w:szCs w:val="24"/>
              </w:rPr>
            </w:pP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 xml:space="preserve">业绩说明会 </w:t>
            </w:r>
            <w:r>
              <w:rPr>
                <w:rFonts w:ascii="宋体" w:hAnsi="宋体" w:eastAsia="宋体" w:cs="Times New Roman"/>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 xml:space="preserve">新闻发布会 </w:t>
            </w:r>
            <w:r>
              <w:rPr>
                <w:rFonts w:ascii="宋体" w:hAnsi="宋体" w:eastAsia="宋体" w:cs="Times New Roman"/>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路演活动</w:t>
            </w:r>
          </w:p>
          <w:p w14:paraId="30AA61D9">
            <w:pPr>
              <w:adjustRightInd w:val="0"/>
              <w:snapToGrid w:val="0"/>
              <w:spacing w:line="360" w:lineRule="auto"/>
              <w:rPr>
                <w:rFonts w:hint="eastAsia" w:ascii="宋体" w:hAnsi="宋体" w:eastAsia="宋体" w:cs="Times New Roman"/>
                <w:bCs/>
                <w:iCs/>
                <w:color w:val="000000"/>
                <w:kern w:val="0"/>
                <w:sz w:val="24"/>
                <w:szCs w:val="24"/>
                <w:u w:val="single"/>
              </w:rPr>
            </w:pP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现场参观</w:t>
            </w:r>
            <w:r>
              <w:rPr>
                <w:rFonts w:hint="eastAsia" w:ascii="宋体" w:hAnsi="宋体" w:eastAsia="宋体" w:cs="Times New Roman"/>
                <w:bCs/>
                <w:iCs/>
                <w:color w:val="000000"/>
                <w:kern w:val="0"/>
                <w:sz w:val="24"/>
                <w:szCs w:val="24"/>
              </w:rPr>
              <w:t xml:space="preserve"> </w:t>
            </w:r>
            <w:r>
              <w:rPr>
                <w:rFonts w:ascii="宋体" w:hAnsi="宋体" w:eastAsia="宋体" w:cs="Times New Roman"/>
                <w:bCs/>
                <w:iCs/>
                <w:color w:val="000000"/>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其他</w:t>
            </w:r>
            <w:r>
              <w:rPr>
                <w:rFonts w:ascii="宋体" w:hAnsi="宋体" w:eastAsia="宋体" w:cs="Times New Roman"/>
                <w:kern w:val="0"/>
                <w:sz w:val="24"/>
                <w:szCs w:val="24"/>
                <w:u w:val="single"/>
              </w:rPr>
              <w:t xml:space="preserve">                        </w:t>
            </w:r>
          </w:p>
        </w:tc>
      </w:tr>
      <w:tr w14:paraId="4D2E2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restart"/>
            <w:vAlign w:val="center"/>
          </w:tcPr>
          <w:p w14:paraId="14C2499E">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参与人员</w:t>
            </w:r>
          </w:p>
        </w:tc>
        <w:tc>
          <w:tcPr>
            <w:tcW w:w="2410" w:type="dxa"/>
            <w:vAlign w:val="center"/>
          </w:tcPr>
          <w:p w14:paraId="7C8EE6FF">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单  位</w:t>
            </w:r>
          </w:p>
        </w:tc>
        <w:tc>
          <w:tcPr>
            <w:tcW w:w="1276" w:type="dxa"/>
            <w:vAlign w:val="center"/>
          </w:tcPr>
          <w:p w14:paraId="1140B21C">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姓  名</w:t>
            </w:r>
          </w:p>
        </w:tc>
        <w:tc>
          <w:tcPr>
            <w:tcW w:w="2409" w:type="dxa"/>
            <w:vAlign w:val="center"/>
          </w:tcPr>
          <w:p w14:paraId="79FD9E2E">
            <w:pPr>
              <w:adjustRightInd w:val="0"/>
              <w:snapToGrid w:val="0"/>
              <w:jc w:val="center"/>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 xml:space="preserve">单 </w:t>
            </w:r>
            <w:r>
              <w:rPr>
                <w:rFonts w:ascii="Times New Roman" w:hAnsi="Times New Roman" w:eastAsia="宋体" w:cs="Times New Roman"/>
                <w:b/>
                <w:iCs/>
                <w:color w:val="000000"/>
                <w:kern w:val="0"/>
                <w:sz w:val="24"/>
                <w:szCs w:val="24"/>
              </w:rPr>
              <w:t xml:space="preserve"> </w:t>
            </w:r>
            <w:r>
              <w:rPr>
                <w:rFonts w:hint="eastAsia" w:ascii="Times New Roman" w:hAnsi="Times New Roman" w:eastAsia="宋体" w:cs="Times New Roman"/>
                <w:b/>
                <w:iCs/>
                <w:color w:val="000000"/>
                <w:kern w:val="0"/>
                <w:sz w:val="24"/>
                <w:szCs w:val="24"/>
              </w:rPr>
              <w:t>位</w:t>
            </w:r>
          </w:p>
        </w:tc>
        <w:tc>
          <w:tcPr>
            <w:tcW w:w="1276" w:type="dxa"/>
            <w:vAlign w:val="center"/>
          </w:tcPr>
          <w:p w14:paraId="11AA4BE4">
            <w:pPr>
              <w:adjustRightInd w:val="0"/>
              <w:snapToGrid w:val="0"/>
              <w:jc w:val="center"/>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 xml:space="preserve">姓 </w:t>
            </w:r>
            <w:r>
              <w:rPr>
                <w:rFonts w:ascii="Times New Roman" w:hAnsi="Times New Roman" w:eastAsia="宋体" w:cs="Times New Roman"/>
                <w:b/>
                <w:iCs/>
                <w:color w:val="000000"/>
                <w:kern w:val="0"/>
                <w:sz w:val="24"/>
                <w:szCs w:val="24"/>
              </w:rPr>
              <w:t xml:space="preserve"> </w:t>
            </w:r>
            <w:r>
              <w:rPr>
                <w:rFonts w:hint="eastAsia" w:ascii="Times New Roman" w:hAnsi="Times New Roman" w:eastAsia="宋体" w:cs="Times New Roman"/>
                <w:b/>
                <w:iCs/>
                <w:color w:val="000000"/>
                <w:kern w:val="0"/>
                <w:sz w:val="24"/>
                <w:szCs w:val="24"/>
              </w:rPr>
              <w:t>名</w:t>
            </w:r>
          </w:p>
        </w:tc>
      </w:tr>
      <w:tr w14:paraId="1C1EA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7E01812D">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1AC594C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华金证券</w:t>
            </w:r>
          </w:p>
        </w:tc>
        <w:tc>
          <w:tcPr>
            <w:tcW w:w="1276" w:type="dxa"/>
            <w:vAlign w:val="center"/>
          </w:tcPr>
          <w:p w14:paraId="28EA8D9C">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李蕙</w:t>
            </w:r>
          </w:p>
        </w:tc>
        <w:tc>
          <w:tcPr>
            <w:tcW w:w="2409" w:type="dxa"/>
            <w:vAlign w:val="center"/>
          </w:tcPr>
          <w:p w14:paraId="49476D4B">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天风证券</w:t>
            </w:r>
          </w:p>
        </w:tc>
        <w:tc>
          <w:tcPr>
            <w:tcW w:w="1276" w:type="dxa"/>
            <w:vAlign w:val="center"/>
          </w:tcPr>
          <w:p w14:paraId="5438A4F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高鑫</w:t>
            </w:r>
          </w:p>
        </w:tc>
      </w:tr>
      <w:tr w14:paraId="7F5F0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01D853D6">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6314D7C3">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华泰证券</w:t>
            </w:r>
          </w:p>
        </w:tc>
        <w:tc>
          <w:tcPr>
            <w:tcW w:w="1276" w:type="dxa"/>
            <w:vAlign w:val="center"/>
          </w:tcPr>
          <w:p w14:paraId="31A63553">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秦正军</w:t>
            </w:r>
          </w:p>
        </w:tc>
        <w:tc>
          <w:tcPr>
            <w:tcW w:w="2409" w:type="dxa"/>
            <w:vAlign w:val="center"/>
          </w:tcPr>
          <w:p w14:paraId="505887B2">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上善如是基金</w:t>
            </w:r>
          </w:p>
        </w:tc>
        <w:tc>
          <w:tcPr>
            <w:tcW w:w="1276" w:type="dxa"/>
            <w:vAlign w:val="center"/>
          </w:tcPr>
          <w:p w14:paraId="6F5A89A2">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曲芳凝</w:t>
            </w:r>
          </w:p>
        </w:tc>
      </w:tr>
      <w:tr w14:paraId="3DEFA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23D5F4D7">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621EA0F6">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秦凰投资</w:t>
            </w:r>
          </w:p>
        </w:tc>
        <w:tc>
          <w:tcPr>
            <w:tcW w:w="1276" w:type="dxa"/>
            <w:vAlign w:val="center"/>
          </w:tcPr>
          <w:p w14:paraId="4C11FACC">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王一</w:t>
            </w:r>
          </w:p>
        </w:tc>
        <w:tc>
          <w:tcPr>
            <w:tcW w:w="2409" w:type="dxa"/>
            <w:vAlign w:val="center"/>
          </w:tcPr>
          <w:p w14:paraId="68CF407E">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中财集团</w:t>
            </w:r>
          </w:p>
        </w:tc>
        <w:tc>
          <w:tcPr>
            <w:tcW w:w="1276" w:type="dxa"/>
            <w:vAlign w:val="center"/>
          </w:tcPr>
          <w:p w14:paraId="71EA208D">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周康</w:t>
            </w:r>
          </w:p>
        </w:tc>
      </w:tr>
      <w:tr w14:paraId="5CAB1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61AA698A">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619FB836">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正圆投资</w:t>
            </w:r>
          </w:p>
        </w:tc>
        <w:tc>
          <w:tcPr>
            <w:tcW w:w="1276" w:type="dxa"/>
            <w:vAlign w:val="center"/>
          </w:tcPr>
          <w:p w14:paraId="476AE1BC">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刘帅</w:t>
            </w:r>
          </w:p>
        </w:tc>
        <w:tc>
          <w:tcPr>
            <w:tcW w:w="2409" w:type="dxa"/>
            <w:vAlign w:val="center"/>
          </w:tcPr>
          <w:p w14:paraId="6A62B546">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荃笠资产</w:t>
            </w:r>
          </w:p>
        </w:tc>
        <w:tc>
          <w:tcPr>
            <w:tcW w:w="1276" w:type="dxa"/>
            <w:vAlign w:val="center"/>
          </w:tcPr>
          <w:p w14:paraId="67D11F4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倪文祎</w:t>
            </w:r>
          </w:p>
        </w:tc>
      </w:tr>
      <w:tr w14:paraId="7A386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5E0BD454">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活动时间</w:t>
            </w:r>
          </w:p>
        </w:tc>
        <w:tc>
          <w:tcPr>
            <w:tcW w:w="7371" w:type="dxa"/>
            <w:gridSpan w:val="4"/>
            <w:vAlign w:val="center"/>
          </w:tcPr>
          <w:p w14:paraId="06DD7E06">
            <w:pPr>
              <w:adjustRightInd w:val="0"/>
              <w:snapToGrid w:val="0"/>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202</w:t>
            </w:r>
            <w:r>
              <w:rPr>
                <w:rFonts w:hint="eastAsia" w:ascii="Times New Roman" w:hAnsi="Times New Roman" w:eastAsia="宋体" w:cs="Times New Roman"/>
                <w:bCs/>
                <w:iCs/>
                <w:color w:val="000000"/>
                <w:kern w:val="0"/>
                <w:sz w:val="24"/>
                <w:szCs w:val="24"/>
              </w:rPr>
              <w:t>6</w:t>
            </w:r>
            <w:r>
              <w:rPr>
                <w:rFonts w:ascii="Times New Roman" w:hAnsi="Times New Roman" w:eastAsia="宋体" w:cs="Times New Roman"/>
                <w:bCs/>
                <w:iCs/>
                <w:color w:val="000000"/>
                <w:kern w:val="0"/>
                <w:sz w:val="24"/>
                <w:szCs w:val="24"/>
              </w:rPr>
              <w:t>年</w:t>
            </w:r>
            <w:r>
              <w:rPr>
                <w:rFonts w:hint="eastAsia" w:ascii="Times New Roman" w:hAnsi="Times New Roman" w:eastAsia="宋体" w:cs="Times New Roman"/>
                <w:bCs/>
                <w:iCs/>
                <w:color w:val="000000"/>
                <w:kern w:val="0"/>
                <w:sz w:val="24"/>
                <w:szCs w:val="24"/>
              </w:rPr>
              <w:t>2</w:t>
            </w:r>
            <w:r>
              <w:rPr>
                <w:rFonts w:ascii="Times New Roman" w:hAnsi="Times New Roman" w:eastAsia="宋体" w:cs="Times New Roman"/>
                <w:bCs/>
                <w:iCs/>
                <w:color w:val="000000"/>
                <w:kern w:val="0"/>
                <w:sz w:val="24"/>
                <w:szCs w:val="24"/>
              </w:rPr>
              <w:t>月</w:t>
            </w:r>
          </w:p>
        </w:tc>
      </w:tr>
      <w:tr w14:paraId="6CE33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60FC7338">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活动地点</w:t>
            </w:r>
          </w:p>
        </w:tc>
        <w:tc>
          <w:tcPr>
            <w:tcW w:w="7371" w:type="dxa"/>
            <w:gridSpan w:val="4"/>
            <w:vAlign w:val="center"/>
          </w:tcPr>
          <w:p w14:paraId="4FDD03A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公司会议室、券商策略会会场</w:t>
            </w:r>
          </w:p>
        </w:tc>
      </w:tr>
      <w:tr w14:paraId="63927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restart"/>
            <w:vAlign w:val="center"/>
          </w:tcPr>
          <w:p w14:paraId="62C20BF6">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接待人员</w:t>
            </w:r>
          </w:p>
        </w:tc>
        <w:tc>
          <w:tcPr>
            <w:tcW w:w="2410" w:type="dxa"/>
            <w:vAlign w:val="center"/>
          </w:tcPr>
          <w:p w14:paraId="4951C98A">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职  务</w:t>
            </w:r>
          </w:p>
        </w:tc>
        <w:tc>
          <w:tcPr>
            <w:tcW w:w="1276" w:type="dxa"/>
            <w:vAlign w:val="center"/>
          </w:tcPr>
          <w:p w14:paraId="61AD7F8F">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姓  名</w:t>
            </w:r>
          </w:p>
        </w:tc>
        <w:tc>
          <w:tcPr>
            <w:tcW w:w="2409" w:type="dxa"/>
            <w:vAlign w:val="center"/>
          </w:tcPr>
          <w:p w14:paraId="58037547">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职  务</w:t>
            </w:r>
          </w:p>
        </w:tc>
        <w:tc>
          <w:tcPr>
            <w:tcW w:w="1276" w:type="dxa"/>
            <w:vAlign w:val="center"/>
          </w:tcPr>
          <w:p w14:paraId="17B706F4">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姓  名</w:t>
            </w:r>
          </w:p>
        </w:tc>
      </w:tr>
      <w:tr w14:paraId="52252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662C4003">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4AA09386">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副总经理、董事会秘书</w:t>
            </w:r>
          </w:p>
        </w:tc>
        <w:tc>
          <w:tcPr>
            <w:tcW w:w="1276" w:type="dxa"/>
            <w:vAlign w:val="center"/>
          </w:tcPr>
          <w:p w14:paraId="0D484CC1">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张珈堃</w:t>
            </w:r>
          </w:p>
        </w:tc>
        <w:tc>
          <w:tcPr>
            <w:tcW w:w="2409" w:type="dxa"/>
            <w:vAlign w:val="center"/>
          </w:tcPr>
          <w:p w14:paraId="29B5501F">
            <w:pPr>
              <w:adjustRightInd w:val="0"/>
              <w:snapToGrid w:val="0"/>
              <w:rPr>
                <w:rFonts w:ascii="Times New Roman" w:hAnsi="Times New Roman" w:eastAsia="宋体" w:cs="Times New Roman"/>
                <w:bCs/>
                <w:iCs/>
                <w:color w:val="000000"/>
                <w:kern w:val="0"/>
                <w:sz w:val="24"/>
                <w:szCs w:val="24"/>
              </w:rPr>
            </w:pPr>
          </w:p>
        </w:tc>
        <w:tc>
          <w:tcPr>
            <w:tcW w:w="1276" w:type="dxa"/>
            <w:vAlign w:val="center"/>
          </w:tcPr>
          <w:p w14:paraId="2BCF7E18">
            <w:pPr>
              <w:adjustRightInd w:val="0"/>
              <w:snapToGrid w:val="0"/>
              <w:rPr>
                <w:rFonts w:ascii="Times New Roman" w:hAnsi="Times New Roman" w:eastAsia="宋体" w:cs="Times New Roman"/>
                <w:bCs/>
                <w:iCs/>
                <w:color w:val="000000"/>
                <w:kern w:val="0"/>
                <w:sz w:val="24"/>
                <w:szCs w:val="24"/>
              </w:rPr>
            </w:pPr>
          </w:p>
        </w:tc>
      </w:tr>
      <w:tr w14:paraId="747EA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2D0F143A">
            <w:pPr>
              <w:adjustRightInd w:val="0"/>
              <w:snapToGrid w:val="0"/>
              <w:spacing w:line="360" w:lineRule="auto"/>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活动主要内容</w:t>
            </w:r>
          </w:p>
        </w:tc>
        <w:tc>
          <w:tcPr>
            <w:tcW w:w="7371" w:type="dxa"/>
            <w:gridSpan w:val="4"/>
            <w:vAlign w:val="center"/>
          </w:tcPr>
          <w:p w14:paraId="20F1709B">
            <w:pPr>
              <w:widowControl/>
              <w:adjustRightInd w:val="0"/>
              <w:snapToGrid w:val="0"/>
              <w:spacing w:before="312" w:beforeLines="100"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一、投资者交流环节</w:t>
            </w:r>
          </w:p>
          <w:p w14:paraId="6979A62D">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1、公司此次出海建厂情况简介，核心商业逻辑是什么？</w:t>
            </w:r>
          </w:p>
          <w:p w14:paraId="7AE8EB34">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公司于2026年1月31日公告对外投资进展，已获得上海市发展和改革委员会、上海市商务委员会就本项目下发的境外投资备案文件。项</w:t>
            </w:r>
            <w:bookmarkStart w:id="0" w:name="_GoBack"/>
            <w:bookmarkEnd w:id="0"/>
            <w:r>
              <w:rPr>
                <w:rFonts w:hint="eastAsia" w:ascii="Times New Roman" w:hAnsi="Times New Roman" w:eastAsia="宋体" w:cs="Times New Roman"/>
                <w:bCs/>
                <w:iCs/>
                <w:color w:val="000000"/>
                <w:kern w:val="0"/>
                <w:sz w:val="24"/>
                <w:szCs w:val="24"/>
              </w:rPr>
              <w:t>目计划总投资3,000万美元，通过新加坡全资子公司，在摩洛哥纳祖尔的贝托亚工业加速区设立摩洛哥子公司，投建新能源材料（主要为风电叶片用材料）生产基地。</w:t>
            </w:r>
          </w:p>
          <w:p w14:paraId="2C7CBEC5">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面对复杂的国际环境，公司主要看中</w:t>
            </w:r>
            <w:r>
              <w:rPr>
                <w:rFonts w:hint="eastAsia" w:ascii="Times New Roman" w:hAnsi="Times New Roman" w:eastAsia="宋体" w:cs="Times New Roman"/>
                <w:bCs/>
                <w:iCs/>
                <w:color w:val="000000"/>
                <w:kern w:val="0"/>
                <w:sz w:val="24"/>
                <w:szCs w:val="24"/>
              </w:rPr>
              <w:t>摩洛哥</w:t>
            </w:r>
            <w:r>
              <w:rPr>
                <w:rFonts w:ascii="Times New Roman" w:hAnsi="Times New Roman" w:eastAsia="宋体" w:cs="Times New Roman"/>
                <w:bCs/>
                <w:iCs/>
                <w:color w:val="000000"/>
                <w:kern w:val="0"/>
                <w:sz w:val="24"/>
                <w:szCs w:val="24"/>
              </w:rPr>
              <w:t>优越的区位条件与政策优势</w:t>
            </w:r>
            <w:r>
              <w:rPr>
                <w:rFonts w:hint="eastAsia" w:ascii="Times New Roman" w:hAnsi="Times New Roman" w:eastAsia="宋体" w:cs="Times New Roman"/>
                <w:bCs/>
                <w:iCs/>
                <w:color w:val="000000"/>
                <w:kern w:val="0"/>
                <w:sz w:val="24"/>
                <w:szCs w:val="24"/>
              </w:rPr>
              <w:t>。利用摩洛哥与欧盟的《欧盟-摩洛哥自由贸易协定》等协定，以摩洛哥原产地身份向欧洲市场出口产品，规避针对中国环氧树脂产品的反倾销。</w:t>
            </w:r>
            <w:r>
              <w:rPr>
                <w:rFonts w:ascii="Times New Roman" w:hAnsi="Times New Roman" w:eastAsia="宋体" w:cs="Times New Roman"/>
                <w:bCs/>
                <w:iCs/>
                <w:color w:val="000000"/>
                <w:kern w:val="0"/>
                <w:sz w:val="24"/>
                <w:szCs w:val="24"/>
              </w:rPr>
              <w:t>同时大幅缩短了我们面向欧洲、中东及非洲客户的物理距离，</w:t>
            </w:r>
            <w:r>
              <w:rPr>
                <w:rFonts w:hint="eastAsia" w:ascii="Times New Roman" w:hAnsi="Times New Roman" w:eastAsia="宋体" w:cs="Times New Roman"/>
                <w:bCs/>
                <w:iCs/>
                <w:color w:val="000000"/>
                <w:kern w:val="0"/>
                <w:sz w:val="24"/>
                <w:szCs w:val="24"/>
              </w:rPr>
              <w:t>满足客户本地化制造的需求。另外摩洛哥在土地、劳动力等基础生产要素上具有成本优势，当地政府园区为高端制造企业提供了税收优惠，例如新设企业前五年享受公司税（CIT）0%的优惠政策。</w:t>
            </w:r>
          </w:p>
          <w:p w14:paraId="48AF5CA3">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2、摩洛</w:t>
            </w:r>
            <w:r>
              <w:rPr>
                <w:rFonts w:ascii="Times New Roman" w:hAnsi="Times New Roman" w:eastAsia="宋体" w:cs="Times New Roman"/>
                <w:b/>
                <w:iCs/>
                <w:color w:val="000000"/>
                <w:kern w:val="0"/>
                <w:sz w:val="24"/>
                <w:szCs w:val="24"/>
              </w:rPr>
              <w:t>哥新能源材料工厂建设</w:t>
            </w:r>
            <w:r>
              <w:rPr>
                <w:rFonts w:hint="eastAsia" w:ascii="Times New Roman" w:hAnsi="Times New Roman" w:eastAsia="宋体" w:cs="Times New Roman"/>
                <w:b/>
                <w:iCs/>
                <w:color w:val="000000"/>
                <w:kern w:val="0"/>
                <w:sz w:val="24"/>
                <w:szCs w:val="24"/>
              </w:rPr>
              <w:t>项目产能规划和投产时间？</w:t>
            </w:r>
          </w:p>
          <w:p w14:paraId="655529E2">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项目计划投资总额为3,000万美元。项目一期工程计划建设6条生产线，主要生产风电叶片用环氧树脂、高性能风电结构胶等产品。产能合计为5万吨/年。</w:t>
            </w:r>
          </w:p>
          <w:p w14:paraId="65A72AF5">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在建设进度安排上，公司</w:t>
            </w:r>
            <w:r>
              <w:rPr>
                <w:rFonts w:hint="eastAsia" w:ascii="Times New Roman" w:hAnsi="Times New Roman" w:eastAsia="宋体" w:cs="Times New Roman"/>
                <w:bCs/>
                <w:iCs/>
                <w:color w:val="000000"/>
                <w:kern w:val="0"/>
                <w:sz w:val="24"/>
                <w:szCs w:val="24"/>
              </w:rPr>
              <w:t>目前</w:t>
            </w:r>
            <w:r>
              <w:rPr>
                <w:rFonts w:ascii="Times New Roman" w:hAnsi="Times New Roman" w:eastAsia="宋体" w:cs="Times New Roman"/>
                <w:bCs/>
                <w:iCs/>
                <w:color w:val="000000"/>
                <w:kern w:val="0"/>
                <w:sz w:val="24"/>
                <w:szCs w:val="24"/>
              </w:rPr>
              <w:t>进行方案</w:t>
            </w:r>
            <w:r>
              <w:rPr>
                <w:rFonts w:hint="eastAsia" w:ascii="Times New Roman" w:hAnsi="Times New Roman" w:eastAsia="宋体" w:cs="Times New Roman"/>
                <w:bCs/>
                <w:iCs/>
                <w:color w:val="000000"/>
                <w:kern w:val="0"/>
                <w:sz w:val="24"/>
                <w:szCs w:val="24"/>
              </w:rPr>
              <w:t>设计</w:t>
            </w:r>
            <w:r>
              <w:rPr>
                <w:rFonts w:ascii="Times New Roman" w:hAnsi="Times New Roman" w:eastAsia="宋体" w:cs="Times New Roman"/>
                <w:bCs/>
                <w:iCs/>
                <w:color w:val="000000"/>
                <w:kern w:val="0"/>
                <w:sz w:val="24"/>
                <w:szCs w:val="24"/>
              </w:rPr>
              <w:t>及设备定制等前期工作</w:t>
            </w:r>
            <w:r>
              <w:rPr>
                <w:rFonts w:hint="eastAsia" w:ascii="Times New Roman" w:hAnsi="Times New Roman" w:eastAsia="宋体" w:cs="Times New Roman"/>
                <w:bCs/>
                <w:iCs/>
                <w:color w:val="000000"/>
                <w:kern w:val="0"/>
                <w:sz w:val="24"/>
                <w:szCs w:val="24"/>
              </w:rPr>
              <w:t>，预计2027年年初达到试生产及验证阶段。</w:t>
            </w:r>
          </w:p>
          <w:p w14:paraId="22D0826F">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3、摩洛</w:t>
            </w:r>
            <w:r>
              <w:rPr>
                <w:rFonts w:ascii="Times New Roman" w:hAnsi="Times New Roman" w:eastAsia="宋体" w:cs="Times New Roman"/>
                <w:b/>
                <w:iCs/>
                <w:color w:val="000000"/>
                <w:kern w:val="0"/>
                <w:sz w:val="24"/>
                <w:szCs w:val="24"/>
              </w:rPr>
              <w:t>哥新能源材料工厂建设</w:t>
            </w:r>
            <w:r>
              <w:rPr>
                <w:rFonts w:hint="eastAsia" w:ascii="Times New Roman" w:hAnsi="Times New Roman" w:eastAsia="宋体" w:cs="Times New Roman"/>
                <w:b/>
                <w:iCs/>
                <w:color w:val="000000"/>
                <w:kern w:val="0"/>
                <w:sz w:val="24"/>
                <w:szCs w:val="24"/>
              </w:rPr>
              <w:t>项目规划产能未来如何消化？公司在订单方面有实质性把握吗？</w:t>
            </w:r>
          </w:p>
          <w:p w14:paraId="193A814A">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产能的消化有较高的商业确定性。国际头部风电整机公司正在积极推动供应链的安全备份。公司作为全球少数能为海外主流整机厂提供全系列叶片用材料的供应商，核心产品早已获得头部客户非常严苛的认证。此次赴摩洛哥建厂，很大程度上是公司积极响应核心客户对于本地化交付、就近供应的诉求。这批新产能落地后，不仅能稳固与现有核心客户的基本盘，还将帮助公司进一步渗透极其他国际市场和客户。</w:t>
            </w:r>
          </w:p>
        </w:tc>
      </w:tr>
      <w:tr w14:paraId="328E6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39CD6742">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附件清单</w:t>
            </w:r>
          </w:p>
        </w:tc>
        <w:tc>
          <w:tcPr>
            <w:tcW w:w="7371" w:type="dxa"/>
            <w:gridSpan w:val="4"/>
            <w:vAlign w:val="center"/>
          </w:tcPr>
          <w:p w14:paraId="17FF272C">
            <w:pPr>
              <w:adjustRightInd w:val="0"/>
              <w:snapToGrid w:val="0"/>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无</w:t>
            </w:r>
          </w:p>
        </w:tc>
      </w:tr>
    </w:tbl>
    <w:p w14:paraId="1D2FCC61">
      <w:pPr>
        <w:adjustRightInd w:val="0"/>
        <w:snapToGrid w:val="0"/>
        <w:rPr>
          <w:rFonts w:hint="eastAsia"/>
        </w:rPr>
      </w:pPr>
    </w:p>
    <w:p w14:paraId="6A25243D">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5D"/>
    <w:rsid w:val="000679BB"/>
    <w:rsid w:val="00081C73"/>
    <w:rsid w:val="000904DA"/>
    <w:rsid w:val="000C30B3"/>
    <w:rsid w:val="000D0A7A"/>
    <w:rsid w:val="000D5D9C"/>
    <w:rsid w:val="000D7CAD"/>
    <w:rsid w:val="000E1682"/>
    <w:rsid w:val="001214BD"/>
    <w:rsid w:val="0016044F"/>
    <w:rsid w:val="00164C53"/>
    <w:rsid w:val="00181E77"/>
    <w:rsid w:val="00194649"/>
    <w:rsid w:val="00194F11"/>
    <w:rsid w:val="00196762"/>
    <w:rsid w:val="001A5995"/>
    <w:rsid w:val="001B626D"/>
    <w:rsid w:val="001B7760"/>
    <w:rsid w:val="001C506A"/>
    <w:rsid w:val="001D0FDF"/>
    <w:rsid w:val="001F488D"/>
    <w:rsid w:val="0020089A"/>
    <w:rsid w:val="002032E6"/>
    <w:rsid w:val="0020511E"/>
    <w:rsid w:val="00211B86"/>
    <w:rsid w:val="00232638"/>
    <w:rsid w:val="00253FA2"/>
    <w:rsid w:val="00260D06"/>
    <w:rsid w:val="00271AC2"/>
    <w:rsid w:val="00281D76"/>
    <w:rsid w:val="00292949"/>
    <w:rsid w:val="002A02A8"/>
    <w:rsid w:val="002C1707"/>
    <w:rsid w:val="002C38EE"/>
    <w:rsid w:val="002C4F29"/>
    <w:rsid w:val="002D2C3F"/>
    <w:rsid w:val="002D54F3"/>
    <w:rsid w:val="002D718D"/>
    <w:rsid w:val="002E5212"/>
    <w:rsid w:val="002F0F88"/>
    <w:rsid w:val="002F1777"/>
    <w:rsid w:val="003322E1"/>
    <w:rsid w:val="00346008"/>
    <w:rsid w:val="0037274D"/>
    <w:rsid w:val="00377258"/>
    <w:rsid w:val="0038238A"/>
    <w:rsid w:val="00387D55"/>
    <w:rsid w:val="003910D5"/>
    <w:rsid w:val="0039486B"/>
    <w:rsid w:val="003956BF"/>
    <w:rsid w:val="00396115"/>
    <w:rsid w:val="003A0611"/>
    <w:rsid w:val="003A52D6"/>
    <w:rsid w:val="003C53AB"/>
    <w:rsid w:val="003E02A7"/>
    <w:rsid w:val="003E2E7A"/>
    <w:rsid w:val="003E35D9"/>
    <w:rsid w:val="003E7506"/>
    <w:rsid w:val="003F1A5D"/>
    <w:rsid w:val="003F6BF4"/>
    <w:rsid w:val="004159C9"/>
    <w:rsid w:val="00436E1A"/>
    <w:rsid w:val="00444A0D"/>
    <w:rsid w:val="00455181"/>
    <w:rsid w:val="004747B5"/>
    <w:rsid w:val="004C37A2"/>
    <w:rsid w:val="004C4412"/>
    <w:rsid w:val="004E0D04"/>
    <w:rsid w:val="004E4CC1"/>
    <w:rsid w:val="004F54F3"/>
    <w:rsid w:val="004F5570"/>
    <w:rsid w:val="00510985"/>
    <w:rsid w:val="00510B80"/>
    <w:rsid w:val="00532856"/>
    <w:rsid w:val="005912EB"/>
    <w:rsid w:val="005A0CAC"/>
    <w:rsid w:val="005B2BF7"/>
    <w:rsid w:val="005B71A0"/>
    <w:rsid w:val="005D7F00"/>
    <w:rsid w:val="005E3D70"/>
    <w:rsid w:val="005F7A1D"/>
    <w:rsid w:val="00612150"/>
    <w:rsid w:val="00636A25"/>
    <w:rsid w:val="00653559"/>
    <w:rsid w:val="00662EDE"/>
    <w:rsid w:val="0068083C"/>
    <w:rsid w:val="00681705"/>
    <w:rsid w:val="006D7187"/>
    <w:rsid w:val="006E05A0"/>
    <w:rsid w:val="006E1C3A"/>
    <w:rsid w:val="006E6A28"/>
    <w:rsid w:val="00714705"/>
    <w:rsid w:val="00716DC1"/>
    <w:rsid w:val="00717562"/>
    <w:rsid w:val="00735676"/>
    <w:rsid w:val="00737A6A"/>
    <w:rsid w:val="00740AF6"/>
    <w:rsid w:val="0074503E"/>
    <w:rsid w:val="0075547C"/>
    <w:rsid w:val="00771A27"/>
    <w:rsid w:val="00772253"/>
    <w:rsid w:val="007801BF"/>
    <w:rsid w:val="00782383"/>
    <w:rsid w:val="00790FB2"/>
    <w:rsid w:val="00794C0B"/>
    <w:rsid w:val="00821B4B"/>
    <w:rsid w:val="008339F4"/>
    <w:rsid w:val="0083704D"/>
    <w:rsid w:val="0084240B"/>
    <w:rsid w:val="00865FF0"/>
    <w:rsid w:val="00875BBC"/>
    <w:rsid w:val="00895556"/>
    <w:rsid w:val="008969C0"/>
    <w:rsid w:val="008A5E28"/>
    <w:rsid w:val="008B5888"/>
    <w:rsid w:val="008D61A1"/>
    <w:rsid w:val="00901DC3"/>
    <w:rsid w:val="0091650E"/>
    <w:rsid w:val="00930601"/>
    <w:rsid w:val="00934968"/>
    <w:rsid w:val="00956FD7"/>
    <w:rsid w:val="00960D30"/>
    <w:rsid w:val="0097001E"/>
    <w:rsid w:val="009A0720"/>
    <w:rsid w:val="009A5579"/>
    <w:rsid w:val="009A61ED"/>
    <w:rsid w:val="009A7FE6"/>
    <w:rsid w:val="009E5FCB"/>
    <w:rsid w:val="009F3627"/>
    <w:rsid w:val="00A00107"/>
    <w:rsid w:val="00A008E2"/>
    <w:rsid w:val="00A00B53"/>
    <w:rsid w:val="00A16727"/>
    <w:rsid w:val="00A205ED"/>
    <w:rsid w:val="00A24FD7"/>
    <w:rsid w:val="00A2792A"/>
    <w:rsid w:val="00A27EAC"/>
    <w:rsid w:val="00A31558"/>
    <w:rsid w:val="00A35FDF"/>
    <w:rsid w:val="00A43830"/>
    <w:rsid w:val="00A56726"/>
    <w:rsid w:val="00A733B9"/>
    <w:rsid w:val="00AC3E4E"/>
    <w:rsid w:val="00AF6BB1"/>
    <w:rsid w:val="00B02886"/>
    <w:rsid w:val="00B228E6"/>
    <w:rsid w:val="00B7504D"/>
    <w:rsid w:val="00B7612D"/>
    <w:rsid w:val="00B76E32"/>
    <w:rsid w:val="00B77641"/>
    <w:rsid w:val="00B9355D"/>
    <w:rsid w:val="00B97FF4"/>
    <w:rsid w:val="00BA0EC8"/>
    <w:rsid w:val="00BA1E0F"/>
    <w:rsid w:val="00BA4C6F"/>
    <w:rsid w:val="00BE21F7"/>
    <w:rsid w:val="00BE7865"/>
    <w:rsid w:val="00C027F8"/>
    <w:rsid w:val="00C10FB5"/>
    <w:rsid w:val="00C17081"/>
    <w:rsid w:val="00C179E1"/>
    <w:rsid w:val="00C25562"/>
    <w:rsid w:val="00C3602C"/>
    <w:rsid w:val="00C57185"/>
    <w:rsid w:val="00C631BF"/>
    <w:rsid w:val="00C64474"/>
    <w:rsid w:val="00C662CA"/>
    <w:rsid w:val="00C80E0E"/>
    <w:rsid w:val="00C81DE3"/>
    <w:rsid w:val="00C82BEE"/>
    <w:rsid w:val="00C92778"/>
    <w:rsid w:val="00C9522E"/>
    <w:rsid w:val="00CA7DBF"/>
    <w:rsid w:val="00CE7C6D"/>
    <w:rsid w:val="00CF2DC2"/>
    <w:rsid w:val="00D40CF9"/>
    <w:rsid w:val="00D43191"/>
    <w:rsid w:val="00D460F0"/>
    <w:rsid w:val="00D50CF8"/>
    <w:rsid w:val="00D5696F"/>
    <w:rsid w:val="00D60011"/>
    <w:rsid w:val="00D63173"/>
    <w:rsid w:val="00D84782"/>
    <w:rsid w:val="00D96CA6"/>
    <w:rsid w:val="00DB26D5"/>
    <w:rsid w:val="00DD7130"/>
    <w:rsid w:val="00DE0290"/>
    <w:rsid w:val="00E06D7A"/>
    <w:rsid w:val="00E23D0B"/>
    <w:rsid w:val="00E42157"/>
    <w:rsid w:val="00E56BAD"/>
    <w:rsid w:val="00E624EE"/>
    <w:rsid w:val="00E8042F"/>
    <w:rsid w:val="00E809E2"/>
    <w:rsid w:val="00EB4594"/>
    <w:rsid w:val="00EB595D"/>
    <w:rsid w:val="00EB69F9"/>
    <w:rsid w:val="00EE18E8"/>
    <w:rsid w:val="00F111FE"/>
    <w:rsid w:val="00F15A8D"/>
    <w:rsid w:val="00F419FD"/>
    <w:rsid w:val="00F532A1"/>
    <w:rsid w:val="00F56B80"/>
    <w:rsid w:val="00F73AA1"/>
    <w:rsid w:val="00F7408C"/>
    <w:rsid w:val="00F977A3"/>
    <w:rsid w:val="00FC1545"/>
    <w:rsid w:val="00FC1714"/>
    <w:rsid w:val="00FC4206"/>
    <w:rsid w:val="00FD5577"/>
    <w:rsid w:val="303F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after="160"/>
      <w:jc w:val="left"/>
    </w:pPr>
    <w:rPr>
      <w:sz w:val="18"/>
      <w:szCs w:val="18"/>
      <w14:ligatures w14:val="standardContextual"/>
    </w:rPr>
  </w:style>
  <w:style w:type="paragraph" w:styleId="12">
    <w:name w:val="header"/>
    <w:basedOn w:val="1"/>
    <w:link w:val="36"/>
    <w:unhideWhenUsed/>
    <w:uiPriority w:val="99"/>
    <w:pPr>
      <w:tabs>
        <w:tab w:val="center" w:pos="4153"/>
        <w:tab w:val="right" w:pos="8306"/>
      </w:tabs>
      <w:snapToGrid w:val="0"/>
      <w:spacing w:after="160"/>
      <w:jc w:val="center"/>
    </w:pPr>
    <w:rPr>
      <w:sz w:val="18"/>
      <w:szCs w:val="18"/>
      <w14:ligatures w14:val="standardContextual"/>
    </w:rPr>
  </w:style>
  <w:style w:type="paragraph" w:styleId="13">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szCs w:val="24"/>
      <w14:ligatures w14:val="standardContextual"/>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 w:type="table" w:customStyle="1" w:styleId="38">
    <w:name w:val="网格型1"/>
    <w:basedOn w:val="15"/>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953</Words>
  <Characters>986</Characters>
  <Lines>315</Lines>
  <Paragraphs>137</Paragraphs>
  <TotalTime>30</TotalTime>
  <ScaleCrop>false</ScaleCrop>
  <LinksUpToDate>false</LinksUpToDate>
  <CharactersWithSpaces>1164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2026-02-27T02:47:00Z</dcterms:created>
  <dc:creator>Jiakun Zhang</dc:creator>
  <cp:lastModifiedBy>Grace Wan</cp:lastModifiedBy>
  <dcterms:modified xsi:type="dcterms:W3CDTF">2026-02-28T07:13:22Z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C6FE6A8C9DB34CC1A32701CB8344FD6A_13</vt:lpwstr>
  </property>
</Properties>
</file>