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29BFD">
      <w:pPr>
        <w:spacing w:before="156" w:beforeLines="50" w:after="156" w:afterLines="50" w:line="40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 xml:space="preserve">证券代码：688303                               </w:t>
      </w:r>
      <w:r>
        <w:rPr>
          <w:rFonts w:hint="eastAsia" w:cs="Times New Roman"/>
          <w:bCs/>
          <w:iCs/>
          <w:color w:val="000000"/>
          <w:sz w:val="24"/>
          <w:lang w:val="en-US" w:eastAsia="zh-CN"/>
        </w:rPr>
        <w:t xml:space="preserve">                                    </w:t>
      </w:r>
      <w:r>
        <w:rPr>
          <w:rFonts w:hint="default" w:ascii="Times New Roman" w:hAnsi="Times New Roman" w:cs="Times New Roman"/>
          <w:bCs/>
          <w:iCs/>
          <w:color w:val="000000"/>
          <w:sz w:val="24"/>
        </w:rPr>
        <w:t xml:space="preserve">   证券简称：大全能源</w:t>
      </w:r>
    </w:p>
    <w:p w14:paraId="248C0D1B">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新疆大全新能源股份有限公司投资者关系活动记录表</w:t>
      </w:r>
    </w:p>
    <w:p w14:paraId="6F839FF8">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FF0000"/>
          <w:lang w:val="en-US" w:eastAsia="zh-CN"/>
        </w:rPr>
      </w:pPr>
      <w:r>
        <w:rPr>
          <w:rFonts w:hint="default" w:ascii="Times New Roman" w:hAnsi="Times New Roman" w:cs="Times New Roman"/>
        </w:rPr>
        <w:t>编号：</w:t>
      </w:r>
      <w:r>
        <w:rPr>
          <w:rFonts w:hint="default" w:ascii="Times New Roman" w:hAnsi="Times New Roman" w:cs="Times New Roman"/>
          <w:lang w:val="en-US" w:eastAsia="zh-CN"/>
        </w:rPr>
        <w:t>202</w:t>
      </w:r>
      <w:r>
        <w:rPr>
          <w:rFonts w:hint="eastAsia" w:cs="Times New Roman"/>
          <w:lang w:val="en-US" w:eastAsia="zh-CN"/>
        </w:rPr>
        <w:t>6-2</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6666"/>
      </w:tblGrid>
      <w:tr w14:paraId="3954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856" w:type="dxa"/>
            <w:shd w:val="clear" w:color="auto" w:fill="auto"/>
            <w:vAlign w:val="center"/>
          </w:tcPr>
          <w:p w14:paraId="30D1B924">
            <w:pPr>
              <w:jc w:val="center"/>
              <w:rPr>
                <w:rFonts w:hint="default" w:ascii="Times New Roman" w:hAnsi="Times New Roman" w:cs="Times New Roman"/>
                <w:b/>
                <w:sz w:val="24"/>
                <w:szCs w:val="24"/>
              </w:rPr>
            </w:pPr>
            <w:r>
              <w:rPr>
                <w:rFonts w:hint="default" w:ascii="Times New Roman" w:hAnsi="Times New Roman" w:cs="Times New Roman"/>
                <w:b/>
                <w:sz w:val="24"/>
                <w:szCs w:val="24"/>
              </w:rPr>
              <w:t>投资者活动类别</w:t>
            </w:r>
          </w:p>
        </w:tc>
        <w:tc>
          <w:tcPr>
            <w:tcW w:w="6666" w:type="dxa"/>
            <w:shd w:val="clear" w:color="auto" w:fill="auto"/>
            <w:vAlign w:val="center"/>
          </w:tcPr>
          <w:p w14:paraId="4901088D">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A3"/>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分析师会议 </w:t>
            </w:r>
            <w:bookmarkStart w:id="0" w:name="OLE_LINK8"/>
            <w:bookmarkStart w:id="1" w:name="OLE_LINK7"/>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媒体采访</w:t>
            </w:r>
            <w:bookmarkEnd w:id="0"/>
            <w:bookmarkEnd w:id="1"/>
            <w:r>
              <w:rPr>
                <w:rFonts w:hint="default" w:ascii="Times New Roman" w:hAnsi="Times New Roman" w:cs="Times New Roman"/>
                <w:sz w:val="24"/>
                <w:szCs w:val="24"/>
              </w:rPr>
              <w:t xml:space="preserve"> </w:t>
            </w:r>
          </w:p>
          <w:p w14:paraId="33B29537">
            <w:pPr>
              <w:jc w:val="both"/>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业绩说明会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路演活动</w:t>
            </w:r>
          </w:p>
          <w:p w14:paraId="60410BD2">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A3"/>
            </w:r>
            <w:r>
              <w:rPr>
                <w:rFonts w:hint="default" w:ascii="Times New Roman" w:hAnsi="Times New Roman" w:cs="Times New Roman"/>
                <w:sz w:val="24"/>
                <w:szCs w:val="24"/>
              </w:rPr>
              <w:t>现场参观</w:t>
            </w:r>
          </w:p>
          <w:p w14:paraId="123F9E24">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sym w:font="Wingdings 2" w:char="0052"/>
            </w:r>
            <w:r>
              <w:rPr>
                <w:rFonts w:hint="default" w:ascii="Times New Roman" w:hAnsi="Times New Roman" w:cs="Times New Roman"/>
                <w:sz w:val="24"/>
                <w:szCs w:val="24"/>
              </w:rPr>
              <w:t>其他</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策略会</w:t>
            </w:r>
          </w:p>
        </w:tc>
      </w:tr>
      <w:tr w14:paraId="450A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856" w:type="dxa"/>
            <w:shd w:val="clear" w:color="auto" w:fill="auto"/>
            <w:vAlign w:val="center"/>
          </w:tcPr>
          <w:p w14:paraId="772055A6">
            <w:pPr>
              <w:jc w:val="center"/>
              <w:rPr>
                <w:rFonts w:hint="default" w:ascii="Times New Roman" w:hAnsi="Times New Roman" w:cs="Times New Roman"/>
                <w:sz w:val="24"/>
                <w:szCs w:val="24"/>
              </w:rPr>
            </w:pPr>
            <w:r>
              <w:rPr>
                <w:rFonts w:hint="default" w:ascii="Times New Roman" w:hAnsi="Times New Roman" w:cs="Times New Roman"/>
                <w:b/>
                <w:sz w:val="24"/>
                <w:szCs w:val="24"/>
              </w:rPr>
              <w:t>公司接待</w:t>
            </w:r>
          </w:p>
          <w:p w14:paraId="28BB890D">
            <w:pPr>
              <w:jc w:val="center"/>
              <w:rPr>
                <w:rFonts w:hint="default" w:ascii="Times New Roman" w:hAnsi="Times New Roman" w:cs="Times New Roman"/>
                <w:b/>
                <w:sz w:val="24"/>
                <w:szCs w:val="24"/>
              </w:rPr>
            </w:pPr>
            <w:r>
              <w:rPr>
                <w:rFonts w:hint="default" w:ascii="Times New Roman" w:hAnsi="Times New Roman" w:cs="Times New Roman"/>
                <w:b/>
                <w:sz w:val="24"/>
                <w:szCs w:val="24"/>
              </w:rPr>
              <w:t>成员名单</w:t>
            </w:r>
          </w:p>
        </w:tc>
        <w:tc>
          <w:tcPr>
            <w:tcW w:w="6666" w:type="dxa"/>
            <w:shd w:val="clear" w:color="auto" w:fill="auto"/>
            <w:vAlign w:val="center"/>
          </w:tcPr>
          <w:p w14:paraId="4ADB0285">
            <w:pPr>
              <w:pStyle w:val="17"/>
              <w:ind w:left="0" w:leftChars="0" w:firstLine="240" w:firstLineChars="100"/>
              <w:rPr>
                <w:rFonts w:hint="default" w:ascii="Times New Roman" w:hAnsi="Times New Roman" w:eastAsia="宋体" w:cs="Times New Roman"/>
                <w:bCs/>
                <w:iCs/>
                <w:color w:val="000000"/>
                <w:kern w:val="0"/>
                <w:sz w:val="24"/>
                <w:szCs w:val="24"/>
                <w:lang w:val="en-US" w:eastAsia="zh-CN" w:bidi="ar-SA"/>
              </w:rPr>
            </w:pPr>
            <w:bookmarkStart w:id="2" w:name="OLE_LINK10"/>
            <w:r>
              <w:rPr>
                <w:rFonts w:hint="default" w:ascii="Times New Roman" w:hAnsi="Times New Roman" w:cs="Times New Roman"/>
                <w:bCs/>
                <w:iCs/>
                <w:color w:val="000000"/>
                <w:kern w:val="0"/>
                <w:sz w:val="24"/>
                <w:szCs w:val="24"/>
                <w:lang w:val="en-US" w:eastAsia="zh-CN" w:bidi="ar-SA"/>
              </w:rPr>
              <w:t>孙逸铖  董事、董事会秘书</w:t>
            </w:r>
          </w:p>
          <w:p w14:paraId="493411BA">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杨呈杰  </w:t>
            </w:r>
            <w:r>
              <w:rPr>
                <w:rFonts w:hint="default" w:ascii="Times New Roman" w:hAnsi="Times New Roman" w:eastAsia="宋体" w:cs="Times New Roman"/>
                <w:bCs/>
                <w:iCs/>
                <w:color w:val="000000"/>
                <w:kern w:val="0"/>
                <w:sz w:val="24"/>
                <w:szCs w:val="24"/>
                <w:lang w:val="en-US" w:eastAsia="zh-CN" w:bidi="ar-SA"/>
              </w:rPr>
              <w:t>投资者关系</w:t>
            </w:r>
          </w:p>
          <w:p w14:paraId="4B7C45E9">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崔    景  </w:t>
            </w:r>
            <w:r>
              <w:rPr>
                <w:rFonts w:hint="default" w:ascii="Times New Roman" w:hAnsi="Times New Roman" w:eastAsia="宋体" w:cs="Times New Roman"/>
                <w:bCs/>
                <w:iCs/>
                <w:color w:val="000000"/>
                <w:kern w:val="0"/>
                <w:sz w:val="24"/>
                <w:szCs w:val="24"/>
                <w:lang w:val="en-US" w:eastAsia="zh-CN" w:bidi="ar-SA"/>
              </w:rPr>
              <w:t>投资者关系</w:t>
            </w:r>
            <w:bookmarkEnd w:id="2"/>
          </w:p>
        </w:tc>
      </w:tr>
      <w:tr w14:paraId="35EC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856" w:type="dxa"/>
            <w:shd w:val="clear" w:color="auto" w:fill="auto"/>
            <w:vAlign w:val="center"/>
          </w:tcPr>
          <w:p w14:paraId="061ADF49">
            <w:pPr>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参与单位名称及人员姓名</w:t>
            </w:r>
          </w:p>
        </w:tc>
        <w:tc>
          <w:tcPr>
            <w:tcW w:w="6666" w:type="dxa"/>
            <w:shd w:val="clear" w:color="auto" w:fill="auto"/>
            <w:vAlign w:val="center"/>
          </w:tcPr>
          <w:p w14:paraId="131C375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val="0"/>
                <w:bCs w:val="0"/>
                <w:kern w:val="0"/>
                <w:sz w:val="24"/>
                <w:szCs w:val="24"/>
                <w:highlight w:val="none"/>
                <w:lang w:val="en-US" w:eastAsia="zh-CN" w:bidi="ar-SA"/>
              </w:rPr>
              <w:t>参加了</w:t>
            </w:r>
            <w:bookmarkStart w:id="3" w:name="OLE_LINK2"/>
            <w:r>
              <w:rPr>
                <w:rFonts w:hint="eastAsia" w:cs="Times New Roman"/>
                <w:b w:val="0"/>
                <w:bCs w:val="0"/>
                <w:kern w:val="0"/>
                <w:sz w:val="24"/>
                <w:szCs w:val="24"/>
                <w:highlight w:val="none"/>
                <w:lang w:val="en-US" w:eastAsia="zh-CN" w:bidi="ar-SA"/>
              </w:rPr>
              <w:t>长江</w:t>
            </w:r>
            <w:r>
              <w:rPr>
                <w:rFonts w:hint="default" w:ascii="Times New Roman" w:hAnsi="Times New Roman" w:cs="Times New Roman"/>
                <w:b w:val="0"/>
                <w:bCs w:val="0"/>
                <w:kern w:val="0"/>
                <w:sz w:val="24"/>
                <w:szCs w:val="24"/>
                <w:highlight w:val="none"/>
                <w:lang w:val="en-US" w:eastAsia="zh-CN" w:bidi="ar-SA"/>
              </w:rPr>
              <w:t>证券</w:t>
            </w:r>
            <w:r>
              <w:rPr>
                <w:rFonts w:hint="default" w:ascii="Times New Roman" w:hAnsi="Times New Roman" w:eastAsia="宋体" w:cs="Times New Roman"/>
                <w:b w:val="0"/>
                <w:bCs w:val="0"/>
                <w:kern w:val="0"/>
                <w:sz w:val="24"/>
                <w:szCs w:val="24"/>
                <w:highlight w:val="none"/>
                <w:lang w:val="en-US" w:eastAsia="zh-CN" w:bidi="ar-SA"/>
              </w:rPr>
              <w:t>、</w:t>
            </w:r>
            <w:r>
              <w:rPr>
                <w:rFonts w:hint="eastAsia" w:cs="Times New Roman"/>
                <w:b w:val="0"/>
                <w:bCs w:val="0"/>
                <w:kern w:val="0"/>
                <w:sz w:val="24"/>
                <w:szCs w:val="24"/>
                <w:highlight w:val="none"/>
                <w:lang w:val="en-US" w:eastAsia="zh-CN" w:bidi="ar-SA"/>
              </w:rPr>
              <w:t>东吴</w:t>
            </w:r>
            <w:r>
              <w:rPr>
                <w:rFonts w:hint="default" w:ascii="Times New Roman" w:hAnsi="Times New Roman" w:eastAsia="宋体" w:cs="Times New Roman"/>
                <w:b w:val="0"/>
                <w:bCs w:val="0"/>
                <w:kern w:val="0"/>
                <w:sz w:val="24"/>
                <w:szCs w:val="24"/>
                <w:highlight w:val="none"/>
                <w:lang w:val="en-US" w:eastAsia="zh-CN" w:bidi="ar-SA"/>
              </w:rPr>
              <w:t>证券</w:t>
            </w:r>
            <w:r>
              <w:rPr>
                <w:rFonts w:hint="eastAsia" w:cs="Times New Roman"/>
                <w:b w:val="0"/>
                <w:bCs w:val="0"/>
                <w:kern w:val="0"/>
                <w:sz w:val="24"/>
                <w:szCs w:val="24"/>
                <w:highlight w:val="none"/>
                <w:lang w:val="en-US" w:eastAsia="zh-CN" w:bidi="ar-SA"/>
              </w:rPr>
              <w:t>、西部证券、天风证券</w:t>
            </w:r>
            <w:r>
              <w:rPr>
                <w:rFonts w:hint="default" w:ascii="Times New Roman" w:hAnsi="Times New Roman" w:eastAsia="宋体" w:cs="Times New Roman"/>
                <w:b w:val="0"/>
                <w:bCs w:val="0"/>
                <w:kern w:val="0"/>
                <w:sz w:val="24"/>
                <w:szCs w:val="24"/>
                <w:highlight w:val="none"/>
                <w:lang w:val="en-US" w:eastAsia="zh-CN" w:bidi="ar-SA"/>
              </w:rPr>
              <w:t>等券商机构组织的策略会和交流会。</w:t>
            </w:r>
            <w:bookmarkEnd w:id="3"/>
          </w:p>
        </w:tc>
      </w:tr>
      <w:tr w14:paraId="7F63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56" w:type="dxa"/>
            <w:shd w:val="clear" w:color="auto" w:fill="auto"/>
            <w:vAlign w:val="center"/>
          </w:tcPr>
          <w:p w14:paraId="41C115E9">
            <w:pPr>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6666" w:type="dxa"/>
            <w:shd w:val="clear" w:color="auto" w:fill="auto"/>
            <w:vAlign w:val="center"/>
          </w:tcPr>
          <w:p w14:paraId="62971693">
            <w:pPr>
              <w:pStyle w:val="17"/>
              <w:ind w:left="0" w:leftChars="0" w:firstLine="240" w:firstLineChars="100"/>
              <w:rPr>
                <w:rFonts w:hint="default" w:ascii="Times New Roman" w:hAnsi="Times New Roman" w:cs="Times New Roman"/>
                <w:sz w:val="24"/>
                <w:szCs w:val="24"/>
                <w:lang w:val="en-US" w:eastAsia="zh-CN"/>
              </w:rPr>
            </w:pPr>
            <w:r>
              <w:rPr>
                <w:rFonts w:hint="default" w:ascii="Times New Roman" w:hAnsi="Times New Roman" w:cs="Times New Roman"/>
                <w:b w:val="0"/>
                <w:bCs w:val="0"/>
                <w:sz w:val="24"/>
                <w:szCs w:val="24"/>
                <w:highlight w:val="none"/>
                <w:lang w:val="en-US" w:eastAsia="zh-CN"/>
              </w:rPr>
              <w:t>2026年</w:t>
            </w:r>
            <w:r>
              <w:rPr>
                <w:rFonts w:hint="eastAsia" w:ascii="Times New Roman" w:hAnsi="Times New Roman" w:cs="Times New Roman"/>
                <w:b w:val="0"/>
                <w:bCs w:val="0"/>
                <w:sz w:val="24"/>
                <w:szCs w:val="24"/>
                <w:highlight w:val="none"/>
                <w:lang w:val="en-US" w:eastAsia="zh-CN"/>
              </w:rPr>
              <w:t>2</w:t>
            </w:r>
            <w:r>
              <w:rPr>
                <w:rFonts w:hint="default" w:ascii="Times New Roman" w:hAnsi="Times New Roman" w:cs="Times New Roman"/>
                <w:b w:val="0"/>
                <w:bCs w:val="0"/>
                <w:sz w:val="24"/>
                <w:szCs w:val="24"/>
                <w:highlight w:val="none"/>
                <w:lang w:val="en-US" w:eastAsia="zh-CN"/>
              </w:rPr>
              <w:t>月5日-</w:t>
            </w:r>
            <w:r>
              <w:rPr>
                <w:rFonts w:hint="eastAsia" w:ascii="Times New Roman" w:hAnsi="Times New Roman" w:cs="Times New Roman"/>
                <w:b w:val="0"/>
                <w:bCs w:val="0"/>
                <w:sz w:val="24"/>
                <w:szCs w:val="24"/>
                <w:highlight w:val="none"/>
                <w:lang w:val="en-US" w:eastAsia="zh-CN"/>
              </w:rPr>
              <w:t>2</w:t>
            </w:r>
            <w:r>
              <w:rPr>
                <w:rFonts w:hint="default" w:ascii="Times New Roman" w:hAnsi="Times New Roman" w:cs="Times New Roman"/>
                <w:b w:val="0"/>
                <w:bCs w:val="0"/>
                <w:sz w:val="24"/>
                <w:szCs w:val="24"/>
                <w:highlight w:val="none"/>
                <w:lang w:val="en-US" w:eastAsia="zh-CN"/>
              </w:rPr>
              <w:t>月2</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cs="Times New Roman"/>
                <w:b w:val="0"/>
                <w:bCs w:val="0"/>
                <w:sz w:val="24"/>
                <w:szCs w:val="24"/>
                <w:highlight w:val="none"/>
                <w:lang w:val="en-US" w:eastAsia="zh-CN"/>
              </w:rPr>
              <w:t>日</w:t>
            </w:r>
          </w:p>
        </w:tc>
      </w:tr>
      <w:tr w14:paraId="30C4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6" w:type="dxa"/>
            <w:shd w:val="clear" w:color="auto" w:fill="auto"/>
            <w:vAlign w:val="center"/>
          </w:tcPr>
          <w:p w14:paraId="15963F44">
            <w:pPr>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6666" w:type="dxa"/>
            <w:shd w:val="clear" w:color="auto" w:fill="auto"/>
            <w:vAlign w:val="center"/>
          </w:tcPr>
          <w:p w14:paraId="50E96EEF">
            <w:pPr>
              <w:keepNext w:val="0"/>
              <w:keepLines w:val="0"/>
              <w:widowControl/>
              <w:suppressLineNumbers w:val="0"/>
              <w:ind w:firstLine="240" w:firstLineChars="100"/>
              <w:jc w:val="both"/>
              <w:textAlignment w:val="center"/>
              <w:rPr>
                <w:rFonts w:hint="default" w:ascii="Times New Roman" w:hAnsi="Times New Roman" w:eastAsia="宋体" w:cs="Times New Roman"/>
                <w:bCs/>
                <w:i w:val="0"/>
                <w:iCs/>
                <w:color w:val="000000"/>
                <w:kern w:val="0"/>
                <w:sz w:val="24"/>
                <w:szCs w:val="24"/>
                <w:u w:val="none"/>
                <w:lang w:val="en-US" w:eastAsia="zh-CN" w:bidi="ar-SA"/>
              </w:rPr>
            </w:pPr>
            <w:r>
              <w:rPr>
                <w:rFonts w:hint="eastAsia" w:cs="Times New Roman"/>
                <w:bCs/>
                <w:iCs/>
                <w:color w:val="000000"/>
                <w:kern w:val="0"/>
                <w:sz w:val="24"/>
                <w:szCs w:val="24"/>
                <w:lang w:val="en-US" w:eastAsia="zh-CN" w:bidi="ar-SA"/>
              </w:rPr>
              <w:t>北京、</w:t>
            </w:r>
            <w:r>
              <w:rPr>
                <w:rFonts w:hint="default" w:ascii="Times New Roman" w:hAnsi="Times New Roman" w:eastAsia="宋体" w:cs="Times New Roman"/>
                <w:bCs/>
                <w:iCs/>
                <w:color w:val="000000"/>
                <w:kern w:val="0"/>
                <w:sz w:val="24"/>
                <w:szCs w:val="24"/>
                <w:lang w:val="en-US" w:eastAsia="zh-CN" w:bidi="ar-SA"/>
              </w:rPr>
              <w:t>上海</w:t>
            </w:r>
          </w:p>
        </w:tc>
      </w:tr>
      <w:tr w14:paraId="28DC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856" w:type="dxa"/>
            <w:shd w:val="clear" w:color="auto" w:fill="auto"/>
            <w:vAlign w:val="center"/>
          </w:tcPr>
          <w:p w14:paraId="3F5F7C56">
            <w:pPr>
              <w:keepNext w:val="0"/>
              <w:keepLines w:val="0"/>
              <w:widowControl/>
              <w:suppressLineNumbers w:val="0"/>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b/>
                <w:sz w:val="24"/>
                <w:szCs w:val="24"/>
                <w:lang w:val="en-US" w:eastAsia="zh-CN"/>
              </w:rPr>
              <w:t>形式</w:t>
            </w:r>
          </w:p>
        </w:tc>
        <w:tc>
          <w:tcPr>
            <w:tcW w:w="6666" w:type="dxa"/>
            <w:shd w:val="clear" w:color="auto" w:fill="auto"/>
            <w:vAlign w:val="center"/>
          </w:tcPr>
          <w:p w14:paraId="3737F6F3">
            <w:pPr>
              <w:keepNext w:val="0"/>
              <w:keepLines w:val="0"/>
              <w:widowControl/>
              <w:suppressLineNumbers w:val="0"/>
              <w:ind w:firstLine="240" w:firstLineChars="100"/>
              <w:jc w:val="both"/>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线下会议</w:t>
            </w:r>
          </w:p>
        </w:tc>
      </w:tr>
      <w:tr w14:paraId="21A8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6" w:type="dxa"/>
            <w:shd w:val="clear" w:color="auto" w:fill="auto"/>
            <w:vAlign w:val="center"/>
          </w:tcPr>
          <w:p w14:paraId="76E1FA37">
            <w:pPr>
              <w:pStyle w:val="9"/>
              <w:shd w:val="clear" w:color="auto" w:fill="FFFFFF"/>
              <w:spacing w:before="150" w:after="150" w:line="435" w:lineRule="atLeast"/>
              <w:ind w:firstLine="205" w:firstLineChars="85"/>
              <w:jc w:val="both"/>
              <w:rPr>
                <w:rFonts w:hint="default" w:ascii="Times New Roman" w:hAnsi="Times New Roman" w:cs="Times New Roman"/>
                <w:bCs/>
                <w:iCs/>
                <w:color w:val="000000"/>
                <w:sz w:val="24"/>
                <w:szCs w:val="24"/>
                <w:lang w:val="en-US" w:eastAsia="zh-CN"/>
              </w:rPr>
            </w:pPr>
            <w:r>
              <w:rPr>
                <w:rFonts w:hint="default" w:ascii="Times New Roman" w:hAnsi="Times New Roman" w:eastAsia="宋体" w:cs="Times New Roman"/>
                <w:b/>
                <w:kern w:val="0"/>
                <w:sz w:val="24"/>
                <w:szCs w:val="24"/>
                <w:lang w:val="en-US" w:eastAsia="zh-CN" w:bidi="ar-SA"/>
              </w:rPr>
              <w:t>活动内容</w:t>
            </w:r>
          </w:p>
        </w:tc>
        <w:tc>
          <w:tcPr>
            <w:tcW w:w="6666" w:type="dxa"/>
            <w:shd w:val="clear" w:color="auto" w:fill="auto"/>
            <w:vAlign w:val="center"/>
          </w:tcPr>
          <w:p w14:paraId="306BE56C">
            <w:pPr>
              <w:pStyle w:val="17"/>
              <w:keepNext w:val="0"/>
              <w:keepLines w:val="0"/>
              <w:pageBreakBefore w:val="0"/>
              <w:widowControl/>
              <w:numPr>
                <w:ilvl w:val="0"/>
                <w:numId w:val="1"/>
              </w:numPr>
              <w:kinsoku/>
              <w:wordWrap/>
              <w:overflowPunct/>
              <w:topLinePunct w:val="0"/>
              <w:autoSpaceDE/>
              <w:autoSpaceDN/>
              <w:bidi w:val="0"/>
              <w:adjustRightInd/>
              <w:snapToGrid/>
              <w:spacing w:before="157" w:beforeLines="50" w:after="0" w:line="360" w:lineRule="auto"/>
              <w:ind w:left="0" w:leftChars="0" w:firstLine="0" w:firstLineChars="0"/>
              <w:textAlignment w:val="baseline"/>
              <w:rPr>
                <w:rFonts w:hint="default" w:ascii="Times New Roman" w:hAnsi="Times New Roman" w:eastAsia="宋体" w:cs="Times New Roman"/>
                <w:b/>
                <w:bCs/>
                <w:i w:val="0"/>
                <w:iCs w:val="0"/>
                <w:caps w:val="0"/>
                <w:color w:val="333333"/>
                <w:spacing w:val="0"/>
                <w:sz w:val="24"/>
                <w:szCs w:val="24"/>
                <w:shd w:val="clear" w:fill="FFFFFF"/>
                <w:lang w:val="en-US" w:eastAsia="zh-CN"/>
              </w:rPr>
            </w:pPr>
            <w:r>
              <w:rPr>
                <w:rFonts w:hint="eastAsia" w:ascii="Times New Roman" w:hAnsi="Times New Roman" w:cs="Times New Roman"/>
                <w:b/>
                <w:bCs/>
                <w:i w:val="0"/>
                <w:iCs w:val="0"/>
                <w:caps w:val="0"/>
                <w:color w:val="333333"/>
                <w:spacing w:val="0"/>
                <w:sz w:val="24"/>
                <w:szCs w:val="24"/>
                <w:shd w:val="clear" w:fill="FFFFFF"/>
                <w:lang w:val="en-US" w:eastAsia="zh-CN"/>
              </w:rPr>
              <w:t>请介绍公司2025年的业绩情况？</w:t>
            </w:r>
          </w:p>
          <w:p w14:paraId="547E9EE3">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default" w:ascii="Times New Roman" w:hAnsi="Times New Roman" w:cs="Times New Roman"/>
                <w:b w:val="0"/>
                <w:bCs w:val="0"/>
                <w:color w:val="auto"/>
                <w:kern w:val="0"/>
                <w:sz w:val="24"/>
                <w:szCs w:val="24"/>
                <w:lang w:val="en-US" w:eastAsia="zh-CN" w:bidi="ar-SA"/>
              </w:rPr>
            </w:pPr>
            <w:r>
              <w:rPr>
                <w:rFonts w:hint="default" w:ascii="Times New Roman" w:hAnsi="Times New Roman" w:cs="Times New Roman"/>
                <w:b w:val="0"/>
                <w:bCs w:val="0"/>
                <w:color w:val="auto"/>
                <w:kern w:val="0"/>
                <w:sz w:val="24"/>
                <w:szCs w:val="24"/>
                <w:lang w:val="en-US" w:eastAsia="zh-CN" w:bidi="ar-SA"/>
              </w:rPr>
              <w:t>答：</w:t>
            </w:r>
            <w:bookmarkStart w:id="4" w:name="OLE_LINK1"/>
            <w:r>
              <w:rPr>
                <w:rFonts w:hint="default" w:ascii="Times New Roman" w:hAnsi="Times New Roman" w:cs="Times New Roman"/>
                <w:b w:val="0"/>
                <w:bCs w:val="0"/>
                <w:color w:val="auto"/>
                <w:kern w:val="0"/>
                <w:sz w:val="24"/>
                <w:szCs w:val="24"/>
                <w:lang w:val="en-US" w:eastAsia="zh-CN" w:bidi="ar-SA"/>
              </w:rPr>
              <w:t>2025 年，随着行业政策引导的持续深化，国内多晶硅价格自第三季度起呈现恢复性上涨，但多晶硅产业整体仍面临高库存与弱需求的现实挑战。报告期内，公司持续推进精细化管理与技术工艺创新，有效实现了生产成本的降低与运营效率的提升，为改善盈利水平提供了重要支撑。</w:t>
            </w:r>
          </w:p>
          <w:p w14:paraId="6C061D5B">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default" w:ascii="Times New Roman" w:hAnsi="Times New Roman"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经营方面，公司经营业绩显著改善。2025年，</w:t>
            </w:r>
            <w:r>
              <w:rPr>
                <w:rFonts w:hint="default" w:ascii="Times New Roman" w:hAnsi="Times New Roman" w:cs="Times New Roman"/>
                <w:b w:val="0"/>
                <w:bCs w:val="0"/>
                <w:color w:val="auto"/>
                <w:kern w:val="0"/>
                <w:sz w:val="24"/>
                <w:szCs w:val="24"/>
                <w:lang w:val="en-US" w:eastAsia="zh-CN" w:bidi="ar-SA"/>
              </w:rPr>
              <w:t>公司实现营业收入48.3亿元，归母净利润-11.</w:t>
            </w:r>
            <w:r>
              <w:rPr>
                <w:rFonts w:hint="eastAsia" w:ascii="Times New Roman" w:hAnsi="Times New Roman" w:cs="Times New Roman"/>
                <w:b w:val="0"/>
                <w:bCs w:val="0"/>
                <w:color w:val="auto"/>
                <w:kern w:val="0"/>
                <w:sz w:val="24"/>
                <w:szCs w:val="24"/>
                <w:lang w:val="en-US" w:eastAsia="zh-CN" w:bidi="ar-SA"/>
              </w:rPr>
              <w:t>3</w:t>
            </w:r>
            <w:r>
              <w:rPr>
                <w:rFonts w:hint="default" w:ascii="Times New Roman" w:hAnsi="Times New Roman" w:cs="Times New Roman"/>
                <w:b w:val="0"/>
                <w:bCs w:val="0"/>
                <w:color w:val="auto"/>
                <w:kern w:val="0"/>
                <w:sz w:val="24"/>
                <w:szCs w:val="24"/>
                <w:lang w:val="en-US" w:eastAsia="zh-CN" w:bidi="ar-SA"/>
              </w:rPr>
              <w:t>亿元，亏损幅度同比</w:t>
            </w:r>
            <w:r>
              <w:rPr>
                <w:rFonts w:hint="eastAsia" w:ascii="Times New Roman" w:hAnsi="Times New Roman" w:cs="Times New Roman"/>
                <w:b w:val="0"/>
                <w:bCs w:val="0"/>
                <w:color w:val="auto"/>
                <w:kern w:val="0"/>
                <w:sz w:val="24"/>
                <w:szCs w:val="24"/>
                <w:lang w:val="en-US" w:eastAsia="zh-CN" w:bidi="ar-SA"/>
              </w:rPr>
              <w:t>大幅</w:t>
            </w:r>
            <w:r>
              <w:rPr>
                <w:rFonts w:hint="default" w:ascii="Times New Roman" w:hAnsi="Times New Roman" w:cs="Times New Roman"/>
                <w:b w:val="0"/>
                <w:bCs w:val="0"/>
                <w:color w:val="auto"/>
                <w:kern w:val="0"/>
                <w:sz w:val="24"/>
                <w:szCs w:val="24"/>
                <w:lang w:val="en-US" w:eastAsia="zh-CN" w:bidi="ar-SA"/>
              </w:rPr>
              <w:t>收窄，盈利能力呈现</w:t>
            </w:r>
            <w:r>
              <w:rPr>
                <w:rFonts w:hint="eastAsia" w:ascii="Times New Roman" w:hAnsi="Times New Roman" w:cs="Times New Roman"/>
                <w:b w:val="0"/>
                <w:bCs w:val="0"/>
                <w:color w:val="auto"/>
                <w:kern w:val="0"/>
                <w:sz w:val="24"/>
                <w:szCs w:val="24"/>
                <w:lang w:val="en-US" w:eastAsia="zh-CN" w:bidi="ar-SA"/>
              </w:rPr>
              <w:t>持续</w:t>
            </w:r>
            <w:r>
              <w:rPr>
                <w:rFonts w:hint="default" w:ascii="Times New Roman" w:hAnsi="Times New Roman" w:cs="Times New Roman"/>
                <w:b w:val="0"/>
                <w:bCs w:val="0"/>
                <w:color w:val="auto"/>
                <w:kern w:val="0"/>
                <w:sz w:val="24"/>
                <w:szCs w:val="24"/>
                <w:lang w:val="en-US" w:eastAsia="zh-CN" w:bidi="ar-SA"/>
              </w:rPr>
              <w:t>修复趋势。</w:t>
            </w:r>
            <w:r>
              <w:rPr>
                <w:rFonts w:hint="eastAsia" w:ascii="Times New Roman" w:hAnsi="Times New Roman" w:cs="Times New Roman"/>
                <w:b w:val="0"/>
                <w:bCs w:val="0"/>
                <w:color w:val="auto"/>
                <w:kern w:val="0"/>
                <w:sz w:val="24"/>
                <w:szCs w:val="24"/>
                <w:lang w:val="en-US" w:eastAsia="zh-CN" w:bidi="ar-SA"/>
              </w:rPr>
              <w:t>报告期内，公司</w:t>
            </w:r>
            <w:r>
              <w:rPr>
                <w:rFonts w:hint="default" w:ascii="Times New Roman" w:hAnsi="Times New Roman" w:cs="Times New Roman"/>
                <w:b w:val="0"/>
                <w:bCs w:val="0"/>
                <w:color w:val="auto"/>
                <w:kern w:val="0"/>
                <w:sz w:val="24"/>
                <w:szCs w:val="24"/>
                <w:lang w:val="en-US" w:eastAsia="zh-CN" w:bidi="ar-SA"/>
              </w:rPr>
              <w:t>多晶硅产量</w:t>
            </w:r>
            <w:r>
              <w:rPr>
                <w:rFonts w:hint="eastAsia" w:ascii="Times New Roman" w:hAnsi="Times New Roman" w:cs="Times New Roman"/>
                <w:b w:val="0"/>
                <w:bCs w:val="0"/>
                <w:color w:val="auto"/>
                <w:kern w:val="0"/>
                <w:sz w:val="24"/>
                <w:szCs w:val="24"/>
                <w:lang w:val="en-US" w:eastAsia="zh-CN" w:bidi="ar-SA"/>
              </w:rPr>
              <w:t>为</w:t>
            </w:r>
            <w:r>
              <w:rPr>
                <w:rFonts w:hint="default" w:ascii="Times New Roman" w:hAnsi="Times New Roman" w:cs="Times New Roman"/>
                <w:b w:val="0"/>
                <w:bCs w:val="0"/>
                <w:color w:val="auto"/>
                <w:kern w:val="0"/>
                <w:sz w:val="24"/>
                <w:szCs w:val="24"/>
                <w:lang w:val="en-US" w:eastAsia="zh-CN" w:bidi="ar-SA"/>
              </w:rPr>
              <w:t>12.3万吨，销量</w:t>
            </w:r>
            <w:r>
              <w:rPr>
                <w:rFonts w:hint="eastAsia" w:ascii="Times New Roman" w:hAnsi="Times New Roman" w:cs="Times New Roman"/>
                <w:b w:val="0"/>
                <w:bCs w:val="0"/>
                <w:color w:val="auto"/>
                <w:kern w:val="0"/>
                <w:sz w:val="24"/>
                <w:szCs w:val="24"/>
                <w:lang w:val="en-US" w:eastAsia="zh-CN" w:bidi="ar-SA"/>
              </w:rPr>
              <w:t>为</w:t>
            </w:r>
            <w:r>
              <w:rPr>
                <w:rFonts w:hint="default" w:ascii="Times New Roman" w:hAnsi="Times New Roman" w:cs="Times New Roman"/>
                <w:b w:val="0"/>
                <w:bCs w:val="0"/>
                <w:color w:val="auto"/>
                <w:kern w:val="0"/>
                <w:sz w:val="24"/>
                <w:szCs w:val="24"/>
                <w:lang w:val="en-US" w:eastAsia="zh-CN" w:bidi="ar-SA"/>
              </w:rPr>
              <w:t>12.7万吨，产销率达103%，</w:t>
            </w:r>
            <w:r>
              <w:rPr>
                <w:rFonts w:hint="eastAsia" w:ascii="Times New Roman" w:hAnsi="Times New Roman" w:cs="Times New Roman"/>
                <w:b w:val="0"/>
                <w:bCs w:val="0"/>
                <w:color w:val="auto"/>
                <w:kern w:val="0"/>
                <w:sz w:val="24"/>
                <w:szCs w:val="24"/>
                <w:lang w:val="en-US" w:eastAsia="zh-CN" w:bidi="ar-SA"/>
              </w:rPr>
              <w:t>且</w:t>
            </w:r>
            <w:r>
              <w:rPr>
                <w:rFonts w:hint="default" w:ascii="Times New Roman" w:hAnsi="Times New Roman" w:cs="Times New Roman"/>
                <w:b w:val="0"/>
                <w:bCs w:val="0"/>
                <w:color w:val="auto"/>
                <w:kern w:val="0"/>
                <w:sz w:val="24"/>
                <w:szCs w:val="24"/>
                <w:lang w:val="en-US" w:eastAsia="zh-CN" w:bidi="ar-SA"/>
              </w:rPr>
              <w:t>库存</w:t>
            </w:r>
            <w:r>
              <w:rPr>
                <w:rFonts w:hint="eastAsia" w:ascii="Times New Roman" w:hAnsi="Times New Roman" w:cs="Times New Roman"/>
                <w:b w:val="0"/>
                <w:bCs w:val="0"/>
                <w:color w:val="auto"/>
                <w:kern w:val="0"/>
                <w:sz w:val="24"/>
                <w:szCs w:val="24"/>
                <w:lang w:val="en-US" w:eastAsia="zh-CN" w:bidi="ar-SA"/>
              </w:rPr>
              <w:t>保持</w:t>
            </w:r>
            <w:r>
              <w:rPr>
                <w:rFonts w:hint="default" w:ascii="Times New Roman" w:hAnsi="Times New Roman" w:cs="Times New Roman"/>
                <w:b w:val="0"/>
                <w:bCs w:val="0"/>
                <w:color w:val="auto"/>
                <w:kern w:val="0"/>
                <w:sz w:val="24"/>
                <w:szCs w:val="24"/>
                <w:lang w:val="en-US" w:eastAsia="zh-CN" w:bidi="ar-SA"/>
              </w:rPr>
              <w:t>在合理水平，资产运营效率持续优化。</w:t>
            </w:r>
          </w:p>
          <w:p w14:paraId="7D46B0A0">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default" w:ascii="Times New Roman" w:hAnsi="Times New Roman" w:cs="Times New Roman"/>
                <w:b w:val="0"/>
                <w:bCs w:val="0"/>
                <w:color w:val="auto"/>
                <w:kern w:val="0"/>
                <w:sz w:val="24"/>
                <w:szCs w:val="24"/>
                <w:lang w:val="en-US" w:eastAsia="zh-CN" w:bidi="ar-SA"/>
              </w:rPr>
            </w:pPr>
            <w:r>
              <w:rPr>
                <w:rFonts w:hint="default" w:ascii="Times New Roman" w:hAnsi="Times New Roman" w:cs="Times New Roman"/>
                <w:b w:val="0"/>
                <w:bCs w:val="0"/>
                <w:color w:val="auto"/>
                <w:kern w:val="0"/>
                <w:sz w:val="24"/>
                <w:szCs w:val="24"/>
                <w:lang w:val="en-US" w:eastAsia="zh-CN" w:bidi="ar-SA"/>
              </w:rPr>
              <w:t>成本方面，公司降本增效成果突出。第四季度多晶硅单位现金成本降至33.95元/公斤，单位成本降至43.46元/公斤，</w:t>
            </w:r>
            <w:r>
              <w:rPr>
                <w:rFonts w:hint="eastAsia" w:ascii="Times New Roman" w:hAnsi="Times New Roman" w:cs="Times New Roman"/>
                <w:b w:val="0"/>
                <w:bCs w:val="0"/>
                <w:color w:val="auto"/>
                <w:kern w:val="0"/>
                <w:sz w:val="24"/>
                <w:szCs w:val="24"/>
                <w:lang w:val="en-US" w:eastAsia="zh-CN" w:bidi="ar-SA"/>
              </w:rPr>
              <w:t>两项指标</w:t>
            </w:r>
            <w:r>
              <w:rPr>
                <w:rFonts w:hint="default" w:ascii="Times New Roman" w:hAnsi="Times New Roman" w:cs="Times New Roman"/>
                <w:b w:val="0"/>
                <w:bCs w:val="0"/>
                <w:color w:val="auto"/>
                <w:kern w:val="0"/>
                <w:sz w:val="24"/>
                <w:szCs w:val="24"/>
                <w:lang w:val="en-US" w:eastAsia="zh-CN" w:bidi="ar-SA"/>
              </w:rPr>
              <w:t>同比、环比均实现下降，成本竞争力进一步增强。</w:t>
            </w:r>
          </w:p>
          <w:p w14:paraId="5DF53C96">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default" w:ascii="Times New Roman" w:hAnsi="Times New Roman" w:cs="Times New Roman"/>
                <w:b w:val="0"/>
                <w:bCs w:val="0"/>
                <w:color w:val="auto"/>
                <w:kern w:val="0"/>
                <w:sz w:val="24"/>
                <w:szCs w:val="24"/>
                <w:lang w:val="en-US" w:eastAsia="zh-CN" w:bidi="ar-SA"/>
              </w:rPr>
            </w:pPr>
            <w:r>
              <w:rPr>
                <w:rFonts w:hint="default" w:ascii="Times New Roman" w:hAnsi="Times New Roman" w:cs="Times New Roman"/>
                <w:b w:val="0"/>
                <w:bCs w:val="0"/>
                <w:color w:val="auto"/>
                <w:kern w:val="0"/>
                <w:sz w:val="24"/>
                <w:szCs w:val="24"/>
                <w:lang w:val="en-US" w:eastAsia="zh-CN" w:bidi="ar-SA"/>
              </w:rPr>
              <w:t>财务方面，公司财务结构保持稳健。资产负债率处于行业较低水平，</w:t>
            </w:r>
            <w:r>
              <w:rPr>
                <w:rFonts w:hint="eastAsia" w:ascii="Times New Roman" w:hAnsi="Times New Roman" w:cs="Times New Roman"/>
                <w:b w:val="0"/>
                <w:bCs w:val="0"/>
                <w:color w:val="auto"/>
                <w:kern w:val="0"/>
                <w:sz w:val="24"/>
                <w:szCs w:val="24"/>
                <w:lang w:val="en-US" w:eastAsia="zh-CN" w:bidi="ar-SA"/>
              </w:rPr>
              <w:t>在手资金</w:t>
            </w:r>
            <w:r>
              <w:rPr>
                <w:rFonts w:hint="default" w:ascii="Times New Roman" w:hAnsi="Times New Roman" w:cs="Times New Roman"/>
                <w:b w:val="0"/>
                <w:bCs w:val="0"/>
                <w:color w:val="auto"/>
                <w:kern w:val="0"/>
                <w:sz w:val="24"/>
                <w:szCs w:val="24"/>
                <w:lang w:val="en-US" w:eastAsia="zh-CN" w:bidi="ar-SA"/>
              </w:rPr>
              <w:t>储备充足，为应对行业周期、把握未来市场机遇提供了有力的资金支持。</w:t>
            </w:r>
          </w:p>
          <w:p w14:paraId="6F26A029">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bookmarkStart w:id="5" w:name="OLE_LINK3"/>
            <w:r>
              <w:rPr>
                <w:rFonts w:hint="default" w:ascii="Times New Roman" w:hAnsi="Times New Roman" w:cs="Times New Roman"/>
                <w:b/>
                <w:bCs/>
                <w:color w:val="auto"/>
                <w:kern w:val="0"/>
                <w:sz w:val="24"/>
                <w:szCs w:val="24"/>
                <w:highlight w:val="none"/>
                <w:lang w:val="en-US" w:eastAsia="zh-CN" w:bidi="ar-SA"/>
              </w:rPr>
              <w:t>公司</w:t>
            </w:r>
            <w:r>
              <w:rPr>
                <w:rFonts w:hint="eastAsia" w:ascii="Times New Roman" w:hAnsi="Times New Roman" w:cs="Times New Roman"/>
                <w:b/>
                <w:bCs/>
                <w:color w:val="auto"/>
                <w:kern w:val="0"/>
                <w:sz w:val="24"/>
                <w:szCs w:val="24"/>
                <w:highlight w:val="none"/>
                <w:lang w:val="en-US" w:eastAsia="zh-CN" w:bidi="ar-SA"/>
              </w:rPr>
              <w:t>是否会考虑收购、并购其他多晶硅产能？</w:t>
            </w:r>
            <w:bookmarkEnd w:id="5"/>
          </w:p>
          <w:p w14:paraId="606DD13C">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eastAsia" w:ascii="Times New Roman" w:hAnsi="Times New Roman"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答：公司将持续关注行业发展趋势与市场动态，未来若出现符合主营业务发展方向、具备战略协同价值的优质标的，将在充分研判的基础上审慎研究相关并购机会。截至目前，公司暂无收购、并购其他多晶硅产能的相关计划。</w:t>
            </w:r>
          </w:p>
          <w:p w14:paraId="7072420A">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val="0"/>
                <w:bCs w:val="0"/>
                <w:i w:val="0"/>
                <w:iCs w:val="0"/>
                <w:caps w:val="0"/>
                <w:color w:val="333333"/>
                <w:spacing w:val="0"/>
                <w:sz w:val="24"/>
                <w:szCs w:val="24"/>
                <w:highlight w:val="none"/>
                <w:shd w:val="clear" w:fill="FFFFFF"/>
                <w:lang w:val="en-US" w:eastAsia="zh-CN"/>
              </w:rPr>
            </w:pPr>
            <w:bookmarkStart w:id="7" w:name="_GoBack"/>
            <w:bookmarkEnd w:id="7"/>
            <w:r>
              <w:rPr>
                <w:rFonts w:hint="default" w:ascii="Times New Roman" w:hAnsi="Times New Roman" w:cs="Times New Roman"/>
                <w:b/>
                <w:bCs/>
                <w:i w:val="0"/>
                <w:iCs w:val="0"/>
                <w:caps w:val="0"/>
                <w:color w:val="333333"/>
                <w:spacing w:val="0"/>
                <w:sz w:val="24"/>
                <w:szCs w:val="24"/>
                <w:highlight w:val="none"/>
                <w:shd w:val="clear" w:fill="FFFFFF"/>
                <w:lang w:val="en-US" w:eastAsia="zh-CN"/>
              </w:rPr>
              <w:t>公司</w:t>
            </w:r>
            <w:r>
              <w:rPr>
                <w:rFonts w:hint="eastAsia" w:ascii="Times New Roman" w:hAnsi="Times New Roman" w:cs="Times New Roman"/>
                <w:b/>
                <w:bCs/>
                <w:i w:val="0"/>
                <w:iCs w:val="0"/>
                <w:caps w:val="0"/>
                <w:color w:val="333333"/>
                <w:spacing w:val="0"/>
                <w:sz w:val="24"/>
                <w:szCs w:val="24"/>
                <w:highlight w:val="none"/>
                <w:shd w:val="clear" w:fill="FFFFFF"/>
                <w:lang w:val="en-US" w:eastAsia="zh-CN"/>
              </w:rPr>
              <w:t>如何展望2026年的光伏装机需求和产品价格走势？公司如何应对未来的市场变化？</w:t>
            </w:r>
          </w:p>
          <w:p w14:paraId="203AAAD4">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i w:val="0"/>
                <w:iCs w:val="0"/>
                <w:caps w:val="0"/>
                <w:color w:val="333333"/>
                <w:spacing w:val="0"/>
                <w:sz w:val="24"/>
                <w:szCs w:val="24"/>
                <w:shd w:val="clear" w:fill="FFFFFF"/>
                <w:lang w:val="en-US" w:eastAsia="zh-CN"/>
              </w:rPr>
            </w:pPr>
            <w:r>
              <w:rPr>
                <w:rFonts w:hint="default" w:ascii="Times New Roman" w:hAnsi="Times New Roman" w:cs="Times New Roman"/>
                <w:b w:val="0"/>
                <w:bCs w:val="0"/>
                <w:i w:val="0"/>
                <w:iCs w:val="0"/>
                <w:caps w:val="0"/>
                <w:color w:val="333333"/>
                <w:spacing w:val="0"/>
                <w:sz w:val="24"/>
                <w:szCs w:val="24"/>
                <w:shd w:val="clear" w:fill="FFFFFF"/>
                <w:lang w:val="en-US" w:eastAsia="zh-CN"/>
              </w:rPr>
              <w:t>答：</w:t>
            </w:r>
            <w:r>
              <w:rPr>
                <w:rFonts w:hint="eastAsia" w:ascii="Times New Roman" w:hAnsi="Times New Roman" w:cs="Times New Roman"/>
                <w:b w:val="0"/>
                <w:bCs w:val="0"/>
                <w:i w:val="0"/>
                <w:iCs w:val="0"/>
                <w:caps w:val="0"/>
                <w:color w:val="333333"/>
                <w:spacing w:val="0"/>
                <w:sz w:val="24"/>
                <w:szCs w:val="24"/>
                <w:shd w:val="clear" w:fill="FFFFFF"/>
                <w:lang w:val="en-US" w:eastAsia="zh-CN"/>
              </w:rPr>
              <w:t>根据中国光伏行业协会预测，2026 年全球光伏新增装机规模预计为500-667GW，其中中国市场新增装机预计为180-240GW，分别对应一般及乐观情景。全球光伏需求仍保持较高规模，中国光伏市场正由高速增长阶段迈向高质量发展阶段。</w:t>
            </w:r>
          </w:p>
          <w:p w14:paraId="77CA7D75">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i w:val="0"/>
                <w:iCs w:val="0"/>
                <w:caps w:val="0"/>
                <w:color w:val="333333"/>
                <w:spacing w:val="0"/>
                <w:sz w:val="24"/>
                <w:szCs w:val="24"/>
                <w:shd w:val="clear" w:fill="FFFFFF"/>
                <w:lang w:val="en-US" w:eastAsia="zh-CN"/>
              </w:rPr>
            </w:pPr>
            <w:r>
              <w:rPr>
                <w:rFonts w:hint="default" w:ascii="Times New Roman" w:hAnsi="Times New Roman" w:cs="Times New Roman"/>
                <w:b w:val="0"/>
                <w:bCs w:val="0"/>
                <w:i w:val="0"/>
                <w:iCs w:val="0"/>
                <w:caps w:val="0"/>
                <w:color w:val="333333"/>
                <w:spacing w:val="0"/>
                <w:sz w:val="24"/>
                <w:szCs w:val="24"/>
                <w:shd w:val="clear" w:fill="FFFFFF"/>
                <w:lang w:val="en-US" w:eastAsia="zh-CN"/>
              </w:rPr>
              <w:t>多晶硅价格走势受行业供需格局、上下游库存情况、终端光伏装机需求、产能出清进度，叠加原材料成本波动、光伏产业政策调整等多重因素共同作用。公司将基于对市场情况的研判，持续进行降本增效、巩固核心竞争优势</w:t>
            </w:r>
            <w:r>
              <w:rPr>
                <w:rFonts w:hint="eastAsia" w:ascii="Times New Roman" w:hAnsi="Times New Roman" w:cs="Times New Roman"/>
                <w:b w:val="0"/>
                <w:bCs w:val="0"/>
                <w:i w:val="0"/>
                <w:iCs w:val="0"/>
                <w:caps w:val="0"/>
                <w:color w:val="333333"/>
                <w:spacing w:val="0"/>
                <w:sz w:val="24"/>
                <w:szCs w:val="24"/>
                <w:shd w:val="clear" w:fill="FFFFFF"/>
                <w:lang w:val="en-US" w:eastAsia="zh-CN"/>
              </w:rPr>
              <w:t>；</w:t>
            </w:r>
            <w:r>
              <w:rPr>
                <w:rFonts w:hint="default" w:ascii="Times New Roman" w:hAnsi="Times New Roman" w:cs="Times New Roman"/>
                <w:b w:val="0"/>
                <w:bCs w:val="0"/>
                <w:i w:val="0"/>
                <w:iCs w:val="0"/>
                <w:caps w:val="0"/>
                <w:color w:val="333333"/>
                <w:spacing w:val="0"/>
                <w:sz w:val="24"/>
                <w:szCs w:val="24"/>
                <w:shd w:val="clear" w:fill="FFFFFF"/>
                <w:lang w:val="en-US" w:eastAsia="zh-CN"/>
              </w:rPr>
              <w:t>保持稳健的</w:t>
            </w:r>
            <w:r>
              <w:rPr>
                <w:rFonts w:hint="eastAsia" w:ascii="Times New Roman" w:hAnsi="Times New Roman" w:cs="Times New Roman"/>
                <w:b w:val="0"/>
                <w:bCs w:val="0"/>
                <w:i w:val="0"/>
                <w:iCs w:val="0"/>
                <w:caps w:val="0"/>
                <w:color w:val="333333"/>
                <w:spacing w:val="0"/>
                <w:sz w:val="24"/>
                <w:szCs w:val="24"/>
                <w:shd w:val="clear" w:fill="FFFFFF"/>
                <w:lang w:val="en-US" w:eastAsia="zh-CN"/>
              </w:rPr>
              <w:t>财务策略</w:t>
            </w:r>
            <w:r>
              <w:rPr>
                <w:rFonts w:hint="default" w:ascii="Times New Roman" w:hAnsi="Times New Roman" w:cs="Times New Roman"/>
                <w:b w:val="0"/>
                <w:bCs w:val="0"/>
                <w:i w:val="0"/>
                <w:iCs w:val="0"/>
                <w:caps w:val="0"/>
                <w:color w:val="333333"/>
                <w:spacing w:val="0"/>
                <w:sz w:val="24"/>
                <w:szCs w:val="24"/>
                <w:shd w:val="clear" w:fill="FFFFFF"/>
                <w:lang w:val="en-US" w:eastAsia="zh-CN"/>
              </w:rPr>
              <w:t>，维持充沛的现金与低资产负债率</w:t>
            </w:r>
            <w:r>
              <w:rPr>
                <w:rFonts w:hint="eastAsia" w:ascii="Times New Roman" w:hAnsi="Times New Roman" w:cs="Times New Roman"/>
                <w:b w:val="0"/>
                <w:bCs w:val="0"/>
                <w:i w:val="0"/>
                <w:iCs w:val="0"/>
                <w:caps w:val="0"/>
                <w:color w:val="333333"/>
                <w:spacing w:val="0"/>
                <w:sz w:val="24"/>
                <w:szCs w:val="24"/>
                <w:shd w:val="clear" w:fill="FFFFFF"/>
                <w:lang w:val="en-US" w:eastAsia="zh-CN"/>
              </w:rPr>
              <w:t>；</w:t>
            </w:r>
            <w:r>
              <w:rPr>
                <w:rFonts w:hint="default" w:ascii="Times New Roman" w:hAnsi="Times New Roman" w:cs="Times New Roman"/>
                <w:b w:val="0"/>
                <w:bCs w:val="0"/>
                <w:i w:val="0"/>
                <w:iCs w:val="0"/>
                <w:caps w:val="0"/>
                <w:color w:val="333333"/>
                <w:spacing w:val="0"/>
                <w:sz w:val="24"/>
                <w:szCs w:val="24"/>
                <w:shd w:val="clear" w:fill="FFFFFF"/>
                <w:lang w:val="en-US" w:eastAsia="zh-CN"/>
              </w:rPr>
              <w:t>灵活调整生产与销售策略，提高运营效率</w:t>
            </w:r>
            <w:r>
              <w:rPr>
                <w:rFonts w:hint="eastAsia" w:ascii="Times New Roman" w:hAnsi="Times New Roman" w:cs="Times New Roman"/>
                <w:b w:val="0"/>
                <w:bCs w:val="0"/>
                <w:i w:val="0"/>
                <w:iCs w:val="0"/>
                <w:caps w:val="0"/>
                <w:color w:val="333333"/>
                <w:spacing w:val="0"/>
                <w:sz w:val="24"/>
                <w:szCs w:val="24"/>
                <w:shd w:val="clear" w:fill="FFFFFF"/>
                <w:lang w:val="en-US" w:eastAsia="zh-CN"/>
              </w:rPr>
              <w:t>，以</w:t>
            </w:r>
            <w:r>
              <w:rPr>
                <w:rFonts w:hint="default" w:ascii="Times New Roman" w:hAnsi="Times New Roman" w:cs="Times New Roman"/>
                <w:b w:val="0"/>
                <w:bCs w:val="0"/>
                <w:i w:val="0"/>
                <w:iCs w:val="0"/>
                <w:caps w:val="0"/>
                <w:color w:val="333333"/>
                <w:spacing w:val="0"/>
                <w:sz w:val="24"/>
                <w:szCs w:val="24"/>
                <w:shd w:val="clear" w:fill="FFFFFF"/>
                <w:lang w:val="en-US" w:eastAsia="zh-CN"/>
              </w:rPr>
              <w:t>积极应对市场变化。</w:t>
            </w:r>
          </w:p>
          <w:p w14:paraId="00FB236B">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近期市场对太空光伏关注度较高，请问公司目前是否有相关业务？</w:t>
            </w:r>
          </w:p>
          <w:p w14:paraId="3A9E64EA">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bookmarkStart w:id="6" w:name="OLE_LINK4"/>
            <w:r>
              <w:rPr>
                <w:rFonts w:hint="eastAsia" w:ascii="Times New Roman" w:hAnsi="Times New Roman" w:cs="Times New Roman"/>
                <w:b w:val="0"/>
                <w:bCs w:val="0"/>
                <w:color w:val="auto"/>
                <w:kern w:val="0"/>
                <w:sz w:val="24"/>
                <w:szCs w:val="24"/>
                <w:highlight w:val="none"/>
                <w:lang w:val="en-US" w:eastAsia="zh-CN" w:bidi="ar-SA"/>
              </w:rPr>
              <w:t>答：公司主营业务聚焦于高纯多晶硅产品的研发、生产与销售，目前核心匹配是以地面光伏大规模装机需求为主，</w:t>
            </w:r>
            <w:r>
              <w:rPr>
                <w:rFonts w:ascii="宋体" w:hAnsi="宋体" w:eastAsia="宋体" w:cs="宋体"/>
                <w:sz w:val="24"/>
                <w:szCs w:val="24"/>
              </w:rPr>
              <w:t>而太空光伏因</w:t>
            </w:r>
            <w:r>
              <w:rPr>
                <w:rFonts w:hint="eastAsia" w:ascii="宋体" w:hAnsi="宋体" w:eastAsia="宋体" w:cs="宋体"/>
                <w:sz w:val="24"/>
                <w:szCs w:val="24"/>
                <w:lang w:val="en-US" w:eastAsia="zh-CN"/>
              </w:rPr>
              <w:t>其</w:t>
            </w:r>
            <w:r>
              <w:rPr>
                <w:rFonts w:ascii="宋体" w:hAnsi="宋体" w:eastAsia="宋体" w:cs="宋体"/>
                <w:sz w:val="24"/>
                <w:szCs w:val="24"/>
              </w:rPr>
              <w:t>应用场景</w:t>
            </w:r>
            <w:r>
              <w:rPr>
                <w:rFonts w:hint="eastAsia" w:ascii="宋体" w:hAnsi="宋体" w:eastAsia="宋体" w:cs="宋体"/>
                <w:sz w:val="24"/>
                <w:szCs w:val="24"/>
                <w:lang w:eastAsia="zh-CN"/>
              </w:rPr>
              <w:t>的</w:t>
            </w:r>
            <w:r>
              <w:rPr>
                <w:rFonts w:ascii="宋体" w:hAnsi="宋体" w:eastAsia="宋体" w:cs="宋体"/>
                <w:sz w:val="24"/>
                <w:szCs w:val="24"/>
              </w:rPr>
              <w:t>特殊</w:t>
            </w:r>
            <w:r>
              <w:rPr>
                <w:rFonts w:hint="eastAsia" w:ascii="宋体" w:hAnsi="宋体" w:eastAsia="宋体" w:cs="宋体"/>
                <w:sz w:val="24"/>
                <w:szCs w:val="24"/>
                <w:lang w:val="en-US" w:eastAsia="zh-CN"/>
              </w:rPr>
              <w:t>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对材料的使用要求与地面光伏场景有所差异，</w:t>
            </w:r>
            <w:r>
              <w:rPr>
                <w:rFonts w:hint="eastAsia" w:ascii="Times New Roman" w:hAnsi="Times New Roman" w:cs="Times New Roman"/>
                <w:b w:val="0"/>
                <w:bCs w:val="0"/>
                <w:color w:val="auto"/>
                <w:kern w:val="0"/>
                <w:sz w:val="24"/>
                <w:szCs w:val="24"/>
                <w:highlight w:val="none"/>
                <w:lang w:val="en-US" w:eastAsia="zh-CN" w:bidi="ar-SA"/>
              </w:rPr>
              <w:t>但是太空光伏作为光伏产业突破场景限制、重构能源应用逻辑的重要方向，其长远发展价值、产业潜力拓展空间值得期待。</w:t>
            </w:r>
            <w:bookmarkEnd w:id="4"/>
          </w:p>
          <w:p w14:paraId="1F4064F7">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公司会持续关注太空光伏领域的技术突破、材料需求迭代及商业化落地节奏，未来若该赛道技术路径清晰化，或出现公司产品关联应用的切入点，公司会结合自身战略发展节奏，审慎评估并积极探索布局机会。</w:t>
            </w:r>
          </w:p>
          <w:bookmarkEnd w:id="6"/>
          <w:p w14:paraId="5301E33C">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default" w:ascii="Times New Roman" w:hAnsi="Times New Roman" w:cs="Times New Roman"/>
                <w:b/>
                <w:bCs/>
                <w:color w:val="auto"/>
                <w:kern w:val="0"/>
                <w:sz w:val="24"/>
                <w:szCs w:val="24"/>
                <w:highlight w:val="none"/>
                <w:lang w:val="en-US" w:eastAsia="zh-CN" w:bidi="ar-SA"/>
              </w:rPr>
              <w:t>公司回购进展如何？</w:t>
            </w:r>
          </w:p>
          <w:p w14:paraId="0BBCE9DE">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yellow"/>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答：截至 2026年1月31日，公司通过上海证券交易所交易系统以集中竞价交易方式累计回购公司股份1,135,717股，支付的资金总额为人民币28,994,925.98 元。</w:t>
            </w:r>
            <w:r>
              <w:rPr>
                <w:rFonts w:hint="default" w:ascii="Times New Roman" w:hAnsi="Times New Roman" w:cs="Times New Roman"/>
                <w:b w:val="0"/>
                <w:bCs w:val="0"/>
                <w:color w:val="auto"/>
                <w:kern w:val="0"/>
                <w:sz w:val="24"/>
                <w:szCs w:val="24"/>
                <w:highlight w:val="none"/>
                <w:lang w:val="en-US" w:eastAsia="zh-CN" w:bidi="ar-SA"/>
              </w:rPr>
              <w:t>公司将严格按照《上市公司股份回购规则》《上海证券交易所上市公司自律监管指引第 7 号</w:t>
            </w:r>
            <w:r>
              <w:rPr>
                <w:rFonts w:hint="eastAsia" w:ascii="Times New Roman" w:hAnsi="Times New Roman" w:cs="Times New Roman"/>
                <w:b w:val="0"/>
                <w:bCs w:val="0"/>
                <w:color w:val="auto"/>
                <w:kern w:val="0"/>
                <w:sz w:val="24"/>
                <w:szCs w:val="24"/>
                <w:highlight w:val="none"/>
                <w:lang w:val="en-US" w:eastAsia="zh-CN" w:bidi="ar-SA"/>
              </w:rPr>
              <w:t>——</w:t>
            </w:r>
            <w:r>
              <w:rPr>
                <w:rFonts w:hint="default" w:ascii="Times New Roman" w:hAnsi="Times New Roman" w:cs="Times New Roman"/>
                <w:b w:val="0"/>
                <w:bCs w:val="0"/>
                <w:color w:val="auto"/>
                <w:kern w:val="0"/>
                <w:sz w:val="24"/>
                <w:szCs w:val="24"/>
                <w:highlight w:val="none"/>
                <w:lang w:val="en-US" w:eastAsia="zh-CN" w:bidi="ar-SA"/>
              </w:rPr>
              <w:t>回购股份》等相关规定，在回购期限内根据市场情况择机做出回购决策并予以实施，同时根据回购股份事项进展情况及时履行信息披露义务。</w:t>
            </w:r>
          </w:p>
        </w:tc>
      </w:tr>
      <w:tr w14:paraId="38D9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56" w:type="dxa"/>
            <w:shd w:val="clear" w:color="auto" w:fill="auto"/>
            <w:vAlign w:val="center"/>
          </w:tcPr>
          <w:p w14:paraId="6DC1234A">
            <w:pPr>
              <w:jc w:val="center"/>
              <w:rPr>
                <w:rFonts w:hint="default" w:ascii="Times New Roman" w:hAnsi="Times New Roman" w:eastAsia="宋体" w:cs="Times New Roman"/>
                <w:b/>
                <w:kern w:val="0"/>
                <w:sz w:val="24"/>
                <w:szCs w:val="24"/>
                <w:lang w:val="en-US" w:eastAsia="zh-CN" w:bidi="ar-SA"/>
              </w:rPr>
            </w:pPr>
            <w:r>
              <w:rPr>
                <w:rFonts w:hint="default" w:ascii="Times New Roman" w:hAnsi="Times New Roman" w:cs="Times New Roman"/>
                <w:b/>
                <w:sz w:val="24"/>
                <w:szCs w:val="24"/>
              </w:rPr>
              <w:t>风险提示</w:t>
            </w:r>
          </w:p>
        </w:tc>
        <w:tc>
          <w:tcPr>
            <w:tcW w:w="6666" w:type="dxa"/>
            <w:shd w:val="clear" w:color="auto" w:fill="auto"/>
            <w:vAlign w:val="center"/>
          </w:tcPr>
          <w:p w14:paraId="30E002DA">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
                <w:bCs/>
                <w:sz w:val="24"/>
                <w:szCs w:val="24"/>
              </w:rPr>
              <w:t>以上如涉及对行业的预测、公司发展战略规划等相关内容，不能视作公司或公司管理层对行业、公司发展的承诺和保证，敬请广大投资者注意投资风险。</w:t>
            </w:r>
          </w:p>
        </w:tc>
      </w:tr>
      <w:tr w14:paraId="3AB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56" w:type="dxa"/>
            <w:shd w:val="clear" w:color="auto" w:fill="auto"/>
            <w:vAlign w:val="center"/>
          </w:tcPr>
          <w:p w14:paraId="6488ACD2">
            <w:pPr>
              <w:jc w:val="center"/>
              <w:rPr>
                <w:rFonts w:hint="default" w:ascii="Times New Roman" w:hAnsi="Times New Roman" w:cs="Times New Roman"/>
                <w:b/>
                <w:sz w:val="24"/>
                <w:szCs w:val="24"/>
              </w:rPr>
            </w:pPr>
            <w:r>
              <w:rPr>
                <w:rFonts w:hint="default" w:ascii="Times New Roman" w:hAnsi="Times New Roman" w:cs="Times New Roman"/>
                <w:b/>
                <w:sz w:val="24"/>
                <w:szCs w:val="24"/>
              </w:rPr>
              <w:t>日期</w:t>
            </w:r>
          </w:p>
        </w:tc>
        <w:tc>
          <w:tcPr>
            <w:tcW w:w="6666" w:type="dxa"/>
            <w:shd w:val="clear" w:color="auto" w:fill="auto"/>
            <w:vAlign w:val="center"/>
          </w:tcPr>
          <w:p w14:paraId="59C56673">
            <w:pPr>
              <w:ind w:firstLine="204" w:firstLineChars="85"/>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cs="Times New Roman"/>
                <w:sz w:val="24"/>
                <w:szCs w:val="24"/>
                <w:lang w:val="en-US" w:eastAsia="zh-CN"/>
              </w:rPr>
              <w:t>2</w:t>
            </w:r>
            <w:r>
              <w:rPr>
                <w:rFonts w:hint="default" w:ascii="Times New Roman" w:hAnsi="Times New Roman" w:cs="Times New Roman"/>
                <w:sz w:val="24"/>
                <w:szCs w:val="24"/>
              </w:rPr>
              <w:t>月</w:t>
            </w:r>
            <w:r>
              <w:rPr>
                <w:rFonts w:hint="eastAsia" w:cs="Times New Roman"/>
                <w:sz w:val="24"/>
                <w:szCs w:val="24"/>
                <w:lang w:val="en-US" w:eastAsia="zh-CN"/>
              </w:rPr>
              <w:t>28</w:t>
            </w:r>
            <w:r>
              <w:rPr>
                <w:rFonts w:hint="default" w:ascii="Times New Roman" w:hAnsi="Times New Roman" w:cs="Times New Roman"/>
                <w:sz w:val="24"/>
                <w:szCs w:val="24"/>
                <w:lang w:val="en-US" w:eastAsia="zh-CN"/>
              </w:rPr>
              <w:t>日</w:t>
            </w:r>
          </w:p>
        </w:tc>
      </w:tr>
    </w:tbl>
    <w:p w14:paraId="3C1C547E">
      <w:pPr>
        <w:pStyle w:val="17"/>
        <w:ind w:left="0" w:leftChars="0" w:firstLine="0" w:firstLineChars="0"/>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FB1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A2F06">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A2F06">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4325D"/>
    <w:multiLevelType w:val="singleLevel"/>
    <w:tmpl w:val="E054325D"/>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YWM4ZGMxMWRhMDU1YjU4NmI2YTYyMDIxMTU4ZjcifQ=="/>
    <w:docVar w:name="KSO_WPS_MARK_KEY" w:val="9744ed95-e099-48c5-99b4-2a38b735fe23"/>
  </w:docVars>
  <w:rsids>
    <w:rsidRoot w:val="009543BA"/>
    <w:rsid w:val="00016021"/>
    <w:rsid w:val="0002218E"/>
    <w:rsid w:val="00084462"/>
    <w:rsid w:val="000A02A2"/>
    <w:rsid w:val="001740DA"/>
    <w:rsid w:val="002D268D"/>
    <w:rsid w:val="002E0130"/>
    <w:rsid w:val="00306310"/>
    <w:rsid w:val="00384B92"/>
    <w:rsid w:val="003B72A8"/>
    <w:rsid w:val="00470E82"/>
    <w:rsid w:val="00525711"/>
    <w:rsid w:val="007F48F7"/>
    <w:rsid w:val="00801414"/>
    <w:rsid w:val="008A3773"/>
    <w:rsid w:val="009543BA"/>
    <w:rsid w:val="009E3578"/>
    <w:rsid w:val="00A245A2"/>
    <w:rsid w:val="00A245B4"/>
    <w:rsid w:val="00A824DD"/>
    <w:rsid w:val="00AC40B5"/>
    <w:rsid w:val="00B85C06"/>
    <w:rsid w:val="00BC27E1"/>
    <w:rsid w:val="00C80206"/>
    <w:rsid w:val="00D1567A"/>
    <w:rsid w:val="00D91E6C"/>
    <w:rsid w:val="00DB330E"/>
    <w:rsid w:val="00E166B7"/>
    <w:rsid w:val="00E434B8"/>
    <w:rsid w:val="00EF1A16"/>
    <w:rsid w:val="00F7100C"/>
    <w:rsid w:val="00FE4F04"/>
    <w:rsid w:val="010C0073"/>
    <w:rsid w:val="01BA04E4"/>
    <w:rsid w:val="020B6A0C"/>
    <w:rsid w:val="02182655"/>
    <w:rsid w:val="02C1374A"/>
    <w:rsid w:val="032D26DE"/>
    <w:rsid w:val="03B66504"/>
    <w:rsid w:val="03E11DFE"/>
    <w:rsid w:val="04253689"/>
    <w:rsid w:val="043F5083"/>
    <w:rsid w:val="04C602E0"/>
    <w:rsid w:val="050D65F7"/>
    <w:rsid w:val="05216642"/>
    <w:rsid w:val="057C0D10"/>
    <w:rsid w:val="06486A8B"/>
    <w:rsid w:val="06691F53"/>
    <w:rsid w:val="068E6E0A"/>
    <w:rsid w:val="069C7F0D"/>
    <w:rsid w:val="06A64813"/>
    <w:rsid w:val="06C278B5"/>
    <w:rsid w:val="06FC4E78"/>
    <w:rsid w:val="072365A6"/>
    <w:rsid w:val="073922DA"/>
    <w:rsid w:val="076646E5"/>
    <w:rsid w:val="07697D31"/>
    <w:rsid w:val="07746E01"/>
    <w:rsid w:val="07782440"/>
    <w:rsid w:val="080041F1"/>
    <w:rsid w:val="080C703A"/>
    <w:rsid w:val="081C08FB"/>
    <w:rsid w:val="08284B72"/>
    <w:rsid w:val="08DD4532"/>
    <w:rsid w:val="08E753B1"/>
    <w:rsid w:val="092258F8"/>
    <w:rsid w:val="0933275D"/>
    <w:rsid w:val="095E2640"/>
    <w:rsid w:val="09B259BF"/>
    <w:rsid w:val="09EA213F"/>
    <w:rsid w:val="0A1D37C1"/>
    <w:rsid w:val="0A4C1970"/>
    <w:rsid w:val="0A832A87"/>
    <w:rsid w:val="0ACE05D7"/>
    <w:rsid w:val="0B8D0492"/>
    <w:rsid w:val="0BBF153D"/>
    <w:rsid w:val="0BF47BED"/>
    <w:rsid w:val="0C210BDA"/>
    <w:rsid w:val="0C22507E"/>
    <w:rsid w:val="0C48260B"/>
    <w:rsid w:val="0CEE1657"/>
    <w:rsid w:val="0CF61A8A"/>
    <w:rsid w:val="0CF75E98"/>
    <w:rsid w:val="0DCE2E9E"/>
    <w:rsid w:val="0DD864EF"/>
    <w:rsid w:val="0DE079FA"/>
    <w:rsid w:val="0DE51060"/>
    <w:rsid w:val="0E002589"/>
    <w:rsid w:val="0E121122"/>
    <w:rsid w:val="0E211365"/>
    <w:rsid w:val="0E99714E"/>
    <w:rsid w:val="0E9B1E28"/>
    <w:rsid w:val="0EBE0962"/>
    <w:rsid w:val="0ED10695"/>
    <w:rsid w:val="0F001A96"/>
    <w:rsid w:val="0F3B6457"/>
    <w:rsid w:val="0F553B85"/>
    <w:rsid w:val="0FED7751"/>
    <w:rsid w:val="101A031D"/>
    <w:rsid w:val="10D01FDB"/>
    <w:rsid w:val="10E87F18"/>
    <w:rsid w:val="10EA0134"/>
    <w:rsid w:val="10FA6071"/>
    <w:rsid w:val="110411F6"/>
    <w:rsid w:val="112206A6"/>
    <w:rsid w:val="113F59F6"/>
    <w:rsid w:val="1156182E"/>
    <w:rsid w:val="11785740"/>
    <w:rsid w:val="11F849BE"/>
    <w:rsid w:val="121460C3"/>
    <w:rsid w:val="1222745A"/>
    <w:rsid w:val="123B54AB"/>
    <w:rsid w:val="12891287"/>
    <w:rsid w:val="12E764B7"/>
    <w:rsid w:val="13A02D2C"/>
    <w:rsid w:val="13D675B8"/>
    <w:rsid w:val="1420412F"/>
    <w:rsid w:val="14B63572"/>
    <w:rsid w:val="14C96572"/>
    <w:rsid w:val="14DA34FB"/>
    <w:rsid w:val="14F6421B"/>
    <w:rsid w:val="155F2836"/>
    <w:rsid w:val="15724254"/>
    <w:rsid w:val="159D5775"/>
    <w:rsid w:val="15C46ECC"/>
    <w:rsid w:val="15EC04AB"/>
    <w:rsid w:val="16461969"/>
    <w:rsid w:val="16CD208A"/>
    <w:rsid w:val="16D04334"/>
    <w:rsid w:val="16EE3C9A"/>
    <w:rsid w:val="17254582"/>
    <w:rsid w:val="174B1B73"/>
    <w:rsid w:val="178D5A10"/>
    <w:rsid w:val="17C74E1D"/>
    <w:rsid w:val="17F35371"/>
    <w:rsid w:val="180C7535"/>
    <w:rsid w:val="185C03F8"/>
    <w:rsid w:val="1889721A"/>
    <w:rsid w:val="1899795C"/>
    <w:rsid w:val="18B3705E"/>
    <w:rsid w:val="18F421FA"/>
    <w:rsid w:val="19120F75"/>
    <w:rsid w:val="19793E03"/>
    <w:rsid w:val="19C05FE4"/>
    <w:rsid w:val="1A1E0DCC"/>
    <w:rsid w:val="1A442A66"/>
    <w:rsid w:val="1AAC1FB7"/>
    <w:rsid w:val="1AE81873"/>
    <w:rsid w:val="1BA57132"/>
    <w:rsid w:val="1BCF77FF"/>
    <w:rsid w:val="1C3A12E6"/>
    <w:rsid w:val="1C456532"/>
    <w:rsid w:val="1C8E406A"/>
    <w:rsid w:val="1C940F54"/>
    <w:rsid w:val="1CB83E9F"/>
    <w:rsid w:val="1CC932F4"/>
    <w:rsid w:val="1D2B0F6C"/>
    <w:rsid w:val="1D304A69"/>
    <w:rsid w:val="1D3E783E"/>
    <w:rsid w:val="1D4665DA"/>
    <w:rsid w:val="1D666D95"/>
    <w:rsid w:val="1D684E70"/>
    <w:rsid w:val="1D7768AC"/>
    <w:rsid w:val="1DE55F0B"/>
    <w:rsid w:val="1DEA3522"/>
    <w:rsid w:val="1E05331F"/>
    <w:rsid w:val="1E380731"/>
    <w:rsid w:val="1EF06916"/>
    <w:rsid w:val="1F325180"/>
    <w:rsid w:val="1F345854"/>
    <w:rsid w:val="1F4C5154"/>
    <w:rsid w:val="1F5466D3"/>
    <w:rsid w:val="1F68119F"/>
    <w:rsid w:val="1F704E11"/>
    <w:rsid w:val="1FD52EB0"/>
    <w:rsid w:val="1FEC7D94"/>
    <w:rsid w:val="20191E9C"/>
    <w:rsid w:val="20653333"/>
    <w:rsid w:val="20E42B11"/>
    <w:rsid w:val="21350F58"/>
    <w:rsid w:val="21355D04"/>
    <w:rsid w:val="21A30D62"/>
    <w:rsid w:val="21B31E7D"/>
    <w:rsid w:val="21BC068A"/>
    <w:rsid w:val="21C92738"/>
    <w:rsid w:val="21E07451"/>
    <w:rsid w:val="21E94280"/>
    <w:rsid w:val="22364F87"/>
    <w:rsid w:val="223D08D7"/>
    <w:rsid w:val="22602004"/>
    <w:rsid w:val="228D4E06"/>
    <w:rsid w:val="22A3046A"/>
    <w:rsid w:val="22C35463"/>
    <w:rsid w:val="22DB000E"/>
    <w:rsid w:val="23160915"/>
    <w:rsid w:val="23311652"/>
    <w:rsid w:val="235755D2"/>
    <w:rsid w:val="237911D4"/>
    <w:rsid w:val="237C4FE1"/>
    <w:rsid w:val="23B048C6"/>
    <w:rsid w:val="23C45431"/>
    <w:rsid w:val="23D6056F"/>
    <w:rsid w:val="24241CC0"/>
    <w:rsid w:val="246057D0"/>
    <w:rsid w:val="24952361"/>
    <w:rsid w:val="24A34325"/>
    <w:rsid w:val="24DE247B"/>
    <w:rsid w:val="25162E4E"/>
    <w:rsid w:val="252B1830"/>
    <w:rsid w:val="254730DF"/>
    <w:rsid w:val="255521CD"/>
    <w:rsid w:val="2593624D"/>
    <w:rsid w:val="26473DB9"/>
    <w:rsid w:val="26600825"/>
    <w:rsid w:val="26C11752"/>
    <w:rsid w:val="273677D8"/>
    <w:rsid w:val="2793077B"/>
    <w:rsid w:val="28053934"/>
    <w:rsid w:val="286C4189"/>
    <w:rsid w:val="28E53ED3"/>
    <w:rsid w:val="28EB12EF"/>
    <w:rsid w:val="292E4C0A"/>
    <w:rsid w:val="29595305"/>
    <w:rsid w:val="29686FB1"/>
    <w:rsid w:val="298E6E7F"/>
    <w:rsid w:val="29F85409"/>
    <w:rsid w:val="29FB2C9C"/>
    <w:rsid w:val="2A494AE3"/>
    <w:rsid w:val="2A57080F"/>
    <w:rsid w:val="2AF53506"/>
    <w:rsid w:val="2AF65BAE"/>
    <w:rsid w:val="2B0741DE"/>
    <w:rsid w:val="2B201FFC"/>
    <w:rsid w:val="2B3C3CFC"/>
    <w:rsid w:val="2BD51703"/>
    <w:rsid w:val="2BED61CA"/>
    <w:rsid w:val="2C482373"/>
    <w:rsid w:val="2C7A5D3F"/>
    <w:rsid w:val="2CAB2CBB"/>
    <w:rsid w:val="2CB20E1B"/>
    <w:rsid w:val="2D4516F5"/>
    <w:rsid w:val="2D5269EE"/>
    <w:rsid w:val="2E183166"/>
    <w:rsid w:val="2E2B3D7D"/>
    <w:rsid w:val="2E3F73B2"/>
    <w:rsid w:val="2E433BD4"/>
    <w:rsid w:val="2E450B99"/>
    <w:rsid w:val="2E833314"/>
    <w:rsid w:val="2EB72FAC"/>
    <w:rsid w:val="2ED51684"/>
    <w:rsid w:val="2F0361F1"/>
    <w:rsid w:val="2F0A1CD2"/>
    <w:rsid w:val="300F0BC6"/>
    <w:rsid w:val="30141434"/>
    <w:rsid w:val="301B3E9D"/>
    <w:rsid w:val="303B135D"/>
    <w:rsid w:val="30411766"/>
    <w:rsid w:val="30656A38"/>
    <w:rsid w:val="30EB77A1"/>
    <w:rsid w:val="311D6658"/>
    <w:rsid w:val="31386792"/>
    <w:rsid w:val="319943C6"/>
    <w:rsid w:val="31A30A4A"/>
    <w:rsid w:val="31D6746F"/>
    <w:rsid w:val="32476D3D"/>
    <w:rsid w:val="327D275F"/>
    <w:rsid w:val="329A34F9"/>
    <w:rsid w:val="32A45F3D"/>
    <w:rsid w:val="32BF4133"/>
    <w:rsid w:val="32D0306E"/>
    <w:rsid w:val="332477A8"/>
    <w:rsid w:val="33715E85"/>
    <w:rsid w:val="3379483E"/>
    <w:rsid w:val="33B65F28"/>
    <w:rsid w:val="33D463AE"/>
    <w:rsid w:val="34144C3F"/>
    <w:rsid w:val="34203644"/>
    <w:rsid w:val="34232F74"/>
    <w:rsid w:val="345469C5"/>
    <w:rsid w:val="345C79CB"/>
    <w:rsid w:val="34E90E6C"/>
    <w:rsid w:val="34FA62E8"/>
    <w:rsid w:val="352256B5"/>
    <w:rsid w:val="352B46F4"/>
    <w:rsid w:val="357A2F85"/>
    <w:rsid w:val="358A27C1"/>
    <w:rsid w:val="358B46D1"/>
    <w:rsid w:val="35D42696"/>
    <w:rsid w:val="35D501BC"/>
    <w:rsid w:val="36401AD9"/>
    <w:rsid w:val="365740F9"/>
    <w:rsid w:val="36610D3B"/>
    <w:rsid w:val="36865309"/>
    <w:rsid w:val="36DE78BB"/>
    <w:rsid w:val="370D3891"/>
    <w:rsid w:val="371B2546"/>
    <w:rsid w:val="372C0A6A"/>
    <w:rsid w:val="37D502EF"/>
    <w:rsid w:val="37F76B0F"/>
    <w:rsid w:val="381C6BD2"/>
    <w:rsid w:val="38303AF2"/>
    <w:rsid w:val="38C62C27"/>
    <w:rsid w:val="38F00852"/>
    <w:rsid w:val="392E43AB"/>
    <w:rsid w:val="393769E8"/>
    <w:rsid w:val="393C3CE1"/>
    <w:rsid w:val="393F5A64"/>
    <w:rsid w:val="398D21EF"/>
    <w:rsid w:val="39911300"/>
    <w:rsid w:val="39DF17FD"/>
    <w:rsid w:val="3A4E0C27"/>
    <w:rsid w:val="3A660847"/>
    <w:rsid w:val="3AAA60BB"/>
    <w:rsid w:val="3ABF48FF"/>
    <w:rsid w:val="3AE55345"/>
    <w:rsid w:val="3AED32A5"/>
    <w:rsid w:val="3B6174EB"/>
    <w:rsid w:val="3B9B2B3A"/>
    <w:rsid w:val="3BA3045E"/>
    <w:rsid w:val="3C2A6DF9"/>
    <w:rsid w:val="3C807D22"/>
    <w:rsid w:val="3C9C0948"/>
    <w:rsid w:val="3CA62CFD"/>
    <w:rsid w:val="3CBB0420"/>
    <w:rsid w:val="3CD81A6B"/>
    <w:rsid w:val="3CE024D8"/>
    <w:rsid w:val="3CF153F9"/>
    <w:rsid w:val="3D0D0EE1"/>
    <w:rsid w:val="3D3879AE"/>
    <w:rsid w:val="3D9425AC"/>
    <w:rsid w:val="3DD60F75"/>
    <w:rsid w:val="3DD60F7C"/>
    <w:rsid w:val="3DD671C7"/>
    <w:rsid w:val="3E1C1EF6"/>
    <w:rsid w:val="3E3C34CE"/>
    <w:rsid w:val="3E3C7FE6"/>
    <w:rsid w:val="3EA177D5"/>
    <w:rsid w:val="3EDD6CD8"/>
    <w:rsid w:val="3F0C10F2"/>
    <w:rsid w:val="3F1B7587"/>
    <w:rsid w:val="3F9A6706"/>
    <w:rsid w:val="3FDD2DA4"/>
    <w:rsid w:val="401B44D0"/>
    <w:rsid w:val="403331ED"/>
    <w:rsid w:val="404D19C2"/>
    <w:rsid w:val="40645910"/>
    <w:rsid w:val="40A278CC"/>
    <w:rsid w:val="40E110F2"/>
    <w:rsid w:val="410B1366"/>
    <w:rsid w:val="41107BC1"/>
    <w:rsid w:val="412A5860"/>
    <w:rsid w:val="41714D8A"/>
    <w:rsid w:val="41A359E8"/>
    <w:rsid w:val="41FA741E"/>
    <w:rsid w:val="42024A2E"/>
    <w:rsid w:val="42070318"/>
    <w:rsid w:val="421877CE"/>
    <w:rsid w:val="42265860"/>
    <w:rsid w:val="42274AC7"/>
    <w:rsid w:val="42440BA3"/>
    <w:rsid w:val="42A45AE6"/>
    <w:rsid w:val="42CE1845"/>
    <w:rsid w:val="430965FA"/>
    <w:rsid w:val="431C567C"/>
    <w:rsid w:val="4335673E"/>
    <w:rsid w:val="437A1BA2"/>
    <w:rsid w:val="43B00525"/>
    <w:rsid w:val="44305883"/>
    <w:rsid w:val="44337121"/>
    <w:rsid w:val="44D035AC"/>
    <w:rsid w:val="44DB34F6"/>
    <w:rsid w:val="450B3ED7"/>
    <w:rsid w:val="45361227"/>
    <w:rsid w:val="4541586E"/>
    <w:rsid w:val="45765517"/>
    <w:rsid w:val="458B6F1A"/>
    <w:rsid w:val="45966D83"/>
    <w:rsid w:val="45CB4ADB"/>
    <w:rsid w:val="45DD06E1"/>
    <w:rsid w:val="464253F9"/>
    <w:rsid w:val="46720027"/>
    <w:rsid w:val="47021D7C"/>
    <w:rsid w:val="47264849"/>
    <w:rsid w:val="47467536"/>
    <w:rsid w:val="477E6905"/>
    <w:rsid w:val="47A940DA"/>
    <w:rsid w:val="47D1716B"/>
    <w:rsid w:val="47F15951"/>
    <w:rsid w:val="480A2EC3"/>
    <w:rsid w:val="481F3F04"/>
    <w:rsid w:val="483714DD"/>
    <w:rsid w:val="486024AF"/>
    <w:rsid w:val="488315CD"/>
    <w:rsid w:val="488E19A2"/>
    <w:rsid w:val="48D569F9"/>
    <w:rsid w:val="492C0A93"/>
    <w:rsid w:val="49713590"/>
    <w:rsid w:val="49B17AC3"/>
    <w:rsid w:val="49F94308"/>
    <w:rsid w:val="4A0C644A"/>
    <w:rsid w:val="4A987CDE"/>
    <w:rsid w:val="4AD256ED"/>
    <w:rsid w:val="4B35377F"/>
    <w:rsid w:val="4B683B54"/>
    <w:rsid w:val="4B700C5B"/>
    <w:rsid w:val="4BFC604B"/>
    <w:rsid w:val="4C7A729B"/>
    <w:rsid w:val="4CC556D4"/>
    <w:rsid w:val="4CD56804"/>
    <w:rsid w:val="4CE57C6E"/>
    <w:rsid w:val="4D0D6D01"/>
    <w:rsid w:val="4D1D0015"/>
    <w:rsid w:val="4D565C2E"/>
    <w:rsid w:val="4D65537F"/>
    <w:rsid w:val="4D7165E7"/>
    <w:rsid w:val="4DA06861"/>
    <w:rsid w:val="4DCC61A3"/>
    <w:rsid w:val="4E176C4B"/>
    <w:rsid w:val="4E1F3556"/>
    <w:rsid w:val="4E3E0D43"/>
    <w:rsid w:val="4E900D80"/>
    <w:rsid w:val="4EB10C75"/>
    <w:rsid w:val="4EBB6482"/>
    <w:rsid w:val="4F306126"/>
    <w:rsid w:val="4F436AA0"/>
    <w:rsid w:val="4F624D5E"/>
    <w:rsid w:val="4F72126C"/>
    <w:rsid w:val="4F763358"/>
    <w:rsid w:val="4FDD4E67"/>
    <w:rsid w:val="4FF754A7"/>
    <w:rsid w:val="50060376"/>
    <w:rsid w:val="50322EC1"/>
    <w:rsid w:val="504E09F4"/>
    <w:rsid w:val="509275A7"/>
    <w:rsid w:val="5115039D"/>
    <w:rsid w:val="51600471"/>
    <w:rsid w:val="518E26B3"/>
    <w:rsid w:val="51FE227C"/>
    <w:rsid w:val="52534D66"/>
    <w:rsid w:val="527E5A0B"/>
    <w:rsid w:val="52946FAB"/>
    <w:rsid w:val="52A40059"/>
    <w:rsid w:val="52F774FB"/>
    <w:rsid w:val="536C7562"/>
    <w:rsid w:val="53B87C77"/>
    <w:rsid w:val="54040D0B"/>
    <w:rsid w:val="540A298D"/>
    <w:rsid w:val="545244CF"/>
    <w:rsid w:val="546926EB"/>
    <w:rsid w:val="55067F3A"/>
    <w:rsid w:val="55255BBE"/>
    <w:rsid w:val="552C79A0"/>
    <w:rsid w:val="55413554"/>
    <w:rsid w:val="555B5122"/>
    <w:rsid w:val="55913CA7"/>
    <w:rsid w:val="55FA2E24"/>
    <w:rsid w:val="55FD5B12"/>
    <w:rsid w:val="560F6013"/>
    <w:rsid w:val="561C557A"/>
    <w:rsid w:val="56496F49"/>
    <w:rsid w:val="567A298E"/>
    <w:rsid w:val="56AE4935"/>
    <w:rsid w:val="56B01028"/>
    <w:rsid w:val="56B011F9"/>
    <w:rsid w:val="56B57E6A"/>
    <w:rsid w:val="572D5C52"/>
    <w:rsid w:val="573F0586"/>
    <w:rsid w:val="57841F1C"/>
    <w:rsid w:val="57CE19E2"/>
    <w:rsid w:val="57CE621C"/>
    <w:rsid w:val="57E24F30"/>
    <w:rsid w:val="58294CE8"/>
    <w:rsid w:val="58405511"/>
    <w:rsid w:val="58562F86"/>
    <w:rsid w:val="585E0FDB"/>
    <w:rsid w:val="586C4654"/>
    <w:rsid w:val="588548A0"/>
    <w:rsid w:val="58E41FBC"/>
    <w:rsid w:val="58F357A9"/>
    <w:rsid w:val="594F3C5E"/>
    <w:rsid w:val="599C6117"/>
    <w:rsid w:val="59C81C62"/>
    <w:rsid w:val="59E0440D"/>
    <w:rsid w:val="5A356228"/>
    <w:rsid w:val="5A6B1344"/>
    <w:rsid w:val="5AE44879"/>
    <w:rsid w:val="5AEA3C95"/>
    <w:rsid w:val="5B1E5FDD"/>
    <w:rsid w:val="5B4300F6"/>
    <w:rsid w:val="5B831260"/>
    <w:rsid w:val="5B896942"/>
    <w:rsid w:val="5B896F2F"/>
    <w:rsid w:val="5B910C3D"/>
    <w:rsid w:val="5BB66216"/>
    <w:rsid w:val="5BB73D3C"/>
    <w:rsid w:val="5C182A2D"/>
    <w:rsid w:val="5C734107"/>
    <w:rsid w:val="5C91632B"/>
    <w:rsid w:val="5CFB79C1"/>
    <w:rsid w:val="5D212C28"/>
    <w:rsid w:val="5D294FB4"/>
    <w:rsid w:val="5D3E32D0"/>
    <w:rsid w:val="5D526412"/>
    <w:rsid w:val="5D657148"/>
    <w:rsid w:val="5D730187"/>
    <w:rsid w:val="5DA01B06"/>
    <w:rsid w:val="5DBB72DF"/>
    <w:rsid w:val="5DC32E6C"/>
    <w:rsid w:val="5E341674"/>
    <w:rsid w:val="5E6C52B2"/>
    <w:rsid w:val="5E6E5D58"/>
    <w:rsid w:val="5E912ACB"/>
    <w:rsid w:val="5EA96363"/>
    <w:rsid w:val="5F1D5C23"/>
    <w:rsid w:val="5F451537"/>
    <w:rsid w:val="5F557759"/>
    <w:rsid w:val="5F6C0DA5"/>
    <w:rsid w:val="5F824661"/>
    <w:rsid w:val="5F93686E"/>
    <w:rsid w:val="5FAC3111"/>
    <w:rsid w:val="5FC51FC2"/>
    <w:rsid w:val="603B05A2"/>
    <w:rsid w:val="603B466F"/>
    <w:rsid w:val="605303FB"/>
    <w:rsid w:val="6070305D"/>
    <w:rsid w:val="60720577"/>
    <w:rsid w:val="614D13CA"/>
    <w:rsid w:val="615764B7"/>
    <w:rsid w:val="615F5E74"/>
    <w:rsid w:val="61707879"/>
    <w:rsid w:val="619C5EAE"/>
    <w:rsid w:val="62214605"/>
    <w:rsid w:val="62783A56"/>
    <w:rsid w:val="62AA3548"/>
    <w:rsid w:val="62E754DB"/>
    <w:rsid w:val="63505382"/>
    <w:rsid w:val="63E70161"/>
    <w:rsid w:val="641E0DFC"/>
    <w:rsid w:val="642D55E5"/>
    <w:rsid w:val="643C0CE2"/>
    <w:rsid w:val="643E3A8F"/>
    <w:rsid w:val="650153DC"/>
    <w:rsid w:val="651915C4"/>
    <w:rsid w:val="652E506F"/>
    <w:rsid w:val="65566528"/>
    <w:rsid w:val="65913850"/>
    <w:rsid w:val="659A011A"/>
    <w:rsid w:val="659B647C"/>
    <w:rsid w:val="65DA51F7"/>
    <w:rsid w:val="65DA5394"/>
    <w:rsid w:val="65EE6E39"/>
    <w:rsid w:val="663C03C1"/>
    <w:rsid w:val="66811273"/>
    <w:rsid w:val="66C31E79"/>
    <w:rsid w:val="66E53E53"/>
    <w:rsid w:val="67185FD7"/>
    <w:rsid w:val="67717D90"/>
    <w:rsid w:val="67747AB8"/>
    <w:rsid w:val="6785407E"/>
    <w:rsid w:val="685E6478"/>
    <w:rsid w:val="686229AB"/>
    <w:rsid w:val="68EF4668"/>
    <w:rsid w:val="69302E1A"/>
    <w:rsid w:val="69364FD8"/>
    <w:rsid w:val="694A2693"/>
    <w:rsid w:val="69643755"/>
    <w:rsid w:val="697C7C9C"/>
    <w:rsid w:val="699D6C67"/>
    <w:rsid w:val="6A3824EC"/>
    <w:rsid w:val="6A3A6264"/>
    <w:rsid w:val="6A624B72"/>
    <w:rsid w:val="6AA81420"/>
    <w:rsid w:val="6AB04A26"/>
    <w:rsid w:val="6AF0758F"/>
    <w:rsid w:val="6AF93C38"/>
    <w:rsid w:val="6B28594A"/>
    <w:rsid w:val="6B3D425E"/>
    <w:rsid w:val="6B6B07C2"/>
    <w:rsid w:val="6B8F438D"/>
    <w:rsid w:val="6BA755D2"/>
    <w:rsid w:val="6BC947BB"/>
    <w:rsid w:val="6BFF2DE1"/>
    <w:rsid w:val="6C0E1756"/>
    <w:rsid w:val="6C4247CC"/>
    <w:rsid w:val="6C517307"/>
    <w:rsid w:val="6C606698"/>
    <w:rsid w:val="6CDB5DB4"/>
    <w:rsid w:val="6CEA1EDF"/>
    <w:rsid w:val="6D0F75C8"/>
    <w:rsid w:val="6D1F078B"/>
    <w:rsid w:val="6D9B526C"/>
    <w:rsid w:val="6DB47563"/>
    <w:rsid w:val="6DBD764E"/>
    <w:rsid w:val="6DCB188A"/>
    <w:rsid w:val="6DFD5F26"/>
    <w:rsid w:val="6E2214E9"/>
    <w:rsid w:val="6E4E6782"/>
    <w:rsid w:val="6E565636"/>
    <w:rsid w:val="6E9934A1"/>
    <w:rsid w:val="6EAD34A8"/>
    <w:rsid w:val="6F17084F"/>
    <w:rsid w:val="6F3B5E65"/>
    <w:rsid w:val="6F3F0452"/>
    <w:rsid w:val="6F4F630E"/>
    <w:rsid w:val="6F547DC8"/>
    <w:rsid w:val="6F5E54CB"/>
    <w:rsid w:val="6F610745"/>
    <w:rsid w:val="6F926B42"/>
    <w:rsid w:val="6FD675DE"/>
    <w:rsid w:val="701B368C"/>
    <w:rsid w:val="703917D0"/>
    <w:rsid w:val="704E3146"/>
    <w:rsid w:val="705810AB"/>
    <w:rsid w:val="70675DE3"/>
    <w:rsid w:val="70E9243E"/>
    <w:rsid w:val="70F03B20"/>
    <w:rsid w:val="71273AD8"/>
    <w:rsid w:val="71285068"/>
    <w:rsid w:val="7143743F"/>
    <w:rsid w:val="71557E27"/>
    <w:rsid w:val="717233C4"/>
    <w:rsid w:val="719C15B2"/>
    <w:rsid w:val="71DA3910"/>
    <w:rsid w:val="71F90300"/>
    <w:rsid w:val="72253C9E"/>
    <w:rsid w:val="72370D0B"/>
    <w:rsid w:val="726C5429"/>
    <w:rsid w:val="7282447F"/>
    <w:rsid w:val="72AC594A"/>
    <w:rsid w:val="72C75AAA"/>
    <w:rsid w:val="72EB65D2"/>
    <w:rsid w:val="7317587D"/>
    <w:rsid w:val="73502181"/>
    <w:rsid w:val="735623C8"/>
    <w:rsid w:val="7366631C"/>
    <w:rsid w:val="73995D32"/>
    <w:rsid w:val="740022CC"/>
    <w:rsid w:val="740A6CA7"/>
    <w:rsid w:val="742A3DEB"/>
    <w:rsid w:val="749A63B4"/>
    <w:rsid w:val="753205EE"/>
    <w:rsid w:val="75357D54"/>
    <w:rsid w:val="753F755F"/>
    <w:rsid w:val="75654BD9"/>
    <w:rsid w:val="758E02CF"/>
    <w:rsid w:val="763439C1"/>
    <w:rsid w:val="764C5FBF"/>
    <w:rsid w:val="764D5571"/>
    <w:rsid w:val="769A1D62"/>
    <w:rsid w:val="76F06113"/>
    <w:rsid w:val="770F024F"/>
    <w:rsid w:val="771166DA"/>
    <w:rsid w:val="771D6F35"/>
    <w:rsid w:val="778047FC"/>
    <w:rsid w:val="778356EE"/>
    <w:rsid w:val="778925D9"/>
    <w:rsid w:val="77A318EC"/>
    <w:rsid w:val="77B2090C"/>
    <w:rsid w:val="77D97A1B"/>
    <w:rsid w:val="77E31CE9"/>
    <w:rsid w:val="77F55523"/>
    <w:rsid w:val="77F87164"/>
    <w:rsid w:val="7836748D"/>
    <w:rsid w:val="78574485"/>
    <w:rsid w:val="78743289"/>
    <w:rsid w:val="78B0592F"/>
    <w:rsid w:val="78C53087"/>
    <w:rsid w:val="78FE2B52"/>
    <w:rsid w:val="793D6305"/>
    <w:rsid w:val="795919F3"/>
    <w:rsid w:val="7A0C6C81"/>
    <w:rsid w:val="7A0E7F9F"/>
    <w:rsid w:val="7A431165"/>
    <w:rsid w:val="7A5A200A"/>
    <w:rsid w:val="7A5D5C58"/>
    <w:rsid w:val="7A6335B5"/>
    <w:rsid w:val="7A70182E"/>
    <w:rsid w:val="7A9F2B27"/>
    <w:rsid w:val="7AAC729E"/>
    <w:rsid w:val="7B000E04"/>
    <w:rsid w:val="7B190B54"/>
    <w:rsid w:val="7B2D5FB5"/>
    <w:rsid w:val="7BBF5D15"/>
    <w:rsid w:val="7C376AA7"/>
    <w:rsid w:val="7C787354"/>
    <w:rsid w:val="7C831CEC"/>
    <w:rsid w:val="7CCE37B5"/>
    <w:rsid w:val="7D2A6445"/>
    <w:rsid w:val="7D2A660C"/>
    <w:rsid w:val="7D505A02"/>
    <w:rsid w:val="7D810A5C"/>
    <w:rsid w:val="7E357016"/>
    <w:rsid w:val="7E372D8F"/>
    <w:rsid w:val="7E480AE5"/>
    <w:rsid w:val="7E5F0A07"/>
    <w:rsid w:val="7E705C9C"/>
    <w:rsid w:val="7E9975A5"/>
    <w:rsid w:val="7EB3201F"/>
    <w:rsid w:val="7ED95A43"/>
    <w:rsid w:val="7F3861DF"/>
    <w:rsid w:val="7F6573DA"/>
    <w:rsid w:val="7FCE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0"/>
      <w:sz w:val="20"/>
      <w:szCs w:val="20"/>
      <w:lang w:val="en-US" w:eastAsia="zh-CN" w:bidi="ar-SA"/>
    </w:rPr>
  </w:style>
  <w:style w:type="paragraph" w:styleId="2">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link w:val="22"/>
    <w:autoRedefine/>
    <w:qFormat/>
    <w:uiPriority w:val="9"/>
    <w:pPr>
      <w:keepNext/>
      <w:keepLines/>
      <w:widowControl w:val="0"/>
      <w:spacing w:before="60" w:after="60"/>
      <w:jc w:val="both"/>
      <w:outlineLvl w:val="4"/>
    </w:pPr>
    <w:rPr>
      <w:rFonts w:ascii="Calibri" w:hAnsi="Calibri" w:cs="Times New Roman"/>
      <w:b/>
      <w:bCs/>
      <w:kern w:val="2"/>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Plain Text"/>
    <w:basedOn w:val="1"/>
    <w:autoRedefine/>
    <w:unhideWhenUsed/>
    <w:qFormat/>
    <w:uiPriority w:val="99"/>
    <w:rPr>
      <w:rFonts w:ascii="宋体" w:hAnsi="Courier New" w:eastAsia="宋体" w:cs="Courier New"/>
      <w:szCs w:val="21"/>
    </w:rPr>
  </w:style>
  <w:style w:type="paragraph" w:styleId="6">
    <w:name w:val="footer"/>
    <w:basedOn w:val="1"/>
    <w:autoRedefine/>
    <w:unhideWhenUsed/>
    <w:qFormat/>
    <w:uiPriority w:val="99"/>
    <w:pPr>
      <w:tabs>
        <w:tab w:val="center" w:pos="4153"/>
        <w:tab w:val="right" w:pos="8306"/>
      </w:tabs>
      <w:snapToGrid w:val="0"/>
      <w:spacing w:line="240" w:lineRule="auto"/>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List"/>
    <w:basedOn w:val="1"/>
    <w:autoRedefine/>
    <w:qFormat/>
    <w:uiPriority w:val="0"/>
  </w:style>
  <w:style w:type="paragraph" w:styleId="9">
    <w:name w:val="HTML Preformatted"/>
    <w:basedOn w:val="1"/>
    <w:link w:val="20"/>
    <w:autoRedefine/>
    <w:qFormat/>
    <w:uiPriority w:val="0"/>
    <w:rPr>
      <w:rFonts w:ascii="Courier New" w:hAnsi="Courier New" w:cs="Courier New"/>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styleId="15">
    <w:name w:val="Emphasis"/>
    <w:basedOn w:val="13"/>
    <w:autoRedefine/>
    <w:qFormat/>
    <w:uiPriority w:val="20"/>
    <w:rPr>
      <w:i/>
    </w:rPr>
  </w:style>
  <w:style w:type="character" w:styleId="16">
    <w:name w:val="Hyperlink"/>
    <w:basedOn w:val="13"/>
    <w:autoRedefine/>
    <w:semiHidden/>
    <w:unhideWhenUsed/>
    <w:qFormat/>
    <w:uiPriority w:val="99"/>
    <w:rPr>
      <w:color w:val="0000FF"/>
      <w:u w:val="single"/>
    </w:rPr>
  </w:style>
  <w:style w:type="paragraph" w:customStyle="1" w:styleId="17">
    <w:name w:val="BodyText1I2"/>
    <w:basedOn w:val="18"/>
    <w:autoRedefine/>
    <w:qFormat/>
    <w:uiPriority w:val="0"/>
    <w:pPr>
      <w:spacing w:after="0"/>
      <w:ind w:firstLine="200" w:firstLineChars="200"/>
    </w:pPr>
    <w:rPr>
      <w:rFonts w:ascii="Calibri" w:hAnsi="Calibri"/>
    </w:rPr>
  </w:style>
  <w:style w:type="paragraph" w:customStyle="1" w:styleId="18">
    <w:name w:val="BodyTextIndent"/>
    <w:basedOn w:val="1"/>
    <w:next w:val="19"/>
    <w:autoRedefine/>
    <w:qFormat/>
    <w:uiPriority w:val="0"/>
    <w:pPr>
      <w:spacing w:after="120"/>
      <w:ind w:left="200" w:leftChars="200"/>
      <w:textAlignment w:val="baseline"/>
    </w:pPr>
    <w:rPr>
      <w:rFonts w:ascii="Times New Roman" w:hAnsi="Times New Roman"/>
      <w:szCs w:val="24"/>
    </w:rPr>
  </w:style>
  <w:style w:type="paragraph" w:customStyle="1" w:styleId="19">
    <w:name w:val="NormalIndent"/>
    <w:basedOn w:val="1"/>
    <w:autoRedefine/>
    <w:qFormat/>
    <w:uiPriority w:val="0"/>
    <w:pPr>
      <w:ind w:firstLine="200" w:firstLineChars="200"/>
      <w:textAlignment w:val="baseline"/>
    </w:pPr>
    <w:rPr>
      <w:rFonts w:ascii="Times New Roman" w:hAnsi="Times New Roman" w:eastAsia="仿宋"/>
      <w:sz w:val="32"/>
      <w:szCs w:val="24"/>
    </w:rPr>
  </w:style>
  <w:style w:type="character" w:customStyle="1" w:styleId="20">
    <w:name w:val="HTML 预设格式 字符"/>
    <w:basedOn w:val="13"/>
    <w:link w:val="9"/>
    <w:autoRedefine/>
    <w:qFormat/>
    <w:uiPriority w:val="0"/>
    <w:rPr>
      <w:rFonts w:ascii="Courier New" w:hAnsi="Courier New" w:eastAsia="宋体" w:cs="Courier New"/>
      <w:kern w:val="0"/>
      <w:sz w:val="20"/>
      <w:szCs w:val="20"/>
    </w:rPr>
  </w:style>
  <w:style w:type="paragraph" w:styleId="21">
    <w:name w:val="List Paragraph"/>
    <w:basedOn w:val="1"/>
    <w:autoRedefine/>
    <w:qFormat/>
    <w:uiPriority w:val="99"/>
    <w:pPr>
      <w:ind w:firstLine="420" w:firstLineChars="200"/>
    </w:pPr>
  </w:style>
  <w:style w:type="character" w:customStyle="1" w:styleId="22">
    <w:name w:val="标题 5 字符"/>
    <w:basedOn w:val="13"/>
    <w:link w:val="3"/>
    <w:autoRedefine/>
    <w:qFormat/>
    <w:uiPriority w:val="9"/>
    <w:rPr>
      <w:rFonts w:ascii="Calibri" w:hAnsi="Calibri" w:cs="Times New Roman"/>
      <w:b/>
      <w:bCs/>
      <w:kern w:val="2"/>
      <w:szCs w:val="28"/>
    </w:rPr>
  </w:style>
  <w:style w:type="paragraph" w:customStyle="1" w:styleId="23">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1670</Words>
  <Characters>1768</Characters>
  <Lines>1</Lines>
  <Paragraphs>1</Paragraphs>
  <TotalTime>25</TotalTime>
  <ScaleCrop>false</ScaleCrop>
  <LinksUpToDate>false</LinksUpToDate>
  <CharactersWithSpaces>1870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2022-06-02T04:28:00Z</dcterms:created>
  <dc:creator>段莉雯</dc:creator>
  <cp:lastModifiedBy>杨呈杰</cp:lastModifiedBy>
  <dcterms:modified xsi:type="dcterms:W3CDTF">2026-03-03T06:59:49Z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C14B036D9F204D92ACF1914212FB7572_13</vt:lpwstr>
  </property>
  <property fmtid="{D5CDD505-2E9C-101B-9397-08002B2CF9AE}" pid="4" name="KSOTemplateDocerSaveRecord">
    <vt:lpwstr>eyJoZGlkIjoiMzEwNTM5NzYwMDRjMzkwZTVkZjY2ODkwMGIxNGU0OTUiLCJ1c2VySWQiOiIzNzYxNTQ1ODYifQ==</vt:lpwstr>
  </property>
</Properties>
</file>