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045" w:rsidRDefault="00CF48E7">
      <w:pPr>
        <w:spacing w:line="420" w:lineRule="exact"/>
        <w:rPr>
          <w:rFonts w:ascii="宋体" w:hAnsi="宋体"/>
          <w:b/>
          <w:iCs/>
          <w:szCs w:val="21"/>
        </w:rPr>
      </w:pPr>
      <w:r>
        <w:rPr>
          <w:rFonts w:ascii="宋体" w:hAnsi="宋体"/>
          <w:b/>
          <w:iCs/>
          <w:szCs w:val="21"/>
        </w:rPr>
        <w:t>证券代码：</w:t>
      </w:r>
      <w:r>
        <w:rPr>
          <w:rFonts w:ascii="宋体" w:hAnsi="宋体"/>
          <w:b/>
          <w:iCs/>
          <w:szCs w:val="21"/>
        </w:rPr>
        <w:t xml:space="preserve">688100                                            </w:t>
      </w:r>
      <w:r>
        <w:rPr>
          <w:rFonts w:ascii="宋体" w:hAnsi="宋体"/>
          <w:b/>
          <w:iCs/>
          <w:szCs w:val="21"/>
        </w:rPr>
        <w:t>证券简称：</w:t>
      </w:r>
      <w:r>
        <w:rPr>
          <w:rFonts w:ascii="宋体" w:hAnsi="宋体" w:hint="eastAsia"/>
          <w:b/>
          <w:iCs/>
          <w:szCs w:val="21"/>
        </w:rPr>
        <w:t>威胜信息</w:t>
      </w:r>
    </w:p>
    <w:p w:rsidR="00D21045" w:rsidRDefault="00CF48E7">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rsidR="00D21045" w:rsidRDefault="00AE5B12">
      <w:pPr>
        <w:spacing w:beforeLines="50" w:before="156" w:afterLines="150" w:after="468" w:line="420" w:lineRule="exact"/>
        <w:jc w:val="center"/>
        <w:rPr>
          <w:rFonts w:ascii="宋体" w:hAnsi="宋体"/>
          <w:b/>
          <w:bCs/>
          <w:iCs/>
          <w:sz w:val="32"/>
          <w:szCs w:val="32"/>
        </w:rPr>
      </w:pPr>
      <w:r w:rsidRPr="00AE5B12">
        <w:rPr>
          <w:rFonts w:ascii="宋体" w:hAnsi="宋体" w:hint="eastAsia"/>
          <w:b/>
          <w:bCs/>
          <w:iCs/>
          <w:sz w:val="32"/>
          <w:szCs w:val="32"/>
        </w:rPr>
        <w:t>2026年2月28日投资者交流会会议记录</w:t>
      </w:r>
    </w:p>
    <w:p w:rsidR="00D21045" w:rsidRDefault="00CF48E7">
      <w:pPr>
        <w:spacing w:line="420" w:lineRule="exact"/>
        <w:ind w:firstLineChars="177" w:firstLine="425"/>
        <w:rPr>
          <w:rFonts w:ascii="宋体" w:hAnsi="宋体"/>
          <w:sz w:val="24"/>
        </w:rPr>
      </w:pPr>
      <w:r>
        <w:rPr>
          <w:rFonts w:ascii="宋体" w:hAnsi="宋体" w:hint="eastAsia"/>
          <w:sz w:val="24"/>
        </w:rPr>
        <w:t>威胜信息技术股份有限公司（以下简称“公司”）</w:t>
      </w:r>
      <w:r>
        <w:rPr>
          <w:rFonts w:ascii="宋体" w:hAnsi="宋体" w:hint="eastAsia"/>
          <w:sz w:val="24"/>
        </w:rPr>
        <w:t>2</w:t>
      </w:r>
      <w:r>
        <w:rPr>
          <w:rFonts w:ascii="宋体" w:hAnsi="宋体"/>
          <w:sz w:val="24"/>
        </w:rPr>
        <w:t>02</w:t>
      </w:r>
      <w:r>
        <w:rPr>
          <w:rFonts w:ascii="宋体" w:hAnsi="宋体" w:hint="eastAsia"/>
          <w:sz w:val="24"/>
        </w:rPr>
        <w:t>6</w:t>
      </w:r>
      <w:r>
        <w:rPr>
          <w:rFonts w:ascii="宋体" w:hAnsi="宋体" w:hint="eastAsia"/>
          <w:sz w:val="24"/>
        </w:rPr>
        <w:t>年</w:t>
      </w:r>
      <w:r>
        <w:rPr>
          <w:rFonts w:ascii="宋体" w:hAnsi="宋体" w:hint="eastAsia"/>
          <w:sz w:val="24"/>
        </w:rPr>
        <w:t>2</w:t>
      </w:r>
      <w:r>
        <w:rPr>
          <w:rFonts w:ascii="宋体" w:hAnsi="宋体" w:hint="eastAsia"/>
          <w:sz w:val="24"/>
        </w:rPr>
        <w:t>月</w:t>
      </w:r>
      <w:r>
        <w:rPr>
          <w:rFonts w:ascii="宋体" w:hAnsi="宋体" w:hint="eastAsia"/>
          <w:sz w:val="24"/>
        </w:rPr>
        <w:t>28</w:t>
      </w:r>
      <w:r>
        <w:rPr>
          <w:rFonts w:ascii="宋体" w:hAnsi="宋体"/>
          <w:sz w:val="24"/>
        </w:rPr>
        <w:t>日</w:t>
      </w:r>
      <w:r>
        <w:rPr>
          <w:rFonts w:ascii="宋体" w:hAnsi="宋体" w:hint="eastAsia"/>
          <w:sz w:val="24"/>
        </w:rPr>
        <w:t>交流情况如下：</w:t>
      </w:r>
    </w:p>
    <w:p w:rsidR="00D21045" w:rsidRDefault="00CF48E7">
      <w:pPr>
        <w:pStyle w:val="ad"/>
        <w:numPr>
          <w:ilvl w:val="0"/>
          <w:numId w:val="1"/>
        </w:numPr>
        <w:spacing w:line="420" w:lineRule="exact"/>
        <w:ind w:left="709" w:firstLineChars="0"/>
        <w:rPr>
          <w:rFonts w:ascii="宋体" w:hAnsi="宋体"/>
          <w:b/>
          <w:bCs/>
          <w:sz w:val="24"/>
        </w:rPr>
      </w:pPr>
      <w:r>
        <w:rPr>
          <w:rFonts w:ascii="宋体" w:hAnsi="宋体" w:hint="eastAsia"/>
          <w:b/>
          <w:bCs/>
          <w:sz w:val="24"/>
        </w:rPr>
        <w:t>参会人员</w:t>
      </w:r>
    </w:p>
    <w:p w:rsidR="00D21045" w:rsidRDefault="00CF48E7">
      <w:pPr>
        <w:pStyle w:val="a5"/>
        <w:spacing w:line="420" w:lineRule="exact"/>
        <w:ind w:firstLineChars="200" w:firstLine="480"/>
        <w:rPr>
          <w:rFonts w:hAnsi="宋体"/>
          <w:sz w:val="24"/>
        </w:rPr>
      </w:pPr>
      <w:bookmarkStart w:id="0" w:name="OLE_LINK14"/>
      <w:bookmarkStart w:id="1" w:name="OLE_LINK15"/>
      <w:r>
        <w:rPr>
          <w:rFonts w:hAnsi="宋体" w:hint="eastAsia"/>
          <w:sz w:val="24"/>
        </w:rPr>
        <w:t>董事长：李鸿女士</w:t>
      </w:r>
    </w:p>
    <w:p w:rsidR="00D21045" w:rsidRDefault="00CF48E7">
      <w:pPr>
        <w:pStyle w:val="a5"/>
        <w:spacing w:line="420" w:lineRule="exact"/>
        <w:ind w:firstLineChars="200" w:firstLine="480"/>
        <w:rPr>
          <w:rFonts w:hAnsi="宋体"/>
          <w:sz w:val="24"/>
        </w:rPr>
      </w:pPr>
      <w:r>
        <w:rPr>
          <w:rFonts w:hAnsi="宋体" w:hint="eastAsia"/>
          <w:sz w:val="24"/>
        </w:rPr>
        <w:t>董事兼总裁：李先怀先生</w:t>
      </w:r>
    </w:p>
    <w:p w:rsidR="00AE5B12" w:rsidRDefault="00AE5B12" w:rsidP="00AE5B12">
      <w:pPr>
        <w:pStyle w:val="a5"/>
        <w:spacing w:line="420" w:lineRule="exact"/>
        <w:ind w:firstLineChars="200" w:firstLine="480"/>
        <w:rPr>
          <w:rFonts w:hAnsi="宋体"/>
          <w:sz w:val="24"/>
        </w:rPr>
      </w:pPr>
      <w:r>
        <w:rPr>
          <w:rFonts w:hAnsi="宋体" w:hint="eastAsia"/>
          <w:sz w:val="24"/>
        </w:rPr>
        <w:t>副总裁：张振华先生</w:t>
      </w:r>
    </w:p>
    <w:p w:rsidR="00AE5B12" w:rsidRDefault="00AE5B12" w:rsidP="00AE5B12">
      <w:pPr>
        <w:pStyle w:val="a5"/>
        <w:spacing w:line="420" w:lineRule="exact"/>
        <w:ind w:firstLineChars="200" w:firstLine="480"/>
        <w:rPr>
          <w:rFonts w:hAnsi="宋体" w:hint="eastAsia"/>
          <w:sz w:val="24"/>
        </w:rPr>
      </w:pPr>
      <w:r>
        <w:rPr>
          <w:rFonts w:hAnsi="宋体" w:hint="eastAsia"/>
          <w:sz w:val="24"/>
        </w:rPr>
        <w:t>董事会秘书兼财务总监：</w:t>
      </w:r>
      <w:proofErr w:type="gramStart"/>
      <w:r>
        <w:rPr>
          <w:rFonts w:hAnsi="宋体" w:hint="eastAsia"/>
          <w:sz w:val="24"/>
        </w:rPr>
        <w:t>钟喜玉女</w:t>
      </w:r>
      <w:proofErr w:type="gramEnd"/>
      <w:r>
        <w:rPr>
          <w:rFonts w:hAnsi="宋体" w:hint="eastAsia"/>
          <w:sz w:val="24"/>
        </w:rPr>
        <w:t>士</w:t>
      </w:r>
    </w:p>
    <w:p w:rsidR="00D21045" w:rsidRDefault="00CF48E7">
      <w:pPr>
        <w:pStyle w:val="a5"/>
        <w:spacing w:line="420" w:lineRule="exact"/>
        <w:ind w:firstLineChars="200" w:firstLine="480"/>
        <w:rPr>
          <w:rFonts w:hAnsi="宋体"/>
          <w:sz w:val="24"/>
        </w:rPr>
      </w:pPr>
      <w:r>
        <w:rPr>
          <w:rFonts w:hAnsi="宋体" w:hint="eastAsia"/>
          <w:sz w:val="24"/>
        </w:rPr>
        <w:t>数字电网事业群总经理：马亮先生</w:t>
      </w:r>
    </w:p>
    <w:p w:rsidR="00D21045" w:rsidRPr="00AE5B12" w:rsidRDefault="00CF48E7" w:rsidP="00AE5B12">
      <w:pPr>
        <w:pStyle w:val="a5"/>
        <w:spacing w:line="420" w:lineRule="exact"/>
        <w:ind w:firstLineChars="200" w:firstLine="480"/>
        <w:rPr>
          <w:rFonts w:hAnsi="宋体" w:hint="eastAsia"/>
          <w:sz w:val="24"/>
        </w:rPr>
      </w:pPr>
      <w:r>
        <w:rPr>
          <w:rFonts w:hAnsi="宋体" w:hint="eastAsia"/>
          <w:sz w:val="24"/>
        </w:rPr>
        <w:t>通信及芯片事业群总经理：肖林松先生</w:t>
      </w:r>
    </w:p>
    <w:p w:rsidR="00D21045" w:rsidRDefault="00CF48E7">
      <w:pPr>
        <w:pStyle w:val="a5"/>
        <w:spacing w:line="420" w:lineRule="exact"/>
        <w:ind w:firstLineChars="200" w:firstLine="480"/>
        <w:rPr>
          <w:rFonts w:hAnsi="宋体"/>
          <w:sz w:val="24"/>
        </w:rPr>
      </w:pPr>
      <w:r>
        <w:rPr>
          <w:rFonts w:hAnsi="宋体" w:hint="eastAsia"/>
          <w:sz w:val="24"/>
        </w:rPr>
        <w:t>战略</w:t>
      </w:r>
      <w:r w:rsidR="00AE5B12">
        <w:rPr>
          <w:rFonts w:hAnsi="宋体" w:hint="eastAsia"/>
          <w:sz w:val="24"/>
        </w:rPr>
        <w:t>投资</w:t>
      </w:r>
      <w:r>
        <w:rPr>
          <w:rFonts w:hAnsi="宋体" w:hint="eastAsia"/>
          <w:sz w:val="24"/>
        </w:rPr>
        <w:t>总监：吴</w:t>
      </w:r>
      <w:proofErr w:type="gramStart"/>
      <w:r>
        <w:rPr>
          <w:rFonts w:hAnsi="宋体" w:hint="eastAsia"/>
          <w:sz w:val="24"/>
        </w:rPr>
        <w:t>浩</w:t>
      </w:r>
      <w:proofErr w:type="gramEnd"/>
      <w:r>
        <w:rPr>
          <w:rFonts w:hAnsi="宋体" w:hint="eastAsia"/>
          <w:sz w:val="24"/>
        </w:rPr>
        <w:t>先生</w:t>
      </w:r>
    </w:p>
    <w:bookmarkEnd w:id="0"/>
    <w:bookmarkEnd w:id="1"/>
    <w:p w:rsidR="00D21045" w:rsidRDefault="00D21045">
      <w:pPr>
        <w:pStyle w:val="a5"/>
        <w:spacing w:line="420" w:lineRule="exact"/>
        <w:ind w:firstLineChars="200" w:firstLine="480"/>
        <w:rPr>
          <w:rFonts w:hAnsi="宋体"/>
          <w:sz w:val="24"/>
        </w:rPr>
      </w:pPr>
    </w:p>
    <w:p w:rsidR="00D21045" w:rsidRDefault="00CF48E7">
      <w:pPr>
        <w:pStyle w:val="a5"/>
        <w:spacing w:line="420" w:lineRule="exact"/>
        <w:ind w:firstLineChars="200" w:firstLine="480"/>
        <w:rPr>
          <w:rFonts w:hAnsi="宋体"/>
          <w:sz w:val="24"/>
        </w:rPr>
      </w:pPr>
      <w:r>
        <w:rPr>
          <w:rFonts w:hAnsi="宋体" w:hint="eastAsia"/>
          <w:sz w:val="24"/>
        </w:rPr>
        <w:t>机构参会：</w:t>
      </w:r>
    </w:p>
    <w:p w:rsidR="00D21045" w:rsidRDefault="00CF48E7">
      <w:pPr>
        <w:pStyle w:val="a5"/>
        <w:spacing w:line="420" w:lineRule="exact"/>
        <w:ind w:firstLineChars="200" w:firstLine="480"/>
        <w:rPr>
          <w:rFonts w:hAnsi="宋体" w:cs="宋体"/>
          <w:sz w:val="24"/>
        </w:rPr>
      </w:pPr>
      <w:r>
        <w:rPr>
          <w:rFonts w:hAnsi="宋体" w:cs="宋体"/>
          <w:sz w:val="24"/>
        </w:rPr>
        <w:t>鹏华基金、富国基金、德邦基金、银华基金、宏利基金、中银基金、宝盈基金、华商基金、海富通基金、中海基金、南方基金、博时基金、广发基金、</w:t>
      </w:r>
      <w:proofErr w:type="gramStart"/>
      <w:r>
        <w:rPr>
          <w:rFonts w:hAnsi="宋体" w:cs="宋体"/>
          <w:sz w:val="24"/>
        </w:rPr>
        <w:t>创金合</w:t>
      </w:r>
      <w:proofErr w:type="gramEnd"/>
      <w:r>
        <w:rPr>
          <w:rFonts w:hAnsi="宋体" w:cs="宋体"/>
          <w:sz w:val="24"/>
        </w:rPr>
        <w:t>信基金、融通基金、建信基金、银河基金</w:t>
      </w:r>
      <w:r>
        <w:rPr>
          <w:rFonts w:hAnsi="宋体" w:cs="宋体" w:hint="eastAsia"/>
          <w:sz w:val="24"/>
        </w:rPr>
        <w:t>、</w:t>
      </w:r>
      <w:r>
        <w:rPr>
          <w:rFonts w:hAnsi="宋体" w:cs="宋体"/>
          <w:sz w:val="24"/>
        </w:rPr>
        <w:t>永安财险、大家资产、太平养老、长江养老、太平洋资产、泰康保险、中邮人寿、中汇人寿、</w:t>
      </w:r>
      <w:proofErr w:type="gramStart"/>
      <w:r>
        <w:rPr>
          <w:rFonts w:hAnsi="宋体" w:cs="宋体"/>
          <w:sz w:val="24"/>
        </w:rPr>
        <w:t>甬兴资</w:t>
      </w:r>
      <w:proofErr w:type="gramEnd"/>
      <w:r>
        <w:rPr>
          <w:rFonts w:hAnsi="宋体" w:cs="宋体"/>
          <w:sz w:val="24"/>
        </w:rPr>
        <w:t>管、财</w:t>
      </w:r>
      <w:proofErr w:type="gramStart"/>
      <w:r>
        <w:rPr>
          <w:rFonts w:hAnsi="宋体" w:cs="宋体"/>
          <w:sz w:val="24"/>
        </w:rPr>
        <w:t>通资管</w:t>
      </w:r>
      <w:proofErr w:type="gramEnd"/>
      <w:r>
        <w:rPr>
          <w:rFonts w:hAnsi="宋体" w:cs="宋体"/>
          <w:sz w:val="24"/>
        </w:rPr>
        <w:t>、英大</w:t>
      </w:r>
      <w:r>
        <w:rPr>
          <w:rFonts w:hAnsi="宋体" w:cs="宋体" w:hint="eastAsia"/>
          <w:sz w:val="24"/>
        </w:rPr>
        <w:t>资管</w:t>
      </w:r>
      <w:r>
        <w:rPr>
          <w:rFonts w:hAnsi="宋体" w:cs="宋体"/>
          <w:sz w:val="24"/>
        </w:rPr>
        <w:t>、上海国际信托</w:t>
      </w:r>
      <w:r>
        <w:rPr>
          <w:rFonts w:hAnsi="宋体" w:cs="宋体" w:hint="eastAsia"/>
          <w:sz w:val="24"/>
        </w:rPr>
        <w:t>、</w:t>
      </w:r>
      <w:r>
        <w:rPr>
          <w:rFonts w:hAnsi="宋体" w:cs="宋体"/>
          <w:sz w:val="24"/>
        </w:rPr>
        <w:t>花旗银行</w:t>
      </w:r>
      <w:r>
        <w:rPr>
          <w:rFonts w:hAnsi="宋体" w:cs="宋体" w:hint="eastAsia"/>
          <w:sz w:val="24"/>
        </w:rPr>
        <w:t>（香港）</w:t>
      </w:r>
      <w:r>
        <w:rPr>
          <w:rFonts w:hAnsi="宋体" w:cs="宋体"/>
          <w:sz w:val="24"/>
        </w:rPr>
        <w:t>、兰馨亚洲、</w:t>
      </w:r>
      <w:r>
        <w:rPr>
          <w:rFonts w:hAnsi="宋体" w:cs="宋体"/>
          <w:sz w:val="24"/>
        </w:rPr>
        <w:t xml:space="preserve">Carrhae </w:t>
      </w:r>
      <w:r>
        <w:rPr>
          <w:rFonts w:hAnsi="宋体" w:cs="宋体"/>
          <w:sz w:val="24"/>
        </w:rPr>
        <w:t>Capital</w:t>
      </w:r>
      <w:r>
        <w:rPr>
          <w:rFonts w:hAnsi="宋体" w:cs="宋体"/>
          <w:sz w:val="24"/>
        </w:rPr>
        <w:t>、</w:t>
      </w:r>
      <w:r>
        <w:rPr>
          <w:rFonts w:hAnsi="宋体" w:cs="宋体"/>
          <w:sz w:val="24"/>
        </w:rPr>
        <w:t>Whitefield Capital</w:t>
      </w:r>
      <w:r>
        <w:rPr>
          <w:rFonts w:hAnsi="宋体" w:cs="宋体"/>
          <w:sz w:val="24"/>
        </w:rPr>
        <w:t>、常春滕资产、</w:t>
      </w:r>
      <w:proofErr w:type="gramStart"/>
      <w:r>
        <w:rPr>
          <w:rFonts w:hAnsi="宋体" w:cs="宋体"/>
          <w:sz w:val="24"/>
        </w:rPr>
        <w:t>勤远私募</w:t>
      </w:r>
      <w:proofErr w:type="gramEnd"/>
      <w:r>
        <w:rPr>
          <w:rFonts w:hAnsi="宋体" w:cs="宋体"/>
          <w:sz w:val="24"/>
        </w:rPr>
        <w:t>、高信百诺、</w:t>
      </w:r>
      <w:proofErr w:type="gramStart"/>
      <w:r>
        <w:rPr>
          <w:rFonts w:hAnsi="宋体" w:cs="宋体"/>
          <w:sz w:val="24"/>
        </w:rPr>
        <w:t>瀚</w:t>
      </w:r>
      <w:proofErr w:type="gramEnd"/>
      <w:r>
        <w:rPr>
          <w:rFonts w:hAnsi="宋体" w:cs="宋体"/>
          <w:sz w:val="24"/>
        </w:rPr>
        <w:t>伦投资、香港奕图、</w:t>
      </w:r>
      <w:proofErr w:type="gramStart"/>
      <w:r>
        <w:rPr>
          <w:rFonts w:hAnsi="宋体" w:cs="宋体"/>
          <w:sz w:val="24"/>
        </w:rPr>
        <w:t>昊泽致</w:t>
      </w:r>
      <w:proofErr w:type="gramEnd"/>
      <w:r>
        <w:rPr>
          <w:rFonts w:hAnsi="宋体" w:cs="宋体"/>
          <w:sz w:val="24"/>
        </w:rPr>
        <w:t>远、方瀛投资、</w:t>
      </w:r>
      <w:proofErr w:type="gramStart"/>
      <w:r>
        <w:rPr>
          <w:rFonts w:hAnsi="宋体" w:cs="宋体"/>
          <w:sz w:val="24"/>
        </w:rPr>
        <w:t>鑫</w:t>
      </w:r>
      <w:proofErr w:type="gramEnd"/>
      <w:r>
        <w:rPr>
          <w:rFonts w:hAnsi="宋体" w:cs="宋体"/>
          <w:sz w:val="24"/>
        </w:rPr>
        <w:t>巢资本、中金公司、中信建投、中信证券、华福证券、西部证券、光大证券、国投证券、长江证券、东吴证券、国泰海通、</w:t>
      </w:r>
      <w:proofErr w:type="gramStart"/>
      <w:r>
        <w:rPr>
          <w:rFonts w:hAnsi="宋体" w:cs="宋体"/>
          <w:sz w:val="24"/>
        </w:rPr>
        <w:t>甬兴证券</w:t>
      </w:r>
      <w:proofErr w:type="gramEnd"/>
      <w:r>
        <w:rPr>
          <w:rFonts w:hAnsi="宋体" w:cs="宋体"/>
          <w:sz w:val="24"/>
        </w:rPr>
        <w:t>、太平洋证券、山西证券、华西证券、广发证券、中泰证券、财通证券、天风证券、申万宏源、长城证券、海通证券、国联民生证券、招商证券、国盛证券、东方证券、国海证券、东兴证券、财信证券、</w:t>
      </w:r>
      <w:proofErr w:type="gramStart"/>
      <w:r>
        <w:rPr>
          <w:rFonts w:hAnsi="宋体" w:cs="宋体"/>
          <w:sz w:val="24"/>
        </w:rPr>
        <w:t>浙商证券</w:t>
      </w:r>
      <w:proofErr w:type="gramEnd"/>
      <w:r>
        <w:rPr>
          <w:rFonts w:hAnsi="宋体" w:cs="宋体"/>
          <w:sz w:val="24"/>
        </w:rPr>
        <w:t>、华创证券、兴业证券、瑞银证券、开源证券、国信证券、中国银河</w:t>
      </w:r>
      <w:r>
        <w:rPr>
          <w:rFonts w:hAnsi="宋体" w:cs="宋体" w:hint="eastAsia"/>
          <w:sz w:val="24"/>
        </w:rPr>
        <w:t>证券、</w:t>
      </w:r>
      <w:r>
        <w:rPr>
          <w:rFonts w:hAnsi="宋体" w:cs="宋体"/>
          <w:sz w:val="24"/>
        </w:rPr>
        <w:t>摩根士丹利、摩根</w:t>
      </w:r>
      <w:r>
        <w:rPr>
          <w:rFonts w:hAnsi="宋体" w:cs="宋体"/>
          <w:sz w:val="24"/>
        </w:rPr>
        <w:t>大通、富瑞</w:t>
      </w:r>
      <w:r>
        <w:rPr>
          <w:rFonts w:hAnsi="宋体" w:cs="宋体" w:hint="eastAsia"/>
          <w:sz w:val="24"/>
        </w:rPr>
        <w:t>证券</w:t>
      </w:r>
    </w:p>
    <w:p w:rsidR="00D21045" w:rsidRDefault="00D21045">
      <w:pPr>
        <w:pStyle w:val="a5"/>
        <w:spacing w:line="420" w:lineRule="exact"/>
        <w:ind w:firstLineChars="200" w:firstLine="480"/>
        <w:rPr>
          <w:rFonts w:hAnsi="宋体" w:cs="宋体"/>
          <w:sz w:val="24"/>
        </w:rPr>
      </w:pPr>
    </w:p>
    <w:p w:rsidR="00EC47BD" w:rsidRPr="00944C6C" w:rsidRDefault="00EC47BD" w:rsidP="00EC47BD">
      <w:pPr>
        <w:pStyle w:val="ad"/>
        <w:numPr>
          <w:ilvl w:val="0"/>
          <w:numId w:val="20"/>
        </w:numPr>
        <w:spacing w:line="420" w:lineRule="exact"/>
        <w:ind w:left="709" w:firstLineChars="0"/>
        <w:rPr>
          <w:rFonts w:asciiTheme="minorEastAsia" w:eastAsiaTheme="minorEastAsia" w:hAnsiTheme="minorEastAsia"/>
          <w:b/>
          <w:bCs/>
          <w:sz w:val="24"/>
        </w:rPr>
      </w:pPr>
      <w:r w:rsidRPr="00944C6C">
        <w:rPr>
          <w:rFonts w:asciiTheme="minorEastAsia" w:eastAsiaTheme="minorEastAsia" w:hAnsiTheme="minorEastAsia" w:hint="eastAsia"/>
          <w:b/>
          <w:bCs/>
          <w:sz w:val="24"/>
        </w:rPr>
        <w:t>202</w:t>
      </w:r>
      <w:r w:rsidRPr="00944C6C">
        <w:rPr>
          <w:rFonts w:asciiTheme="minorEastAsia" w:eastAsiaTheme="minorEastAsia" w:hAnsiTheme="minorEastAsia"/>
          <w:b/>
          <w:bCs/>
          <w:sz w:val="24"/>
        </w:rPr>
        <w:t>5年</w:t>
      </w:r>
      <w:r w:rsidRPr="00944C6C">
        <w:rPr>
          <w:rFonts w:asciiTheme="minorEastAsia" w:eastAsiaTheme="minorEastAsia" w:hAnsiTheme="minorEastAsia" w:hint="eastAsia"/>
          <w:b/>
          <w:bCs/>
          <w:sz w:val="24"/>
        </w:rPr>
        <w:t>年报主要情况介绍</w:t>
      </w:r>
    </w:p>
    <w:p w:rsidR="00EC47BD" w:rsidRPr="00944C6C" w:rsidRDefault="00EC47BD" w:rsidP="00EC47BD">
      <w:pPr>
        <w:spacing w:line="420" w:lineRule="exact"/>
        <w:ind w:left="-11" w:firstLineChars="200" w:firstLine="480"/>
        <w:rPr>
          <w:rFonts w:asciiTheme="minorEastAsia" w:eastAsiaTheme="minorEastAsia" w:hAnsiTheme="minorEastAsia" w:cs="宋体"/>
          <w:sz w:val="24"/>
        </w:rPr>
      </w:pPr>
      <w:r w:rsidRPr="00944C6C">
        <w:rPr>
          <w:rFonts w:asciiTheme="minorEastAsia" w:eastAsiaTheme="minorEastAsia" w:hAnsiTheme="minorEastAsia" w:cs="宋体"/>
          <w:sz w:val="24"/>
        </w:rPr>
        <w:t>营收与利润双增长：2025年实现营业收入29.78亿元，同比增长8.48%；实</w:t>
      </w:r>
      <w:r w:rsidRPr="00944C6C">
        <w:rPr>
          <w:rFonts w:asciiTheme="minorEastAsia" w:eastAsiaTheme="minorEastAsia" w:hAnsiTheme="minorEastAsia" w:cs="宋体"/>
          <w:sz w:val="24"/>
        </w:rPr>
        <w:lastRenderedPageBreak/>
        <w:t>现</w:t>
      </w:r>
      <w:proofErr w:type="gramStart"/>
      <w:r w:rsidRPr="00944C6C">
        <w:rPr>
          <w:rFonts w:asciiTheme="minorEastAsia" w:eastAsiaTheme="minorEastAsia" w:hAnsiTheme="minorEastAsia" w:cs="宋体"/>
          <w:sz w:val="24"/>
        </w:rPr>
        <w:t>归母净利润</w:t>
      </w:r>
      <w:proofErr w:type="gramEnd"/>
      <w:r w:rsidRPr="00944C6C">
        <w:rPr>
          <w:rFonts w:asciiTheme="minorEastAsia" w:eastAsiaTheme="minorEastAsia" w:hAnsiTheme="minorEastAsia" w:cs="宋体"/>
          <w:sz w:val="24"/>
        </w:rPr>
        <w:t>6.66亿元，同比增长5.64%。</w:t>
      </w:r>
    </w:p>
    <w:p w:rsidR="00EC47BD" w:rsidRPr="00944C6C" w:rsidRDefault="00EC47BD" w:rsidP="00EC47BD">
      <w:pPr>
        <w:spacing w:line="420" w:lineRule="exact"/>
        <w:ind w:left="-11" w:firstLineChars="200" w:firstLine="480"/>
        <w:rPr>
          <w:rFonts w:asciiTheme="minorEastAsia" w:eastAsiaTheme="minorEastAsia" w:hAnsiTheme="minorEastAsia" w:cs="宋体"/>
          <w:sz w:val="24"/>
        </w:rPr>
      </w:pPr>
      <w:r w:rsidRPr="00944C6C">
        <w:rPr>
          <w:rFonts w:asciiTheme="minorEastAsia" w:eastAsiaTheme="minorEastAsia" w:hAnsiTheme="minorEastAsia" w:cs="宋体"/>
          <w:sz w:val="24"/>
        </w:rPr>
        <w:t>经营质量优异：净资产收益率（ROE）为19.7</w:t>
      </w:r>
      <w:r>
        <w:rPr>
          <w:rFonts w:asciiTheme="minorEastAsia" w:eastAsiaTheme="minorEastAsia" w:hAnsiTheme="minorEastAsia" w:cs="宋体" w:hint="eastAsia"/>
          <w:sz w:val="24"/>
        </w:rPr>
        <w:t>1</w:t>
      </w:r>
      <w:r w:rsidRPr="00944C6C">
        <w:rPr>
          <w:rFonts w:asciiTheme="minorEastAsia" w:eastAsiaTheme="minorEastAsia" w:hAnsiTheme="minorEastAsia" w:cs="宋体"/>
          <w:sz w:val="24"/>
        </w:rPr>
        <w:t>%；资产负债率保持在37.79%的低水平；经营活动产生的现金流量净额为5.16亿元，同比增长8</w:t>
      </w:r>
      <w:r w:rsidRPr="00944C6C">
        <w:rPr>
          <w:rFonts w:asciiTheme="minorEastAsia" w:eastAsiaTheme="minorEastAsia" w:hAnsiTheme="minorEastAsia" w:cs="宋体" w:hint="eastAsia"/>
          <w:sz w:val="24"/>
        </w:rPr>
        <w:t>.91</w:t>
      </w:r>
      <w:r w:rsidRPr="00944C6C">
        <w:rPr>
          <w:rFonts w:asciiTheme="minorEastAsia" w:eastAsiaTheme="minorEastAsia" w:hAnsiTheme="minorEastAsia" w:cs="宋体"/>
          <w:sz w:val="24"/>
        </w:rPr>
        <w:t>%，现金流状况健康。</w:t>
      </w:r>
    </w:p>
    <w:p w:rsidR="00EC47BD" w:rsidRDefault="00EC47BD" w:rsidP="00EC47BD">
      <w:pPr>
        <w:spacing w:line="420" w:lineRule="exact"/>
        <w:ind w:left="-11" w:firstLineChars="200" w:firstLine="480"/>
        <w:rPr>
          <w:rFonts w:asciiTheme="minorEastAsia" w:eastAsiaTheme="minorEastAsia" w:hAnsiTheme="minorEastAsia"/>
          <w:sz w:val="24"/>
        </w:rPr>
      </w:pPr>
      <w:r w:rsidRPr="00944C6C">
        <w:rPr>
          <w:rFonts w:asciiTheme="minorEastAsia" w:eastAsiaTheme="minorEastAsia" w:hAnsiTheme="minorEastAsia" w:cs="宋体"/>
          <w:sz w:val="24"/>
        </w:rPr>
        <w:t>订单储备充足，奠定业绩基础：2025年新签合同额37</w:t>
      </w:r>
      <w:r w:rsidR="00A70C9E">
        <w:rPr>
          <w:rFonts w:asciiTheme="minorEastAsia" w:eastAsiaTheme="minorEastAsia" w:hAnsiTheme="minorEastAsia" w:cs="宋体" w:hint="eastAsia"/>
          <w:sz w:val="24"/>
        </w:rPr>
        <w:t>.08</w:t>
      </w:r>
      <w:r w:rsidRPr="00944C6C">
        <w:rPr>
          <w:rFonts w:asciiTheme="minorEastAsia" w:eastAsiaTheme="minorEastAsia" w:hAnsiTheme="minorEastAsia" w:cs="宋体"/>
          <w:sz w:val="24"/>
        </w:rPr>
        <w:t>亿元，截至年底在手订单达40.59亿元，为后续业绩增长提供有力支撑。</w:t>
      </w:r>
      <w:r w:rsidRPr="00944C6C">
        <w:rPr>
          <w:rFonts w:asciiTheme="minorEastAsia" w:eastAsiaTheme="minorEastAsia" w:hAnsiTheme="minorEastAsia" w:cs="宋体"/>
          <w:sz w:val="24"/>
        </w:rPr>
        <w:cr/>
      </w:r>
      <w:r w:rsidRPr="00944C6C">
        <w:rPr>
          <w:rFonts w:asciiTheme="minorEastAsia" w:eastAsiaTheme="minorEastAsia" w:hAnsiTheme="minorEastAsia" w:cs="宋体" w:hint="eastAsia"/>
          <w:sz w:val="24"/>
        </w:rPr>
        <w:t xml:space="preserve">   </w:t>
      </w:r>
      <w:r w:rsidRPr="00944C6C">
        <w:rPr>
          <w:rFonts w:asciiTheme="minorEastAsia" w:eastAsiaTheme="minorEastAsia" w:hAnsiTheme="minorEastAsia" w:cs="宋体"/>
          <w:sz w:val="24"/>
        </w:rPr>
        <w:t>高增长业务贡献突出：</w:t>
      </w:r>
      <w:r w:rsidRPr="00944C6C">
        <w:rPr>
          <w:rFonts w:asciiTheme="minorEastAsia" w:eastAsiaTheme="minorEastAsia" w:hAnsiTheme="minorEastAsia" w:cs="宋体"/>
          <w:sz w:val="24"/>
        </w:rPr>
        <w:cr/>
        <w:t xml:space="preserve">   AI业务：相关应用带来收入7.3</w:t>
      </w:r>
      <w:r>
        <w:rPr>
          <w:rFonts w:asciiTheme="minorEastAsia" w:eastAsiaTheme="minorEastAsia" w:hAnsiTheme="minorEastAsia" w:hint="eastAsia"/>
          <w:sz w:val="24"/>
        </w:rPr>
        <w:t>7</w:t>
      </w:r>
      <w:r w:rsidRPr="00944C6C">
        <w:rPr>
          <w:rFonts w:asciiTheme="minorEastAsia" w:eastAsiaTheme="minorEastAsia" w:hAnsiTheme="minorEastAsia" w:cs="宋体"/>
          <w:sz w:val="24"/>
        </w:rPr>
        <w:t>亿元，占总营收比重提升至24%，成为核心增长引擎。</w:t>
      </w:r>
      <w:r w:rsidRPr="00944C6C">
        <w:rPr>
          <w:rFonts w:asciiTheme="minorEastAsia" w:eastAsiaTheme="minorEastAsia" w:hAnsiTheme="minorEastAsia" w:cs="宋体"/>
          <w:sz w:val="24"/>
        </w:rPr>
        <w:cr/>
        <w:t xml:space="preserve">   海外业务：境外收入达5.64亿元，同比增长33.98%，占总营收比重为19%。过去五年海外收入累计达17</w:t>
      </w:r>
      <w:r w:rsidRPr="00944C6C">
        <w:rPr>
          <w:rFonts w:asciiTheme="minorEastAsia" w:eastAsiaTheme="minorEastAsia" w:hAnsiTheme="minorEastAsia" w:cs="宋体" w:hint="eastAsia"/>
          <w:sz w:val="24"/>
        </w:rPr>
        <w:t>.34</w:t>
      </w:r>
      <w:r w:rsidRPr="00944C6C">
        <w:rPr>
          <w:rFonts w:asciiTheme="minorEastAsia" w:eastAsiaTheme="minorEastAsia" w:hAnsiTheme="minorEastAsia" w:cs="宋体"/>
          <w:sz w:val="24"/>
        </w:rPr>
        <w:t>亿元，较“十三五”期间增长4.5倍。</w:t>
      </w:r>
    </w:p>
    <w:p w:rsidR="00EC47BD" w:rsidRPr="00944C6C" w:rsidRDefault="00EC47BD" w:rsidP="00EC47BD">
      <w:pPr>
        <w:spacing w:line="420" w:lineRule="exact"/>
        <w:ind w:firstLineChars="100" w:firstLine="240"/>
        <w:rPr>
          <w:rFonts w:asciiTheme="minorEastAsia" w:eastAsiaTheme="minorEastAsia" w:hAnsiTheme="minorEastAsia" w:cs="宋体"/>
          <w:sz w:val="24"/>
        </w:rPr>
      </w:pPr>
      <w:r w:rsidRPr="00944C6C">
        <w:rPr>
          <w:rFonts w:asciiTheme="minorEastAsia" w:eastAsiaTheme="minorEastAsia" w:hAnsiTheme="minorEastAsia" w:cs="宋体"/>
          <w:sz w:val="24"/>
        </w:rPr>
        <w:t>研发投入持续，新品迭代迅速：2025年共落地49款新产品，产品线持续丰富。</w:t>
      </w:r>
      <w:r w:rsidRPr="00944C6C">
        <w:rPr>
          <w:rFonts w:asciiTheme="minorEastAsia" w:eastAsiaTheme="minorEastAsia" w:hAnsiTheme="minorEastAsia" w:cs="宋体"/>
          <w:sz w:val="24"/>
        </w:rPr>
        <w:cr/>
      </w:r>
      <w:r w:rsidRPr="00944C6C">
        <w:rPr>
          <w:rFonts w:asciiTheme="minorEastAsia" w:eastAsiaTheme="minorEastAsia" w:hAnsiTheme="minorEastAsia" w:cs="宋体" w:hint="eastAsia"/>
          <w:sz w:val="24"/>
        </w:rPr>
        <w:t xml:space="preserve">  </w:t>
      </w:r>
      <w:r w:rsidRPr="00944C6C">
        <w:rPr>
          <w:rFonts w:asciiTheme="minorEastAsia" w:eastAsiaTheme="minorEastAsia" w:hAnsiTheme="minorEastAsia" w:cs="宋体"/>
          <w:sz w:val="24"/>
        </w:rPr>
        <w:t>股东回报力度空前：2025年全年分红预案为每10股派发现金红利</w:t>
      </w:r>
      <w:r w:rsidR="00AE5B12">
        <w:rPr>
          <w:rFonts w:asciiTheme="minorEastAsia" w:eastAsiaTheme="minorEastAsia" w:hAnsiTheme="minorEastAsia" w:cs="宋体"/>
          <w:sz w:val="24"/>
        </w:rPr>
        <w:t>5.5</w:t>
      </w:r>
      <w:r w:rsidRPr="00944C6C">
        <w:rPr>
          <w:rFonts w:asciiTheme="minorEastAsia" w:eastAsiaTheme="minorEastAsia" w:hAnsiTheme="minorEastAsia" w:cs="宋体"/>
          <w:sz w:val="24"/>
        </w:rPr>
        <w:t>元（</w:t>
      </w:r>
      <w:proofErr w:type="gramStart"/>
      <w:r w:rsidRPr="00944C6C">
        <w:rPr>
          <w:rFonts w:asciiTheme="minorEastAsia" w:eastAsiaTheme="minorEastAsia" w:hAnsiTheme="minorEastAsia" w:cs="宋体"/>
          <w:sz w:val="24"/>
        </w:rPr>
        <w:t>含中期</w:t>
      </w:r>
      <w:proofErr w:type="gramEnd"/>
      <w:r w:rsidRPr="00944C6C">
        <w:rPr>
          <w:rFonts w:asciiTheme="minorEastAsia" w:eastAsiaTheme="minorEastAsia" w:hAnsiTheme="minorEastAsia" w:cs="宋体"/>
          <w:sz w:val="24"/>
        </w:rPr>
        <w:t>已派发</w:t>
      </w:r>
      <w:r w:rsidR="00AE5B12">
        <w:rPr>
          <w:rFonts w:asciiTheme="minorEastAsia" w:eastAsiaTheme="minorEastAsia" w:hAnsiTheme="minorEastAsia" w:cs="宋体"/>
          <w:sz w:val="24"/>
        </w:rPr>
        <w:t>的现金红利），年度</w:t>
      </w:r>
      <w:r w:rsidRPr="00944C6C">
        <w:rPr>
          <w:rFonts w:asciiTheme="minorEastAsia" w:eastAsiaTheme="minorEastAsia" w:hAnsiTheme="minorEastAsia" w:cs="宋体"/>
          <w:sz w:val="24"/>
        </w:rPr>
        <w:t>现金分红比例达40</w:t>
      </w:r>
      <w:r w:rsidR="00AE5B12">
        <w:rPr>
          <w:rFonts w:asciiTheme="minorEastAsia" w:eastAsiaTheme="minorEastAsia" w:hAnsiTheme="minorEastAsia" w:cs="宋体"/>
          <w:sz w:val="24"/>
        </w:rPr>
        <w:t>.24</w:t>
      </w:r>
      <w:r w:rsidRPr="00944C6C">
        <w:rPr>
          <w:rFonts w:asciiTheme="minorEastAsia" w:eastAsiaTheme="minorEastAsia" w:hAnsiTheme="minorEastAsia" w:cs="宋体"/>
          <w:sz w:val="24"/>
        </w:rPr>
        <w:t>%。年内回购股份耗资1.5亿元。分红与回购金额合计占2025年净利润比重达62</w:t>
      </w:r>
      <w:r w:rsidR="00AE5B12">
        <w:rPr>
          <w:rFonts w:asciiTheme="minorEastAsia" w:eastAsiaTheme="minorEastAsia" w:hAnsiTheme="minorEastAsia" w:cs="宋体" w:hint="eastAsia"/>
          <w:sz w:val="24"/>
        </w:rPr>
        <w:t>.</w:t>
      </w:r>
      <w:r w:rsidR="00AE5B12">
        <w:rPr>
          <w:rFonts w:asciiTheme="minorEastAsia" w:eastAsiaTheme="minorEastAsia" w:hAnsiTheme="minorEastAsia" w:cs="宋体"/>
          <w:sz w:val="24"/>
        </w:rPr>
        <w:t>75</w:t>
      </w:r>
      <w:r w:rsidRPr="00944C6C">
        <w:rPr>
          <w:rFonts w:asciiTheme="minorEastAsia" w:eastAsiaTheme="minorEastAsia" w:hAnsiTheme="minorEastAsia" w:cs="宋体"/>
          <w:sz w:val="24"/>
        </w:rPr>
        <w:t>%。公司上市以来累计派现10.8亿元、回购耗资4.5亿元，合计金额为IPO</w:t>
      </w:r>
      <w:r w:rsidR="00AE5B12">
        <w:rPr>
          <w:rFonts w:asciiTheme="minorEastAsia" w:eastAsiaTheme="minorEastAsia" w:hAnsiTheme="minorEastAsia" w:cs="宋体"/>
          <w:sz w:val="24"/>
        </w:rPr>
        <w:t>募集资金净额</w:t>
      </w:r>
      <w:r w:rsidRPr="00944C6C">
        <w:rPr>
          <w:rFonts w:asciiTheme="minorEastAsia" w:eastAsiaTheme="minorEastAsia" w:hAnsiTheme="minorEastAsia" w:cs="宋体"/>
          <w:sz w:val="24"/>
        </w:rPr>
        <w:t>的2.5倍，</w:t>
      </w:r>
      <w:proofErr w:type="gramStart"/>
      <w:r w:rsidRPr="00944C6C">
        <w:rPr>
          <w:rFonts w:asciiTheme="minorEastAsia" w:eastAsiaTheme="minorEastAsia" w:hAnsiTheme="minorEastAsia" w:cs="宋体"/>
          <w:sz w:val="24"/>
        </w:rPr>
        <w:t>总股东</w:t>
      </w:r>
      <w:proofErr w:type="gramEnd"/>
      <w:r w:rsidRPr="00944C6C">
        <w:rPr>
          <w:rFonts w:asciiTheme="minorEastAsia" w:eastAsiaTheme="minorEastAsia" w:hAnsiTheme="minorEastAsia" w:cs="宋体"/>
          <w:sz w:val="24"/>
        </w:rPr>
        <w:t>回报率（TSR）达203%。</w:t>
      </w:r>
      <w:r w:rsidRPr="00944C6C">
        <w:rPr>
          <w:rFonts w:asciiTheme="minorEastAsia" w:eastAsiaTheme="minorEastAsia" w:hAnsiTheme="minorEastAsia" w:cs="宋体"/>
          <w:sz w:val="24"/>
        </w:rPr>
        <w:cr/>
      </w:r>
      <w:r w:rsidRPr="00944C6C">
        <w:rPr>
          <w:rFonts w:asciiTheme="minorEastAsia" w:eastAsiaTheme="minorEastAsia" w:hAnsiTheme="minorEastAsia" w:cs="宋体" w:hint="eastAsia"/>
          <w:sz w:val="24"/>
        </w:rPr>
        <w:t xml:space="preserve">  </w:t>
      </w:r>
      <w:r w:rsidRPr="00944C6C">
        <w:rPr>
          <w:rFonts w:asciiTheme="minorEastAsia" w:eastAsiaTheme="minorEastAsia" w:hAnsiTheme="minorEastAsia" w:cs="宋体"/>
          <w:sz w:val="24"/>
        </w:rPr>
        <w:t>未来回报承诺：</w:t>
      </w:r>
      <w:r w:rsidR="00AE5B12">
        <w:rPr>
          <w:rFonts w:asciiTheme="minorEastAsia" w:eastAsiaTheme="minorEastAsia" w:hAnsiTheme="minorEastAsia" w:cs="宋体"/>
          <w:sz w:val="24"/>
        </w:rPr>
        <w:t>根据</w:t>
      </w:r>
      <w:r w:rsidRPr="00944C6C">
        <w:rPr>
          <w:rFonts w:asciiTheme="minorEastAsia" w:eastAsiaTheme="minorEastAsia" w:hAnsiTheme="minorEastAsia" w:cs="宋体"/>
          <w:sz w:val="24"/>
        </w:rPr>
        <w:t>公司拟定</w:t>
      </w:r>
      <w:r w:rsidR="00AE5B12">
        <w:rPr>
          <w:rFonts w:asciiTheme="minorEastAsia" w:eastAsiaTheme="minorEastAsia" w:hAnsiTheme="minorEastAsia" w:cs="宋体"/>
          <w:sz w:val="24"/>
        </w:rPr>
        <w:t>的</w:t>
      </w:r>
      <w:r w:rsidRPr="00944C6C">
        <w:rPr>
          <w:rFonts w:asciiTheme="minorEastAsia" w:eastAsiaTheme="minorEastAsia" w:hAnsiTheme="minorEastAsia" w:cs="宋体"/>
          <w:sz w:val="24"/>
        </w:rPr>
        <w:t>提质增效行动方案，计划自2025年起未来五年，继续保持40%的基准分红率。</w:t>
      </w:r>
    </w:p>
    <w:p w:rsidR="00EC47BD" w:rsidRPr="00944C6C" w:rsidRDefault="00EC47BD" w:rsidP="00EC47BD">
      <w:pPr>
        <w:spacing w:line="420" w:lineRule="exact"/>
        <w:ind w:left="-11" w:firstLineChars="200" w:firstLine="480"/>
        <w:rPr>
          <w:rFonts w:asciiTheme="minorEastAsia" w:eastAsiaTheme="minorEastAsia" w:hAnsiTheme="minorEastAsia" w:cs="宋体"/>
          <w:sz w:val="24"/>
        </w:rPr>
      </w:pPr>
    </w:p>
    <w:p w:rsidR="00EC47BD" w:rsidRPr="00944C6C" w:rsidRDefault="00EC47BD" w:rsidP="00EC47BD">
      <w:pPr>
        <w:spacing w:line="420" w:lineRule="exact"/>
        <w:ind w:left="-11"/>
        <w:rPr>
          <w:rFonts w:asciiTheme="minorEastAsia" w:eastAsiaTheme="minorEastAsia" w:hAnsiTheme="minorEastAsia"/>
          <w:bCs/>
          <w:sz w:val="24"/>
        </w:rPr>
      </w:pPr>
      <w:r w:rsidRPr="00944C6C">
        <w:rPr>
          <w:rFonts w:asciiTheme="minorEastAsia" w:eastAsiaTheme="minorEastAsia" w:hAnsiTheme="minorEastAsia" w:hint="eastAsia"/>
          <w:b/>
          <w:sz w:val="24"/>
        </w:rPr>
        <w:t>投资者问答</w:t>
      </w:r>
      <w:r w:rsidRPr="00944C6C">
        <w:rPr>
          <w:rFonts w:asciiTheme="minorEastAsia" w:eastAsiaTheme="minorEastAsia" w:hAnsiTheme="minorEastAsia"/>
          <w:bCs/>
          <w:sz w:val="24"/>
        </w:rPr>
        <w:t xml:space="preserve"> </w:t>
      </w:r>
    </w:p>
    <w:p w:rsidR="00EC47BD" w:rsidRPr="00944C6C" w:rsidRDefault="00EC47BD" w:rsidP="00EC47BD">
      <w:pPr>
        <w:widowControl/>
        <w:wordWrap w:val="0"/>
        <w:spacing w:line="420" w:lineRule="exact"/>
        <w:ind w:firstLineChars="200" w:firstLine="482"/>
        <w:rPr>
          <w:rFonts w:asciiTheme="minorEastAsia" w:eastAsiaTheme="minorEastAsia" w:hAnsiTheme="minorEastAsia"/>
          <w:b/>
          <w:bCs/>
          <w:sz w:val="24"/>
        </w:rPr>
      </w:pPr>
      <w:r w:rsidRPr="00944C6C">
        <w:rPr>
          <w:rFonts w:asciiTheme="minorEastAsia" w:eastAsiaTheme="minorEastAsia" w:hAnsiTheme="minorEastAsia"/>
          <w:b/>
          <w:bCs/>
          <w:sz w:val="24"/>
        </w:rPr>
        <w:t>Q：电网“十五五”将配电侧、新能源接入摆在核心位置，公司认为未来几年有哪些大的产品机遇？公司的研发储备是否已做好承接这些机会的准备？</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r w:rsidRPr="00944C6C">
        <w:rPr>
          <w:rFonts w:asciiTheme="minorEastAsia" w:eastAsiaTheme="minorEastAsia" w:hAnsiTheme="minorEastAsia"/>
          <w:sz w:val="24"/>
        </w:rPr>
        <w:t>A：根据国家电网、南方电网披露的相关投资规划，“十五五”期间两大电网公司合计规划投资规模约5</w:t>
      </w:r>
      <w:proofErr w:type="gramStart"/>
      <w:r w:rsidRPr="00944C6C">
        <w:rPr>
          <w:rFonts w:asciiTheme="minorEastAsia" w:eastAsiaTheme="minorEastAsia" w:hAnsiTheme="minorEastAsia"/>
          <w:sz w:val="24"/>
        </w:rPr>
        <w:t>万亿</w:t>
      </w:r>
      <w:proofErr w:type="gramEnd"/>
      <w:r w:rsidRPr="00944C6C">
        <w:rPr>
          <w:rFonts w:asciiTheme="minorEastAsia" w:eastAsiaTheme="minorEastAsia" w:hAnsiTheme="minorEastAsia"/>
          <w:sz w:val="24"/>
        </w:rPr>
        <w:t>元，其中配网投资占比约40%-45%、数字化投资占比约10%-15%，配网建设与电网数字化智能化改造将成为行业核心增长方向。公司产品及业务全面覆盖配电自动化、台区自治和台区配网升级改造、电网AI平台</w:t>
      </w:r>
      <w:proofErr w:type="gramStart"/>
      <w:r w:rsidRPr="00944C6C">
        <w:rPr>
          <w:rFonts w:asciiTheme="minorEastAsia" w:eastAsiaTheme="minorEastAsia" w:hAnsiTheme="minorEastAsia"/>
          <w:sz w:val="24"/>
        </w:rPr>
        <w:t>全产品</w:t>
      </w:r>
      <w:proofErr w:type="gramEnd"/>
      <w:r w:rsidRPr="00944C6C">
        <w:rPr>
          <w:rFonts w:asciiTheme="minorEastAsia" w:eastAsiaTheme="minorEastAsia" w:hAnsiTheme="minorEastAsia"/>
          <w:sz w:val="24"/>
        </w:rPr>
        <w:t>线，契合配网升级和电网数字化转型的核心市场需求，具备广阔的市场拓展空间，同时公司凭借多年的业务积累与技术沉淀，已完成相关技术储备与产业合作布局，将持续深耕相关领域，不断提升核心竞争力与市场份额，积极把握行业发展带来的市场机遇。</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p>
    <w:p w:rsidR="00EC47BD" w:rsidRPr="00944C6C" w:rsidRDefault="00EC47BD" w:rsidP="00EC47BD">
      <w:pPr>
        <w:widowControl/>
        <w:wordWrap w:val="0"/>
        <w:spacing w:line="420" w:lineRule="exact"/>
        <w:ind w:firstLineChars="200" w:firstLine="482"/>
        <w:rPr>
          <w:rFonts w:asciiTheme="minorEastAsia" w:eastAsiaTheme="minorEastAsia" w:hAnsiTheme="minorEastAsia"/>
          <w:b/>
          <w:bCs/>
          <w:sz w:val="24"/>
        </w:rPr>
      </w:pPr>
      <w:r w:rsidRPr="00944C6C">
        <w:rPr>
          <w:rFonts w:asciiTheme="minorEastAsia" w:eastAsiaTheme="minorEastAsia" w:hAnsiTheme="minorEastAsia"/>
          <w:b/>
          <w:bCs/>
          <w:sz w:val="24"/>
        </w:rPr>
        <w:lastRenderedPageBreak/>
        <w:t>Q：公司基于</w:t>
      </w:r>
      <w:proofErr w:type="gramStart"/>
      <w:r w:rsidRPr="00944C6C">
        <w:rPr>
          <w:rFonts w:asciiTheme="minorEastAsia" w:eastAsiaTheme="minorEastAsia" w:hAnsiTheme="minorEastAsia"/>
          <w:b/>
          <w:bCs/>
          <w:sz w:val="24"/>
        </w:rPr>
        <w:t>南网电鸿</w:t>
      </w:r>
      <w:proofErr w:type="gramEnd"/>
      <w:r w:rsidRPr="00944C6C">
        <w:rPr>
          <w:rFonts w:asciiTheme="minorEastAsia" w:eastAsiaTheme="minorEastAsia" w:hAnsiTheme="minorEastAsia"/>
          <w:b/>
          <w:bCs/>
          <w:sz w:val="24"/>
        </w:rPr>
        <w:t>操作系统的开发适配、系统组件，2026年有哪些落地和拓展方向？</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r w:rsidRPr="00944C6C">
        <w:rPr>
          <w:rFonts w:asciiTheme="minorEastAsia" w:eastAsiaTheme="minorEastAsia" w:hAnsiTheme="minorEastAsia"/>
          <w:sz w:val="24"/>
        </w:rPr>
        <w:t>A：</w:t>
      </w:r>
      <w:proofErr w:type="gramStart"/>
      <w:r w:rsidRPr="00944C6C">
        <w:rPr>
          <w:rFonts w:asciiTheme="minorEastAsia" w:eastAsiaTheme="minorEastAsia" w:hAnsiTheme="minorEastAsia"/>
          <w:sz w:val="24"/>
        </w:rPr>
        <w:t>电鸿操作系统</w:t>
      </w:r>
      <w:proofErr w:type="gramEnd"/>
      <w:r w:rsidRPr="00944C6C">
        <w:rPr>
          <w:rFonts w:asciiTheme="minorEastAsia" w:eastAsiaTheme="minorEastAsia" w:hAnsiTheme="minorEastAsia"/>
          <w:sz w:val="24"/>
        </w:rPr>
        <w:t>是南方电网国产化核心战略布局，核心目标是实现电网核心设备自主可控，公司已将其纳入AI+鸿蒙+能源的整体生态布局中，目前公司是</w:t>
      </w:r>
      <w:proofErr w:type="gramStart"/>
      <w:r w:rsidRPr="00944C6C">
        <w:rPr>
          <w:rFonts w:asciiTheme="minorEastAsia" w:eastAsiaTheme="minorEastAsia" w:hAnsiTheme="minorEastAsia"/>
          <w:sz w:val="24"/>
        </w:rPr>
        <w:t>南网电鸿</w:t>
      </w:r>
      <w:proofErr w:type="gramEnd"/>
      <w:r w:rsidRPr="00944C6C">
        <w:rPr>
          <w:rFonts w:asciiTheme="minorEastAsia" w:eastAsiaTheme="minorEastAsia" w:hAnsiTheme="minorEastAsia"/>
          <w:sz w:val="24"/>
        </w:rPr>
        <w:t>生态核心合作伙伴，已获得“电鸿生态之星”认证，已有10多款产品</w:t>
      </w:r>
      <w:proofErr w:type="gramStart"/>
      <w:r w:rsidRPr="00944C6C">
        <w:rPr>
          <w:rFonts w:asciiTheme="minorEastAsia" w:eastAsiaTheme="minorEastAsia" w:hAnsiTheme="minorEastAsia"/>
          <w:sz w:val="24"/>
        </w:rPr>
        <w:t>完成电鸿认证</w:t>
      </w:r>
      <w:proofErr w:type="gramEnd"/>
      <w:r w:rsidRPr="00944C6C">
        <w:rPr>
          <w:rFonts w:asciiTheme="minorEastAsia" w:eastAsiaTheme="minorEastAsia" w:hAnsiTheme="minorEastAsia"/>
          <w:sz w:val="24"/>
        </w:rPr>
        <w:t>，产品覆盖感知层（监测/感知设备）、网关层（通讯网关/模块）、应用层全链条。2026年公司将推进全系列产品</w:t>
      </w:r>
      <w:proofErr w:type="gramStart"/>
      <w:r w:rsidRPr="00944C6C">
        <w:rPr>
          <w:rFonts w:asciiTheme="minorEastAsia" w:eastAsiaTheme="minorEastAsia" w:hAnsiTheme="minorEastAsia"/>
          <w:sz w:val="24"/>
        </w:rPr>
        <w:t>电鸿化</w:t>
      </w:r>
      <w:proofErr w:type="gramEnd"/>
      <w:r w:rsidRPr="00944C6C">
        <w:rPr>
          <w:rFonts w:asciiTheme="minorEastAsia" w:eastAsiaTheme="minorEastAsia" w:hAnsiTheme="minorEastAsia"/>
          <w:sz w:val="24"/>
        </w:rPr>
        <w:t>适配，实现向南网供货的全系列产品</w:t>
      </w:r>
      <w:proofErr w:type="gramStart"/>
      <w:r w:rsidRPr="00944C6C">
        <w:rPr>
          <w:rFonts w:asciiTheme="minorEastAsia" w:eastAsiaTheme="minorEastAsia" w:hAnsiTheme="minorEastAsia"/>
          <w:sz w:val="24"/>
        </w:rPr>
        <w:t>完成电鸿认证</w:t>
      </w:r>
      <w:proofErr w:type="gramEnd"/>
      <w:r w:rsidRPr="00944C6C">
        <w:rPr>
          <w:rFonts w:asciiTheme="minorEastAsia" w:eastAsiaTheme="minorEastAsia" w:hAnsiTheme="minorEastAsia"/>
          <w:sz w:val="24"/>
        </w:rPr>
        <w:t>，完成主流芯片</w:t>
      </w:r>
      <w:proofErr w:type="gramStart"/>
      <w:r w:rsidRPr="00944C6C">
        <w:rPr>
          <w:rFonts w:asciiTheme="minorEastAsia" w:eastAsiaTheme="minorEastAsia" w:hAnsiTheme="minorEastAsia"/>
          <w:sz w:val="24"/>
        </w:rPr>
        <w:t>的电鸿适配</w:t>
      </w:r>
      <w:proofErr w:type="gramEnd"/>
      <w:r w:rsidRPr="00944C6C">
        <w:rPr>
          <w:rFonts w:asciiTheme="minorEastAsia" w:eastAsiaTheme="minorEastAsia" w:hAnsiTheme="minorEastAsia"/>
          <w:sz w:val="24"/>
        </w:rPr>
        <w:t>，以及应用软件API接口与</w:t>
      </w:r>
      <w:proofErr w:type="gramStart"/>
      <w:r w:rsidRPr="00944C6C">
        <w:rPr>
          <w:rFonts w:asciiTheme="minorEastAsia" w:eastAsiaTheme="minorEastAsia" w:hAnsiTheme="minorEastAsia"/>
          <w:sz w:val="24"/>
        </w:rPr>
        <w:t>电鸿系统</w:t>
      </w:r>
      <w:proofErr w:type="gramEnd"/>
      <w:r w:rsidRPr="00944C6C">
        <w:rPr>
          <w:rFonts w:asciiTheme="minorEastAsia" w:eastAsiaTheme="minorEastAsia" w:hAnsiTheme="minorEastAsia"/>
          <w:sz w:val="24"/>
        </w:rPr>
        <w:t>的标准化对接，同时深化生态合作绑定，全方位支撑</w:t>
      </w:r>
      <w:proofErr w:type="gramStart"/>
      <w:r w:rsidRPr="00944C6C">
        <w:rPr>
          <w:rFonts w:asciiTheme="minorEastAsia" w:eastAsiaTheme="minorEastAsia" w:hAnsiTheme="minorEastAsia"/>
          <w:sz w:val="24"/>
        </w:rPr>
        <w:t>南网电鸿</w:t>
      </w:r>
      <w:proofErr w:type="gramEnd"/>
      <w:r w:rsidRPr="00944C6C">
        <w:rPr>
          <w:rFonts w:asciiTheme="minorEastAsia" w:eastAsiaTheme="minorEastAsia" w:hAnsiTheme="minorEastAsia"/>
          <w:sz w:val="24"/>
        </w:rPr>
        <w:t>国产化战略落地，此外还将推进场景化融合应用，将</w:t>
      </w:r>
      <w:proofErr w:type="gramStart"/>
      <w:r w:rsidRPr="00944C6C">
        <w:rPr>
          <w:rFonts w:asciiTheme="minorEastAsia" w:eastAsiaTheme="minorEastAsia" w:hAnsiTheme="minorEastAsia"/>
          <w:sz w:val="24"/>
        </w:rPr>
        <w:t>电鸿系统</w:t>
      </w:r>
      <w:proofErr w:type="gramEnd"/>
      <w:r w:rsidRPr="00944C6C">
        <w:rPr>
          <w:rFonts w:asciiTheme="minorEastAsia" w:eastAsiaTheme="minorEastAsia" w:hAnsiTheme="minorEastAsia"/>
          <w:sz w:val="24"/>
        </w:rPr>
        <w:t>与AI、鸿蒙生态深度结合，落地电网、数据中心等核心应用场景，同时依托长沙本地鸿蒙产业布局，推进物联网终端与鸿蒙系统的联合研发工作。</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p>
    <w:p w:rsidR="00EC47BD" w:rsidRPr="00944C6C" w:rsidRDefault="00EC47BD" w:rsidP="00EC47BD">
      <w:pPr>
        <w:widowControl/>
        <w:wordWrap w:val="0"/>
        <w:spacing w:line="420" w:lineRule="exact"/>
        <w:ind w:firstLineChars="200" w:firstLine="482"/>
        <w:rPr>
          <w:rFonts w:asciiTheme="minorEastAsia" w:eastAsiaTheme="minorEastAsia" w:hAnsiTheme="minorEastAsia"/>
          <w:b/>
          <w:bCs/>
          <w:sz w:val="24"/>
        </w:rPr>
      </w:pPr>
      <w:r w:rsidRPr="00944C6C">
        <w:rPr>
          <w:rFonts w:asciiTheme="minorEastAsia" w:eastAsiaTheme="minorEastAsia" w:hAnsiTheme="minorEastAsia"/>
          <w:b/>
          <w:bCs/>
          <w:sz w:val="24"/>
        </w:rPr>
        <w:t>Q：公司2025年AI业务收入占比达24%，该业务的核心收入结构、产品/竞争力是什么？</w:t>
      </w:r>
      <w:r w:rsidRPr="00944C6C">
        <w:rPr>
          <w:rFonts w:asciiTheme="minorEastAsia" w:eastAsiaTheme="minorEastAsia" w:hAnsiTheme="minorEastAsia" w:hint="eastAsia"/>
          <w:b/>
          <w:bCs/>
          <w:sz w:val="24"/>
        </w:rPr>
        <w:t xml:space="preserve"> </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r w:rsidRPr="00944C6C">
        <w:rPr>
          <w:rFonts w:asciiTheme="minorEastAsia" w:eastAsiaTheme="minorEastAsia" w:hAnsiTheme="minorEastAsia"/>
          <w:sz w:val="24"/>
        </w:rPr>
        <w:t>A：2025年公司AI相关收入7.37亿元，占主营业务收入比重24%，其中主要收入来自南方电网相关业务，公司AI业务核心产品与解决方案包括智能监测（聚焦输电/配电线路）、AI故障治愈、负荷预测（用电端）、边缘计算网关、配电自动化AI</w:t>
      </w:r>
      <w:proofErr w:type="gramStart"/>
      <w:r w:rsidRPr="00944C6C">
        <w:rPr>
          <w:rFonts w:asciiTheme="minorEastAsia" w:eastAsiaTheme="minorEastAsia" w:hAnsiTheme="minorEastAsia"/>
          <w:sz w:val="24"/>
        </w:rPr>
        <w:t>研判软件</w:t>
      </w:r>
      <w:proofErr w:type="gramEnd"/>
      <w:r w:rsidRPr="00944C6C">
        <w:rPr>
          <w:rFonts w:asciiTheme="minorEastAsia" w:eastAsiaTheme="minorEastAsia" w:hAnsiTheme="minorEastAsia"/>
          <w:sz w:val="24"/>
        </w:rPr>
        <w:t>系统等，核心竞争力在于打造了“终端感知+边缘计算+云端AI”的一体化技术方案，深度</w:t>
      </w:r>
      <w:proofErr w:type="gramStart"/>
      <w:r w:rsidRPr="00944C6C">
        <w:rPr>
          <w:rFonts w:asciiTheme="minorEastAsia" w:eastAsiaTheme="minorEastAsia" w:hAnsiTheme="minorEastAsia"/>
          <w:sz w:val="24"/>
        </w:rPr>
        <w:t>适</w:t>
      </w:r>
      <w:proofErr w:type="gramEnd"/>
      <w:r w:rsidRPr="00944C6C">
        <w:rPr>
          <w:rFonts w:asciiTheme="minorEastAsia" w:eastAsiaTheme="minorEastAsia" w:hAnsiTheme="minorEastAsia"/>
          <w:sz w:val="24"/>
        </w:rPr>
        <w:t>配电网智能化改造需求，可有效支撑电网负荷管理、线路监测管理的数字化升级。公司将持续深耕AI+能源的融合应用场景，全力推动AI业务延续良好的增长态势</w:t>
      </w:r>
      <w:r>
        <w:rPr>
          <w:rFonts w:asciiTheme="minorEastAsia" w:eastAsiaTheme="minorEastAsia" w:hAnsiTheme="minorEastAsia" w:hint="eastAsia"/>
          <w:sz w:val="24"/>
        </w:rPr>
        <w:t>。</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p>
    <w:p w:rsidR="00EC47BD" w:rsidRPr="00944C6C" w:rsidRDefault="00EC47BD" w:rsidP="00EC47BD">
      <w:pPr>
        <w:widowControl/>
        <w:wordWrap w:val="0"/>
        <w:spacing w:line="420" w:lineRule="exact"/>
        <w:ind w:firstLineChars="200" w:firstLine="482"/>
        <w:rPr>
          <w:rFonts w:asciiTheme="minorEastAsia" w:eastAsiaTheme="minorEastAsia" w:hAnsiTheme="minorEastAsia"/>
          <w:b/>
          <w:bCs/>
          <w:sz w:val="24"/>
        </w:rPr>
      </w:pPr>
      <w:r w:rsidRPr="00944C6C">
        <w:rPr>
          <w:rFonts w:asciiTheme="minorEastAsia" w:eastAsiaTheme="minorEastAsia" w:hAnsiTheme="minorEastAsia" w:hint="eastAsia"/>
          <w:b/>
          <w:bCs/>
          <w:sz w:val="24"/>
        </w:rPr>
        <w:t>Q:</w:t>
      </w:r>
      <w:r w:rsidRPr="00944C6C">
        <w:rPr>
          <w:rFonts w:asciiTheme="minorEastAsia" w:eastAsiaTheme="minorEastAsia" w:hAnsiTheme="minorEastAsia"/>
          <w:b/>
          <w:bCs/>
          <w:sz w:val="24"/>
        </w:rPr>
        <w:t>人工智能飞速发展，公司在这方面有何布局？</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r w:rsidRPr="00944C6C">
        <w:rPr>
          <w:rFonts w:asciiTheme="minorEastAsia" w:eastAsiaTheme="minorEastAsia" w:hAnsiTheme="minorEastAsia" w:hint="eastAsia"/>
          <w:sz w:val="24"/>
        </w:rPr>
        <w:t>A</w:t>
      </w:r>
      <w:r w:rsidRPr="00944C6C">
        <w:rPr>
          <w:rFonts w:asciiTheme="minorEastAsia" w:eastAsiaTheme="minorEastAsia" w:hAnsiTheme="minorEastAsia"/>
          <w:sz w:val="24"/>
        </w:rPr>
        <w:t>：公司以 “物联网 + 芯片 + 人工智能” 为核心竞争力，2025 年 AI 技术已在核心业务实现规模化应用，相关产品收入 7.37 亿元，占主营收入 24%。当前公司聚焦能源领域 AI 核心技术研发，联合攻坚关键技术、研发内嵌 AI 算法的芯片，将 AI 深度嵌入核心产品，落地数字电网、</w:t>
      </w:r>
      <w:proofErr w:type="gramStart"/>
      <w:r w:rsidRPr="00944C6C">
        <w:rPr>
          <w:rFonts w:asciiTheme="minorEastAsia" w:eastAsiaTheme="minorEastAsia" w:hAnsiTheme="minorEastAsia"/>
          <w:sz w:val="24"/>
        </w:rPr>
        <w:t>数智城市</w:t>
      </w:r>
      <w:proofErr w:type="gramEnd"/>
      <w:r w:rsidRPr="00944C6C">
        <w:rPr>
          <w:rFonts w:asciiTheme="minorEastAsia" w:eastAsiaTheme="minorEastAsia" w:hAnsiTheme="minorEastAsia"/>
          <w:sz w:val="24"/>
        </w:rPr>
        <w:t>多场景方案，同步启动 AI 数据中心</w:t>
      </w:r>
      <w:proofErr w:type="gramStart"/>
      <w:r w:rsidRPr="00944C6C">
        <w:rPr>
          <w:rFonts w:asciiTheme="minorEastAsia" w:eastAsiaTheme="minorEastAsia" w:hAnsiTheme="minorEastAsia"/>
          <w:sz w:val="24"/>
        </w:rPr>
        <w:t>配套业务</w:t>
      </w:r>
      <w:proofErr w:type="gramEnd"/>
      <w:r w:rsidRPr="00944C6C">
        <w:rPr>
          <w:rFonts w:asciiTheme="minorEastAsia" w:eastAsiaTheme="minorEastAsia" w:hAnsiTheme="minorEastAsia"/>
          <w:sz w:val="24"/>
        </w:rPr>
        <w:t>拓展。2026 年及未来，公司将 AI 智算定为</w:t>
      </w:r>
      <w:r w:rsidRPr="00944C6C">
        <w:rPr>
          <w:rFonts w:asciiTheme="minorEastAsia" w:eastAsiaTheme="minorEastAsia" w:hAnsiTheme="minorEastAsia" w:hint="eastAsia"/>
          <w:sz w:val="24"/>
        </w:rPr>
        <w:t>重要增长</w:t>
      </w:r>
      <w:r w:rsidRPr="00944C6C">
        <w:rPr>
          <w:rFonts w:asciiTheme="minorEastAsia" w:eastAsiaTheme="minorEastAsia" w:hAnsiTheme="minorEastAsia"/>
          <w:sz w:val="24"/>
        </w:rPr>
        <w:t>赛道，持续深化相关研发与产业布局。</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p>
    <w:p w:rsidR="00EC47BD" w:rsidRPr="00944C6C" w:rsidRDefault="00EC47BD" w:rsidP="00EC47BD">
      <w:pPr>
        <w:widowControl/>
        <w:wordWrap w:val="0"/>
        <w:spacing w:line="420" w:lineRule="exact"/>
        <w:ind w:firstLineChars="200" w:firstLine="482"/>
        <w:rPr>
          <w:rFonts w:asciiTheme="minorEastAsia" w:eastAsiaTheme="minorEastAsia" w:hAnsiTheme="minorEastAsia"/>
          <w:b/>
          <w:bCs/>
          <w:sz w:val="24"/>
        </w:rPr>
      </w:pPr>
      <w:r w:rsidRPr="00944C6C">
        <w:rPr>
          <w:rFonts w:asciiTheme="minorEastAsia" w:eastAsiaTheme="minorEastAsia" w:hAnsiTheme="minorEastAsia"/>
          <w:b/>
          <w:bCs/>
          <w:sz w:val="24"/>
        </w:rPr>
        <w:t>Q：公司对2026年网关招标量的预期是什么？公司网关相关产品的市场份额预期如何？</w:t>
      </w:r>
    </w:p>
    <w:p w:rsidR="00EC47BD" w:rsidRPr="00944C6C" w:rsidRDefault="00EC47BD" w:rsidP="00EC47BD">
      <w:pPr>
        <w:widowControl/>
        <w:wordWrap w:val="0"/>
        <w:spacing w:line="420" w:lineRule="exact"/>
        <w:ind w:firstLineChars="200" w:firstLine="480"/>
        <w:rPr>
          <w:rFonts w:asciiTheme="minorEastAsia" w:eastAsiaTheme="minorEastAsia" w:hAnsiTheme="minorEastAsia"/>
          <w:sz w:val="24"/>
        </w:rPr>
      </w:pPr>
      <w:r w:rsidRPr="00944C6C">
        <w:rPr>
          <w:rFonts w:asciiTheme="minorEastAsia" w:eastAsiaTheme="minorEastAsia" w:hAnsiTheme="minorEastAsia"/>
          <w:sz w:val="24"/>
        </w:rPr>
        <w:lastRenderedPageBreak/>
        <w:t>A：根据国家电网、南方电网披露的招标规划，2026年国家电网网关相关招标将分批次开展，南方电网相关招标工作也已明确规划，目前融合终端、配电终端的相关标准已完成送检/更新工作，预计2026年网关及相关配电、融合终端招标量将恢复并实现放量。公司将持续巩固网关及相关配电/融合终端产品的行业领先地位，同时为相关产品</w:t>
      </w:r>
      <w:proofErr w:type="gramStart"/>
      <w:r w:rsidRPr="00944C6C">
        <w:rPr>
          <w:rFonts w:asciiTheme="minorEastAsia" w:eastAsiaTheme="minorEastAsia" w:hAnsiTheme="minorEastAsia"/>
          <w:sz w:val="24"/>
        </w:rPr>
        <w:t>赋能电鸿生态</w:t>
      </w:r>
      <w:proofErr w:type="gramEnd"/>
      <w:r w:rsidRPr="00944C6C">
        <w:rPr>
          <w:rFonts w:asciiTheme="minorEastAsia" w:eastAsiaTheme="minorEastAsia" w:hAnsiTheme="minorEastAsia"/>
          <w:sz w:val="24"/>
        </w:rPr>
        <w:t>适配、海外</w:t>
      </w:r>
      <w:r w:rsidRPr="00944C6C">
        <w:rPr>
          <w:rFonts w:asciiTheme="minorEastAsia" w:eastAsiaTheme="minorEastAsia" w:hAnsiTheme="minorEastAsia" w:hint="eastAsia"/>
          <w:sz w:val="24"/>
        </w:rPr>
        <w:t>A</w:t>
      </w:r>
      <w:r w:rsidRPr="00944C6C">
        <w:rPr>
          <w:rFonts w:asciiTheme="minorEastAsia" w:eastAsiaTheme="minorEastAsia" w:hAnsiTheme="minorEastAsia"/>
          <w:sz w:val="24"/>
        </w:rPr>
        <w:t>MI2.0标准适配能力，持续提升产品附加值与海内外市场竞争力，推动相关业务板块稳步增长。</w:t>
      </w:r>
    </w:p>
    <w:p w:rsidR="00EC47BD" w:rsidRPr="00944C6C" w:rsidRDefault="00EC47BD" w:rsidP="00EC47BD">
      <w:pPr>
        <w:widowControl/>
        <w:wordWrap w:val="0"/>
        <w:spacing w:line="420" w:lineRule="exact"/>
        <w:rPr>
          <w:rFonts w:asciiTheme="minorEastAsia" w:eastAsiaTheme="minorEastAsia" w:hAnsiTheme="minorEastAsia"/>
          <w:sz w:val="24"/>
        </w:rPr>
      </w:pPr>
    </w:p>
    <w:p w:rsidR="00EC47BD" w:rsidRPr="00944C6C" w:rsidRDefault="00EC47BD" w:rsidP="00EC47BD">
      <w:pPr>
        <w:widowControl/>
        <w:wordWrap w:val="0"/>
        <w:spacing w:line="420" w:lineRule="exact"/>
        <w:ind w:firstLineChars="200" w:firstLine="482"/>
        <w:rPr>
          <w:rFonts w:asciiTheme="minorEastAsia" w:eastAsiaTheme="minorEastAsia" w:hAnsiTheme="minorEastAsia"/>
          <w:b/>
          <w:bCs/>
          <w:sz w:val="24"/>
        </w:rPr>
      </w:pPr>
      <w:r w:rsidRPr="00944C6C">
        <w:rPr>
          <w:rFonts w:asciiTheme="minorEastAsia" w:eastAsiaTheme="minorEastAsia" w:hAnsiTheme="minorEastAsia"/>
          <w:b/>
          <w:bCs/>
          <w:sz w:val="24"/>
        </w:rPr>
        <w:t xml:space="preserve"> Q:之前和公司交流有提到过，未来公司的模块和芯片将更广泛的面向电网的除电表模块的市场机会，“十五五”期间的高比例配网及数字化投资改造将会带来哪些除电表之外的模块类市场机会？公司在该领域有哪些布局与落地成果？</w:t>
      </w:r>
    </w:p>
    <w:p w:rsidR="00AE5B12" w:rsidRPr="00AE5B12" w:rsidRDefault="00EC47BD" w:rsidP="00AE5B12">
      <w:pPr>
        <w:widowControl/>
        <w:wordWrap w:val="0"/>
        <w:spacing w:line="420" w:lineRule="exact"/>
        <w:ind w:firstLineChars="200" w:firstLine="480"/>
        <w:rPr>
          <w:rFonts w:asciiTheme="minorEastAsia" w:eastAsiaTheme="minorEastAsia" w:hAnsiTheme="minorEastAsia" w:hint="eastAsia"/>
          <w:sz w:val="24"/>
        </w:rPr>
      </w:pPr>
      <w:r w:rsidRPr="00944C6C">
        <w:rPr>
          <w:rFonts w:asciiTheme="minorEastAsia" w:eastAsiaTheme="minorEastAsia" w:hAnsiTheme="minorEastAsia"/>
          <w:sz w:val="24"/>
        </w:rPr>
        <w:t xml:space="preserve"> A:</w:t>
      </w:r>
      <w:r w:rsidR="00AE5B12" w:rsidRPr="00AE5B12">
        <w:rPr>
          <w:rFonts w:hint="eastAsia"/>
        </w:rPr>
        <w:t xml:space="preserve"> </w:t>
      </w:r>
      <w:r w:rsidR="00AE5B12" w:rsidRPr="00AE5B12">
        <w:rPr>
          <w:rFonts w:asciiTheme="minorEastAsia" w:eastAsiaTheme="minorEastAsia" w:hAnsiTheme="minorEastAsia" w:hint="eastAsia"/>
          <w:sz w:val="24"/>
        </w:rPr>
        <w:t>“十五五”期间，我国新型电力系统建设</w:t>
      </w:r>
      <w:proofErr w:type="gramStart"/>
      <w:r w:rsidR="00AE5B12" w:rsidRPr="00AE5B12">
        <w:rPr>
          <w:rFonts w:asciiTheme="minorEastAsia" w:eastAsiaTheme="minorEastAsia" w:hAnsiTheme="minorEastAsia" w:hint="eastAsia"/>
          <w:sz w:val="24"/>
        </w:rPr>
        <w:t>持续向配用电</w:t>
      </w:r>
      <w:proofErr w:type="gramEnd"/>
      <w:r w:rsidR="00AE5B12" w:rsidRPr="00AE5B12">
        <w:rPr>
          <w:rFonts w:asciiTheme="minorEastAsia" w:eastAsiaTheme="minorEastAsia" w:hAnsiTheme="minorEastAsia" w:hint="eastAsia"/>
          <w:sz w:val="24"/>
        </w:rPr>
        <w:t>侧深度延伸，行业配网投资占比将在40%-45%区间，数字化投资占比约10%-15%，配网建设升级与电网数字化智能化改造，成为电力行业主要投资方向。围绕台区自洽、</w:t>
      </w:r>
      <w:proofErr w:type="gramStart"/>
      <w:r w:rsidR="00AE5B12" w:rsidRPr="00AE5B12">
        <w:rPr>
          <w:rFonts w:asciiTheme="minorEastAsia" w:eastAsiaTheme="minorEastAsia" w:hAnsiTheme="minorEastAsia" w:hint="eastAsia"/>
          <w:sz w:val="24"/>
        </w:rPr>
        <w:t>配微协同</w:t>
      </w:r>
      <w:proofErr w:type="gramEnd"/>
      <w:r w:rsidR="00AE5B12" w:rsidRPr="00AE5B12">
        <w:rPr>
          <w:rFonts w:asciiTheme="minorEastAsia" w:eastAsiaTheme="minorEastAsia" w:hAnsiTheme="minorEastAsia" w:hint="eastAsia"/>
          <w:sz w:val="24"/>
        </w:rPr>
        <w:t>、微电网规模化建设三大核心场景，行业将催生万亿级的配用电侧智能化改造市场，其中非电表类末端设备节点及配套通信模块、芯片需求，将成为公司重点布局的增长赛道。</w:t>
      </w:r>
    </w:p>
    <w:p w:rsidR="00AE5B12" w:rsidRPr="00AE5B12" w:rsidRDefault="00AE5B12" w:rsidP="00AE5B12">
      <w:pPr>
        <w:widowControl/>
        <w:wordWrap w:val="0"/>
        <w:spacing w:line="420" w:lineRule="exact"/>
        <w:ind w:firstLineChars="200" w:firstLine="480"/>
        <w:rPr>
          <w:rFonts w:asciiTheme="minorEastAsia" w:eastAsiaTheme="minorEastAsia" w:hAnsiTheme="minorEastAsia" w:hint="eastAsia"/>
          <w:sz w:val="24"/>
        </w:rPr>
      </w:pPr>
      <w:r w:rsidRPr="00AE5B12">
        <w:rPr>
          <w:rFonts w:asciiTheme="minorEastAsia" w:eastAsiaTheme="minorEastAsia" w:hAnsiTheme="minorEastAsia" w:hint="eastAsia"/>
          <w:sz w:val="24"/>
        </w:rPr>
        <w:t>从市场规模来看，国家电网2030年其系统接入终端设备规模将达到约20亿只；南方电网白皮书提到，当前单配电台区规划的非电表类设备节点达245个，其全域约115万个台区，仅非电表设备就将带来2.8亿个新增节点，对应市场规模超1000亿元。放眼全国两大电网市场，“十五五”</w:t>
      </w:r>
      <w:proofErr w:type="gramStart"/>
      <w:r w:rsidRPr="00AE5B12">
        <w:rPr>
          <w:rFonts w:asciiTheme="minorEastAsia" w:eastAsiaTheme="minorEastAsia" w:hAnsiTheme="minorEastAsia" w:hint="eastAsia"/>
          <w:sz w:val="24"/>
        </w:rPr>
        <w:t>配网数智化</w:t>
      </w:r>
      <w:proofErr w:type="gramEnd"/>
      <w:r w:rsidRPr="00AE5B12">
        <w:rPr>
          <w:rFonts w:asciiTheme="minorEastAsia" w:eastAsiaTheme="minorEastAsia" w:hAnsiTheme="minorEastAsia" w:hint="eastAsia"/>
          <w:sz w:val="24"/>
        </w:rPr>
        <w:t>改造将催生亿级的非电表末端设备节点，以及与之配套的海量通信模块、芯片需求。</w:t>
      </w:r>
    </w:p>
    <w:p w:rsidR="00AE5B12" w:rsidRPr="00AE5B12" w:rsidRDefault="00AE5B12" w:rsidP="00AE5B12">
      <w:pPr>
        <w:widowControl/>
        <w:wordWrap w:val="0"/>
        <w:spacing w:line="420" w:lineRule="exact"/>
        <w:ind w:firstLineChars="200" w:firstLine="480"/>
        <w:rPr>
          <w:rFonts w:asciiTheme="minorEastAsia" w:eastAsiaTheme="minorEastAsia" w:hAnsiTheme="minorEastAsia" w:hint="eastAsia"/>
          <w:sz w:val="24"/>
        </w:rPr>
      </w:pPr>
      <w:r w:rsidRPr="00AE5B12">
        <w:rPr>
          <w:rFonts w:asciiTheme="minorEastAsia" w:eastAsiaTheme="minorEastAsia" w:hAnsiTheme="minorEastAsia" w:hint="eastAsia"/>
          <w:sz w:val="24"/>
        </w:rPr>
        <w:t>公司核心产品融合终端，是配用电台区实现自治管控的“智能大脑”：向下可通过各类感知层设备单元，实现对末端全量设备的接入、监测与精准管控；向上可全面支撑台区自洽策略执行、</w:t>
      </w:r>
      <w:proofErr w:type="gramStart"/>
      <w:r w:rsidRPr="00AE5B12">
        <w:rPr>
          <w:rFonts w:asciiTheme="minorEastAsia" w:eastAsiaTheme="minorEastAsia" w:hAnsiTheme="minorEastAsia" w:hint="eastAsia"/>
          <w:sz w:val="24"/>
        </w:rPr>
        <w:t>配微协同</w:t>
      </w:r>
      <w:proofErr w:type="gramEnd"/>
      <w:r w:rsidRPr="00AE5B12">
        <w:rPr>
          <w:rFonts w:asciiTheme="minorEastAsia" w:eastAsiaTheme="minorEastAsia" w:hAnsiTheme="minorEastAsia" w:hint="eastAsia"/>
          <w:sz w:val="24"/>
        </w:rPr>
        <w:t>调度、微电网稳定运行的核心需求，目前国网、</w:t>
      </w:r>
      <w:proofErr w:type="gramStart"/>
      <w:r w:rsidRPr="00AE5B12">
        <w:rPr>
          <w:rFonts w:asciiTheme="minorEastAsia" w:eastAsiaTheme="minorEastAsia" w:hAnsiTheme="minorEastAsia" w:hint="eastAsia"/>
          <w:sz w:val="24"/>
        </w:rPr>
        <w:t>南网集采公司</w:t>
      </w:r>
      <w:proofErr w:type="gramEnd"/>
      <w:r w:rsidRPr="00AE5B12">
        <w:rPr>
          <w:rFonts w:asciiTheme="minorEastAsia" w:eastAsiaTheme="minorEastAsia" w:hAnsiTheme="minorEastAsia" w:hint="eastAsia"/>
          <w:sz w:val="24"/>
        </w:rPr>
        <w:t>智能终端与通信模块中标领先，HPLC</w:t>
      </w:r>
      <w:proofErr w:type="gramStart"/>
      <w:r w:rsidRPr="00AE5B12">
        <w:rPr>
          <w:rFonts w:asciiTheme="minorEastAsia" w:eastAsiaTheme="minorEastAsia" w:hAnsiTheme="minorEastAsia" w:hint="eastAsia"/>
          <w:sz w:val="24"/>
        </w:rPr>
        <w:t>模块市占率</w:t>
      </w:r>
      <w:proofErr w:type="gramEnd"/>
      <w:r w:rsidRPr="00AE5B12">
        <w:rPr>
          <w:rFonts w:asciiTheme="minorEastAsia" w:eastAsiaTheme="minorEastAsia" w:hAnsiTheme="minorEastAsia" w:hint="eastAsia"/>
          <w:sz w:val="24"/>
        </w:rPr>
        <w:t>保持第一，电力物联网头部地位稳固，将全面承接非电表通讯节点的市场机遇：</w:t>
      </w:r>
    </w:p>
    <w:p w:rsidR="00AE5B12" w:rsidRPr="00AE5B12" w:rsidRDefault="00AE5B12" w:rsidP="00AE5B12">
      <w:pPr>
        <w:widowControl/>
        <w:wordWrap w:val="0"/>
        <w:spacing w:line="420" w:lineRule="exact"/>
        <w:ind w:firstLineChars="200" w:firstLine="480"/>
        <w:rPr>
          <w:rFonts w:asciiTheme="minorEastAsia" w:eastAsiaTheme="minorEastAsia" w:hAnsiTheme="minorEastAsia" w:hint="eastAsia"/>
          <w:sz w:val="24"/>
        </w:rPr>
      </w:pPr>
      <w:r w:rsidRPr="00AE5B12">
        <w:rPr>
          <w:rFonts w:asciiTheme="minorEastAsia" w:eastAsiaTheme="minorEastAsia" w:hAnsiTheme="minorEastAsia" w:hint="eastAsia"/>
          <w:sz w:val="24"/>
        </w:rPr>
        <w:t>1.  源侧光</w:t>
      </w:r>
      <w:proofErr w:type="gramStart"/>
      <w:r w:rsidRPr="00AE5B12">
        <w:rPr>
          <w:rFonts w:asciiTheme="minorEastAsia" w:eastAsiaTheme="minorEastAsia" w:hAnsiTheme="minorEastAsia" w:hint="eastAsia"/>
          <w:sz w:val="24"/>
        </w:rPr>
        <w:t>伏</w:t>
      </w:r>
      <w:proofErr w:type="gramEnd"/>
      <w:r w:rsidRPr="00AE5B12">
        <w:rPr>
          <w:rFonts w:asciiTheme="minorEastAsia" w:eastAsiaTheme="minorEastAsia" w:hAnsiTheme="minorEastAsia" w:hint="eastAsia"/>
          <w:sz w:val="24"/>
        </w:rPr>
        <w:t>“四可”管控场景：适配分布式新能源规模化接入需求，打造可观、可测、可调、可控的管控方案，划分</w:t>
      </w:r>
      <w:proofErr w:type="gramStart"/>
      <w:r w:rsidRPr="00AE5B12">
        <w:rPr>
          <w:rFonts w:asciiTheme="minorEastAsia" w:eastAsiaTheme="minorEastAsia" w:hAnsiTheme="minorEastAsia" w:hint="eastAsia"/>
          <w:sz w:val="24"/>
        </w:rPr>
        <w:t>光伏管控</w:t>
      </w:r>
      <w:proofErr w:type="gramEnd"/>
      <w:r w:rsidRPr="00AE5B12">
        <w:rPr>
          <w:rFonts w:asciiTheme="minorEastAsia" w:eastAsiaTheme="minorEastAsia" w:hAnsiTheme="minorEastAsia" w:hint="eastAsia"/>
          <w:sz w:val="24"/>
        </w:rPr>
        <w:t>片区，为每个片区配套量测开关/“四可”终端与配套通信模块，实现分区精细化管控与故障精准隔离。该场景已实现规模化商业落地，2025年相关业务销售额突破1亿元，带动光伏“四可”终端及配套通信模块的需求放量。</w:t>
      </w:r>
    </w:p>
    <w:p w:rsidR="00AE5B12" w:rsidRPr="00AE5B12" w:rsidRDefault="00AE5B12" w:rsidP="00AE5B12">
      <w:pPr>
        <w:widowControl/>
        <w:wordWrap w:val="0"/>
        <w:spacing w:line="420" w:lineRule="exact"/>
        <w:ind w:firstLineChars="200" w:firstLine="480"/>
        <w:rPr>
          <w:rFonts w:asciiTheme="minorEastAsia" w:eastAsiaTheme="minorEastAsia" w:hAnsiTheme="minorEastAsia" w:hint="eastAsia"/>
          <w:sz w:val="24"/>
        </w:rPr>
      </w:pPr>
      <w:r w:rsidRPr="00AE5B12">
        <w:rPr>
          <w:rFonts w:asciiTheme="minorEastAsia" w:eastAsiaTheme="minorEastAsia" w:hAnsiTheme="minorEastAsia" w:hint="eastAsia"/>
          <w:sz w:val="24"/>
        </w:rPr>
        <w:t xml:space="preserve">2.  </w:t>
      </w:r>
      <w:proofErr w:type="gramStart"/>
      <w:r w:rsidRPr="00AE5B12">
        <w:rPr>
          <w:rFonts w:asciiTheme="minorEastAsia" w:eastAsiaTheme="minorEastAsia" w:hAnsiTheme="minorEastAsia" w:hint="eastAsia"/>
          <w:sz w:val="24"/>
        </w:rPr>
        <w:t>荷侧负荷</w:t>
      </w:r>
      <w:proofErr w:type="gramEnd"/>
      <w:r w:rsidRPr="00AE5B12">
        <w:rPr>
          <w:rFonts w:asciiTheme="minorEastAsia" w:eastAsiaTheme="minorEastAsia" w:hAnsiTheme="minorEastAsia" w:hint="eastAsia"/>
          <w:sz w:val="24"/>
        </w:rPr>
        <w:t>精细化管控场景：适配需求侧响应与台区功率</w:t>
      </w:r>
      <w:proofErr w:type="gramStart"/>
      <w:r w:rsidRPr="00AE5B12">
        <w:rPr>
          <w:rFonts w:asciiTheme="minorEastAsia" w:eastAsiaTheme="minorEastAsia" w:hAnsiTheme="minorEastAsia" w:hint="eastAsia"/>
          <w:sz w:val="24"/>
        </w:rPr>
        <w:t>平衡建设</w:t>
      </w:r>
      <w:proofErr w:type="gramEnd"/>
      <w:r w:rsidRPr="00AE5B12">
        <w:rPr>
          <w:rFonts w:asciiTheme="minorEastAsia" w:eastAsiaTheme="minorEastAsia" w:hAnsiTheme="minorEastAsia" w:hint="eastAsia"/>
          <w:sz w:val="24"/>
        </w:rPr>
        <w:t>要求，公司构建了刚性、可控、柔性三级负荷分级管控体系，为单台空调、生产设备等</w:t>
      </w:r>
      <w:r w:rsidRPr="00AE5B12">
        <w:rPr>
          <w:rFonts w:asciiTheme="minorEastAsia" w:eastAsiaTheme="minorEastAsia" w:hAnsiTheme="minorEastAsia" w:hint="eastAsia"/>
          <w:sz w:val="24"/>
        </w:rPr>
        <w:lastRenderedPageBreak/>
        <w:t>用电终端配置独立控制器与通信模块，实现单</w:t>
      </w:r>
      <w:proofErr w:type="gramStart"/>
      <w:r w:rsidRPr="00AE5B12">
        <w:rPr>
          <w:rFonts w:asciiTheme="minorEastAsia" w:eastAsiaTheme="minorEastAsia" w:hAnsiTheme="minorEastAsia" w:hint="eastAsia"/>
          <w:sz w:val="24"/>
        </w:rPr>
        <w:t>设备级</w:t>
      </w:r>
      <w:proofErr w:type="gramEnd"/>
      <w:r w:rsidRPr="00AE5B12">
        <w:rPr>
          <w:rFonts w:asciiTheme="minorEastAsia" w:eastAsiaTheme="minorEastAsia" w:hAnsiTheme="minorEastAsia" w:hint="eastAsia"/>
          <w:sz w:val="24"/>
        </w:rPr>
        <w:t>的精准管控，目前公司已实现柔性调控设备、分支监测单元及配套通信单元的规模化出库，相关业务覆盖园区、商业、工业、公共建筑等多类场景。</w:t>
      </w:r>
    </w:p>
    <w:p w:rsidR="00D21045" w:rsidRDefault="00AE5B12" w:rsidP="00AE5B12">
      <w:pPr>
        <w:widowControl/>
        <w:wordWrap w:val="0"/>
        <w:spacing w:line="420" w:lineRule="exact"/>
        <w:ind w:firstLineChars="200" w:firstLine="480"/>
        <w:rPr>
          <w:rFonts w:ascii="宋体" w:hAnsi="宋体"/>
          <w:sz w:val="24"/>
        </w:rPr>
      </w:pPr>
      <w:r w:rsidRPr="00AE5B12">
        <w:rPr>
          <w:rFonts w:asciiTheme="minorEastAsia" w:eastAsiaTheme="minorEastAsia" w:hAnsiTheme="minorEastAsia" w:hint="eastAsia"/>
          <w:sz w:val="24"/>
        </w:rPr>
        <w:t>3.  网</w:t>
      </w:r>
      <w:proofErr w:type="gramStart"/>
      <w:r w:rsidRPr="00AE5B12">
        <w:rPr>
          <w:rFonts w:asciiTheme="minorEastAsia" w:eastAsiaTheme="minorEastAsia" w:hAnsiTheme="minorEastAsia" w:hint="eastAsia"/>
          <w:sz w:val="24"/>
        </w:rPr>
        <w:t>侧设备</w:t>
      </w:r>
      <w:proofErr w:type="gramEnd"/>
      <w:r w:rsidRPr="00AE5B12">
        <w:rPr>
          <w:rFonts w:asciiTheme="minorEastAsia" w:eastAsiaTheme="minorEastAsia" w:hAnsiTheme="minorEastAsia" w:hint="eastAsia"/>
          <w:sz w:val="24"/>
        </w:rPr>
        <w:t>全生命周期管理场景：适配透明电网与微电网可靠运行建设目标，公司面向“透明电网”建设需求，在配电网线路连接点、控制箱、分接箱等关键位置加装监测模块与通信单元，实现全节点实时监测接入。目前该场景已完成多类试点项目落地，整包业务具备规模化推广能力，是公司未来重要的业务增长极。</w:t>
      </w:r>
      <w:bookmarkStart w:id="2" w:name="_GoBack"/>
      <w:bookmarkEnd w:id="2"/>
    </w:p>
    <w:sectPr w:rsidR="00D2104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8E7" w:rsidRDefault="00CF48E7">
      <w:r>
        <w:separator/>
      </w:r>
    </w:p>
  </w:endnote>
  <w:endnote w:type="continuationSeparator" w:id="0">
    <w:p w:rsidR="00CF48E7" w:rsidRDefault="00CF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045" w:rsidRDefault="00CF48E7">
    <w:pPr>
      <w:pStyle w:val="a7"/>
      <w:jc w:val="center"/>
    </w:pPr>
    <w:r>
      <w:fldChar w:fldCharType="begin"/>
    </w:r>
    <w:r>
      <w:instrText xml:space="preserve"> PAGE   \* MERGEFORMAT </w:instrText>
    </w:r>
    <w:r>
      <w:fldChar w:fldCharType="separate"/>
    </w:r>
    <w:r w:rsidR="000D0E9D" w:rsidRPr="000D0E9D">
      <w:rPr>
        <w:noProof/>
        <w:lang w:val="zh-CN"/>
      </w:rPr>
      <w:t>5</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8E7" w:rsidRDefault="00CF48E7">
      <w:r>
        <w:separator/>
      </w:r>
    </w:p>
  </w:footnote>
  <w:footnote w:type="continuationSeparator" w:id="0">
    <w:p w:rsidR="00CF48E7" w:rsidRDefault="00CF4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DFAA4F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hybridMultilevel"/>
    <w:tmpl w:val="B5006330"/>
    <w:lvl w:ilvl="0" w:tplc="AB0444A6">
      <w:start w:val="1"/>
      <w:numFmt w:val="bullet"/>
      <w:lvlText w:val="•"/>
      <w:lvlJc w:val="left"/>
      <w:pPr>
        <w:tabs>
          <w:tab w:val="left" w:pos="720"/>
        </w:tabs>
        <w:ind w:left="720" w:hanging="360"/>
      </w:pPr>
      <w:rPr>
        <w:rFonts w:ascii="宋体" w:hAnsi="宋体" w:hint="default"/>
      </w:rPr>
    </w:lvl>
    <w:lvl w:ilvl="1" w:tplc="E9B2FFDC" w:tentative="1">
      <w:start w:val="1"/>
      <w:numFmt w:val="bullet"/>
      <w:lvlText w:val="•"/>
      <w:lvlJc w:val="left"/>
      <w:pPr>
        <w:tabs>
          <w:tab w:val="left" w:pos="1440"/>
        </w:tabs>
        <w:ind w:left="1440" w:hanging="360"/>
      </w:pPr>
      <w:rPr>
        <w:rFonts w:ascii="宋体" w:hAnsi="宋体" w:hint="default"/>
      </w:rPr>
    </w:lvl>
    <w:lvl w:ilvl="2" w:tplc="47EEE9EC" w:tentative="1">
      <w:start w:val="1"/>
      <w:numFmt w:val="bullet"/>
      <w:lvlText w:val="•"/>
      <w:lvlJc w:val="left"/>
      <w:pPr>
        <w:tabs>
          <w:tab w:val="left" w:pos="2160"/>
        </w:tabs>
        <w:ind w:left="2160" w:hanging="360"/>
      </w:pPr>
      <w:rPr>
        <w:rFonts w:ascii="宋体" w:hAnsi="宋体" w:hint="default"/>
      </w:rPr>
    </w:lvl>
    <w:lvl w:ilvl="3" w:tplc="B0A09518" w:tentative="1">
      <w:start w:val="1"/>
      <w:numFmt w:val="bullet"/>
      <w:lvlText w:val="•"/>
      <w:lvlJc w:val="left"/>
      <w:pPr>
        <w:tabs>
          <w:tab w:val="left" w:pos="2880"/>
        </w:tabs>
        <w:ind w:left="2880" w:hanging="360"/>
      </w:pPr>
      <w:rPr>
        <w:rFonts w:ascii="宋体" w:hAnsi="宋体" w:hint="default"/>
      </w:rPr>
    </w:lvl>
    <w:lvl w:ilvl="4" w:tplc="5D004B44" w:tentative="1">
      <w:start w:val="1"/>
      <w:numFmt w:val="bullet"/>
      <w:lvlText w:val="•"/>
      <w:lvlJc w:val="left"/>
      <w:pPr>
        <w:tabs>
          <w:tab w:val="left" w:pos="3600"/>
        </w:tabs>
        <w:ind w:left="3600" w:hanging="360"/>
      </w:pPr>
      <w:rPr>
        <w:rFonts w:ascii="宋体" w:hAnsi="宋体" w:hint="default"/>
      </w:rPr>
    </w:lvl>
    <w:lvl w:ilvl="5" w:tplc="DE90D890" w:tentative="1">
      <w:start w:val="1"/>
      <w:numFmt w:val="bullet"/>
      <w:lvlText w:val="•"/>
      <w:lvlJc w:val="left"/>
      <w:pPr>
        <w:tabs>
          <w:tab w:val="left" w:pos="4320"/>
        </w:tabs>
        <w:ind w:left="4320" w:hanging="360"/>
      </w:pPr>
      <w:rPr>
        <w:rFonts w:ascii="宋体" w:hAnsi="宋体" w:hint="default"/>
      </w:rPr>
    </w:lvl>
    <w:lvl w:ilvl="6" w:tplc="A54ABC32" w:tentative="1">
      <w:start w:val="1"/>
      <w:numFmt w:val="bullet"/>
      <w:lvlText w:val="•"/>
      <w:lvlJc w:val="left"/>
      <w:pPr>
        <w:tabs>
          <w:tab w:val="left" w:pos="5040"/>
        </w:tabs>
        <w:ind w:left="5040" w:hanging="360"/>
      </w:pPr>
      <w:rPr>
        <w:rFonts w:ascii="宋体" w:hAnsi="宋体" w:hint="default"/>
      </w:rPr>
    </w:lvl>
    <w:lvl w:ilvl="7" w:tplc="794256F0" w:tentative="1">
      <w:start w:val="1"/>
      <w:numFmt w:val="bullet"/>
      <w:lvlText w:val="•"/>
      <w:lvlJc w:val="left"/>
      <w:pPr>
        <w:tabs>
          <w:tab w:val="left" w:pos="5760"/>
        </w:tabs>
        <w:ind w:left="5760" w:hanging="360"/>
      </w:pPr>
      <w:rPr>
        <w:rFonts w:ascii="宋体" w:hAnsi="宋体" w:hint="default"/>
      </w:rPr>
    </w:lvl>
    <w:lvl w:ilvl="8" w:tplc="9BC2E978" w:tentative="1">
      <w:start w:val="1"/>
      <w:numFmt w:val="bullet"/>
      <w:lvlText w:val="•"/>
      <w:lvlJc w:val="left"/>
      <w:pPr>
        <w:tabs>
          <w:tab w:val="left" w:pos="6480"/>
        </w:tabs>
        <w:ind w:left="6480" w:hanging="360"/>
      </w:pPr>
      <w:rPr>
        <w:rFonts w:ascii="宋体" w:hAnsi="宋体" w:hint="default"/>
      </w:rPr>
    </w:lvl>
  </w:abstractNum>
  <w:abstractNum w:abstractNumId="2">
    <w:nsid w:val="00000003"/>
    <w:multiLevelType w:val="multilevel"/>
    <w:tmpl w:val="376C8B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D00285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hybridMultilevel"/>
    <w:tmpl w:val="30162328"/>
    <w:lvl w:ilvl="0" w:tplc="386CD144">
      <w:start w:val="1"/>
      <w:numFmt w:val="bullet"/>
      <w:lvlText w:val="•"/>
      <w:lvlJc w:val="left"/>
      <w:pPr>
        <w:tabs>
          <w:tab w:val="left" w:pos="720"/>
        </w:tabs>
        <w:ind w:left="720" w:hanging="360"/>
      </w:pPr>
      <w:rPr>
        <w:rFonts w:ascii="宋体" w:hAnsi="宋体" w:hint="default"/>
      </w:rPr>
    </w:lvl>
    <w:lvl w:ilvl="1" w:tplc="A8B0EFAE" w:tentative="1">
      <w:start w:val="1"/>
      <w:numFmt w:val="bullet"/>
      <w:lvlText w:val="•"/>
      <w:lvlJc w:val="left"/>
      <w:pPr>
        <w:tabs>
          <w:tab w:val="left" w:pos="1440"/>
        </w:tabs>
        <w:ind w:left="1440" w:hanging="360"/>
      </w:pPr>
      <w:rPr>
        <w:rFonts w:ascii="宋体" w:hAnsi="宋体" w:hint="default"/>
      </w:rPr>
    </w:lvl>
    <w:lvl w:ilvl="2" w:tplc="82E4D6B4" w:tentative="1">
      <w:start w:val="1"/>
      <w:numFmt w:val="bullet"/>
      <w:lvlText w:val="•"/>
      <w:lvlJc w:val="left"/>
      <w:pPr>
        <w:tabs>
          <w:tab w:val="left" w:pos="2160"/>
        </w:tabs>
        <w:ind w:left="2160" w:hanging="360"/>
      </w:pPr>
      <w:rPr>
        <w:rFonts w:ascii="宋体" w:hAnsi="宋体" w:hint="default"/>
      </w:rPr>
    </w:lvl>
    <w:lvl w:ilvl="3" w:tplc="498CEBCC" w:tentative="1">
      <w:start w:val="1"/>
      <w:numFmt w:val="bullet"/>
      <w:lvlText w:val="•"/>
      <w:lvlJc w:val="left"/>
      <w:pPr>
        <w:tabs>
          <w:tab w:val="left" w:pos="2880"/>
        </w:tabs>
        <w:ind w:left="2880" w:hanging="360"/>
      </w:pPr>
      <w:rPr>
        <w:rFonts w:ascii="宋体" w:hAnsi="宋体" w:hint="default"/>
      </w:rPr>
    </w:lvl>
    <w:lvl w:ilvl="4" w:tplc="909C2C70" w:tentative="1">
      <w:start w:val="1"/>
      <w:numFmt w:val="bullet"/>
      <w:lvlText w:val="•"/>
      <w:lvlJc w:val="left"/>
      <w:pPr>
        <w:tabs>
          <w:tab w:val="left" w:pos="3600"/>
        </w:tabs>
        <w:ind w:left="3600" w:hanging="360"/>
      </w:pPr>
      <w:rPr>
        <w:rFonts w:ascii="宋体" w:hAnsi="宋体" w:hint="default"/>
      </w:rPr>
    </w:lvl>
    <w:lvl w:ilvl="5" w:tplc="35BE1D1C" w:tentative="1">
      <w:start w:val="1"/>
      <w:numFmt w:val="bullet"/>
      <w:lvlText w:val="•"/>
      <w:lvlJc w:val="left"/>
      <w:pPr>
        <w:tabs>
          <w:tab w:val="left" w:pos="4320"/>
        </w:tabs>
        <w:ind w:left="4320" w:hanging="360"/>
      </w:pPr>
      <w:rPr>
        <w:rFonts w:ascii="宋体" w:hAnsi="宋体" w:hint="default"/>
      </w:rPr>
    </w:lvl>
    <w:lvl w:ilvl="6" w:tplc="33A6CA90" w:tentative="1">
      <w:start w:val="1"/>
      <w:numFmt w:val="bullet"/>
      <w:lvlText w:val="•"/>
      <w:lvlJc w:val="left"/>
      <w:pPr>
        <w:tabs>
          <w:tab w:val="left" w:pos="5040"/>
        </w:tabs>
        <w:ind w:left="5040" w:hanging="360"/>
      </w:pPr>
      <w:rPr>
        <w:rFonts w:ascii="宋体" w:hAnsi="宋体" w:hint="default"/>
      </w:rPr>
    </w:lvl>
    <w:lvl w:ilvl="7" w:tplc="72AA7C04" w:tentative="1">
      <w:start w:val="1"/>
      <w:numFmt w:val="bullet"/>
      <w:lvlText w:val="•"/>
      <w:lvlJc w:val="left"/>
      <w:pPr>
        <w:tabs>
          <w:tab w:val="left" w:pos="5760"/>
        </w:tabs>
        <w:ind w:left="5760" w:hanging="360"/>
      </w:pPr>
      <w:rPr>
        <w:rFonts w:ascii="宋体" w:hAnsi="宋体" w:hint="default"/>
      </w:rPr>
    </w:lvl>
    <w:lvl w:ilvl="8" w:tplc="45682F76" w:tentative="1">
      <w:start w:val="1"/>
      <w:numFmt w:val="bullet"/>
      <w:lvlText w:val="•"/>
      <w:lvlJc w:val="left"/>
      <w:pPr>
        <w:tabs>
          <w:tab w:val="left" w:pos="6480"/>
        </w:tabs>
        <w:ind w:left="6480" w:hanging="360"/>
      </w:pPr>
      <w:rPr>
        <w:rFonts w:ascii="宋体" w:hAnsi="宋体" w:hint="default"/>
      </w:rPr>
    </w:lvl>
  </w:abstractNum>
  <w:abstractNum w:abstractNumId="5">
    <w:nsid w:val="00000006"/>
    <w:multiLevelType w:val="hybridMultilevel"/>
    <w:tmpl w:val="233E7F02"/>
    <w:lvl w:ilvl="0" w:tplc="217E56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nsid w:val="00000007"/>
    <w:multiLevelType w:val="multilevel"/>
    <w:tmpl w:val="DBEA51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5858BB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1CAEA6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DCF8CC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0B"/>
    <w:multiLevelType w:val="multilevel"/>
    <w:tmpl w:val="6812E3A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hybridMultilevel"/>
    <w:tmpl w:val="613C9B98"/>
    <w:lvl w:ilvl="0" w:tplc="C52C9EBE">
      <w:start w:val="1"/>
      <w:numFmt w:val="bullet"/>
      <w:lvlText w:val="•"/>
      <w:lvlJc w:val="left"/>
      <w:pPr>
        <w:tabs>
          <w:tab w:val="left" w:pos="720"/>
        </w:tabs>
        <w:ind w:left="720" w:hanging="360"/>
      </w:pPr>
      <w:rPr>
        <w:rFonts w:ascii="Arial" w:hAnsi="Arial" w:hint="default"/>
      </w:rPr>
    </w:lvl>
    <w:lvl w:ilvl="1" w:tplc="58F65294" w:tentative="1">
      <w:start w:val="1"/>
      <w:numFmt w:val="bullet"/>
      <w:lvlText w:val="•"/>
      <w:lvlJc w:val="left"/>
      <w:pPr>
        <w:tabs>
          <w:tab w:val="left" w:pos="1440"/>
        </w:tabs>
        <w:ind w:left="1440" w:hanging="360"/>
      </w:pPr>
      <w:rPr>
        <w:rFonts w:ascii="Arial" w:hAnsi="Arial" w:hint="default"/>
      </w:rPr>
    </w:lvl>
    <w:lvl w:ilvl="2" w:tplc="80048982" w:tentative="1">
      <w:start w:val="1"/>
      <w:numFmt w:val="bullet"/>
      <w:lvlText w:val="•"/>
      <w:lvlJc w:val="left"/>
      <w:pPr>
        <w:tabs>
          <w:tab w:val="left" w:pos="2160"/>
        </w:tabs>
        <w:ind w:left="2160" w:hanging="360"/>
      </w:pPr>
      <w:rPr>
        <w:rFonts w:ascii="Arial" w:hAnsi="Arial" w:hint="default"/>
      </w:rPr>
    </w:lvl>
    <w:lvl w:ilvl="3" w:tplc="CA34B2FC" w:tentative="1">
      <w:start w:val="1"/>
      <w:numFmt w:val="bullet"/>
      <w:lvlText w:val="•"/>
      <w:lvlJc w:val="left"/>
      <w:pPr>
        <w:tabs>
          <w:tab w:val="left" w:pos="2880"/>
        </w:tabs>
        <w:ind w:left="2880" w:hanging="360"/>
      </w:pPr>
      <w:rPr>
        <w:rFonts w:ascii="Arial" w:hAnsi="Arial" w:hint="default"/>
      </w:rPr>
    </w:lvl>
    <w:lvl w:ilvl="4" w:tplc="E8E4FC7A" w:tentative="1">
      <w:start w:val="1"/>
      <w:numFmt w:val="bullet"/>
      <w:lvlText w:val="•"/>
      <w:lvlJc w:val="left"/>
      <w:pPr>
        <w:tabs>
          <w:tab w:val="left" w:pos="3600"/>
        </w:tabs>
        <w:ind w:left="3600" w:hanging="360"/>
      </w:pPr>
      <w:rPr>
        <w:rFonts w:ascii="Arial" w:hAnsi="Arial" w:hint="default"/>
      </w:rPr>
    </w:lvl>
    <w:lvl w:ilvl="5" w:tplc="72E64ED0" w:tentative="1">
      <w:start w:val="1"/>
      <w:numFmt w:val="bullet"/>
      <w:lvlText w:val="•"/>
      <w:lvlJc w:val="left"/>
      <w:pPr>
        <w:tabs>
          <w:tab w:val="left" w:pos="4320"/>
        </w:tabs>
        <w:ind w:left="4320" w:hanging="360"/>
      </w:pPr>
      <w:rPr>
        <w:rFonts w:ascii="Arial" w:hAnsi="Arial" w:hint="default"/>
      </w:rPr>
    </w:lvl>
    <w:lvl w:ilvl="6" w:tplc="D558470C" w:tentative="1">
      <w:start w:val="1"/>
      <w:numFmt w:val="bullet"/>
      <w:lvlText w:val="•"/>
      <w:lvlJc w:val="left"/>
      <w:pPr>
        <w:tabs>
          <w:tab w:val="left" w:pos="5040"/>
        </w:tabs>
        <w:ind w:left="5040" w:hanging="360"/>
      </w:pPr>
      <w:rPr>
        <w:rFonts w:ascii="Arial" w:hAnsi="Arial" w:hint="default"/>
      </w:rPr>
    </w:lvl>
    <w:lvl w:ilvl="7" w:tplc="F7DC3FB2" w:tentative="1">
      <w:start w:val="1"/>
      <w:numFmt w:val="bullet"/>
      <w:lvlText w:val="•"/>
      <w:lvlJc w:val="left"/>
      <w:pPr>
        <w:tabs>
          <w:tab w:val="left" w:pos="5760"/>
        </w:tabs>
        <w:ind w:left="5760" w:hanging="360"/>
      </w:pPr>
      <w:rPr>
        <w:rFonts w:ascii="Arial" w:hAnsi="Arial" w:hint="default"/>
      </w:rPr>
    </w:lvl>
    <w:lvl w:ilvl="8" w:tplc="DDA82974" w:tentative="1">
      <w:start w:val="1"/>
      <w:numFmt w:val="bullet"/>
      <w:lvlText w:val="•"/>
      <w:lvlJc w:val="left"/>
      <w:pPr>
        <w:tabs>
          <w:tab w:val="left" w:pos="6480"/>
        </w:tabs>
        <w:ind w:left="6480" w:hanging="360"/>
      </w:pPr>
      <w:rPr>
        <w:rFonts w:ascii="Arial" w:hAnsi="Arial" w:hint="default"/>
      </w:rPr>
    </w:lvl>
  </w:abstractNum>
  <w:abstractNum w:abstractNumId="12">
    <w:nsid w:val="0000000D"/>
    <w:multiLevelType w:val="multilevel"/>
    <w:tmpl w:val="BBB216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0E"/>
    <w:multiLevelType w:val="multilevel"/>
    <w:tmpl w:val="C6E82A16"/>
    <w:lvl w:ilvl="0">
      <w:start w:val="1"/>
      <w:numFmt w:val="japaneseCounting"/>
      <w:lvlText w:val="%1、"/>
      <w:lvlJc w:val="left"/>
      <w:pPr>
        <w:ind w:left="1216" w:hanging="720"/>
      </w:pPr>
      <w:rPr>
        <w:rFonts w:hint="default"/>
        <w:lang w:val="en-US"/>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abstractNum w:abstractNumId="14">
    <w:nsid w:val="0000000F"/>
    <w:multiLevelType w:val="multilevel"/>
    <w:tmpl w:val="7FDEED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074AFD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hybridMultilevel"/>
    <w:tmpl w:val="F9245C26"/>
    <w:lvl w:ilvl="0" w:tplc="A530BEAE">
      <w:start w:val="1"/>
      <w:numFmt w:val="bullet"/>
      <w:lvlText w:val="•"/>
      <w:lvlJc w:val="left"/>
      <w:pPr>
        <w:tabs>
          <w:tab w:val="left" w:pos="720"/>
        </w:tabs>
        <w:ind w:left="720" w:hanging="360"/>
      </w:pPr>
      <w:rPr>
        <w:rFonts w:ascii="宋体" w:hAnsi="宋体" w:hint="default"/>
      </w:rPr>
    </w:lvl>
    <w:lvl w:ilvl="1" w:tplc="A09E3CBC" w:tentative="1">
      <w:start w:val="1"/>
      <w:numFmt w:val="bullet"/>
      <w:lvlText w:val="•"/>
      <w:lvlJc w:val="left"/>
      <w:pPr>
        <w:tabs>
          <w:tab w:val="left" w:pos="1440"/>
        </w:tabs>
        <w:ind w:left="1440" w:hanging="360"/>
      </w:pPr>
      <w:rPr>
        <w:rFonts w:ascii="宋体" w:hAnsi="宋体" w:hint="default"/>
      </w:rPr>
    </w:lvl>
    <w:lvl w:ilvl="2" w:tplc="5FA6F864" w:tentative="1">
      <w:start w:val="1"/>
      <w:numFmt w:val="bullet"/>
      <w:lvlText w:val="•"/>
      <w:lvlJc w:val="left"/>
      <w:pPr>
        <w:tabs>
          <w:tab w:val="left" w:pos="2160"/>
        </w:tabs>
        <w:ind w:left="2160" w:hanging="360"/>
      </w:pPr>
      <w:rPr>
        <w:rFonts w:ascii="宋体" w:hAnsi="宋体" w:hint="default"/>
      </w:rPr>
    </w:lvl>
    <w:lvl w:ilvl="3" w:tplc="AE4876BE" w:tentative="1">
      <w:start w:val="1"/>
      <w:numFmt w:val="bullet"/>
      <w:lvlText w:val="•"/>
      <w:lvlJc w:val="left"/>
      <w:pPr>
        <w:tabs>
          <w:tab w:val="left" w:pos="2880"/>
        </w:tabs>
        <w:ind w:left="2880" w:hanging="360"/>
      </w:pPr>
      <w:rPr>
        <w:rFonts w:ascii="宋体" w:hAnsi="宋体" w:hint="default"/>
      </w:rPr>
    </w:lvl>
    <w:lvl w:ilvl="4" w:tplc="B0E6F926" w:tentative="1">
      <w:start w:val="1"/>
      <w:numFmt w:val="bullet"/>
      <w:lvlText w:val="•"/>
      <w:lvlJc w:val="left"/>
      <w:pPr>
        <w:tabs>
          <w:tab w:val="left" w:pos="3600"/>
        </w:tabs>
        <w:ind w:left="3600" w:hanging="360"/>
      </w:pPr>
      <w:rPr>
        <w:rFonts w:ascii="宋体" w:hAnsi="宋体" w:hint="default"/>
      </w:rPr>
    </w:lvl>
    <w:lvl w:ilvl="5" w:tplc="D76CDE5A" w:tentative="1">
      <w:start w:val="1"/>
      <w:numFmt w:val="bullet"/>
      <w:lvlText w:val="•"/>
      <w:lvlJc w:val="left"/>
      <w:pPr>
        <w:tabs>
          <w:tab w:val="left" w:pos="4320"/>
        </w:tabs>
        <w:ind w:left="4320" w:hanging="360"/>
      </w:pPr>
      <w:rPr>
        <w:rFonts w:ascii="宋体" w:hAnsi="宋体" w:hint="default"/>
      </w:rPr>
    </w:lvl>
    <w:lvl w:ilvl="6" w:tplc="D0D88724" w:tentative="1">
      <w:start w:val="1"/>
      <w:numFmt w:val="bullet"/>
      <w:lvlText w:val="•"/>
      <w:lvlJc w:val="left"/>
      <w:pPr>
        <w:tabs>
          <w:tab w:val="left" w:pos="5040"/>
        </w:tabs>
        <w:ind w:left="5040" w:hanging="360"/>
      </w:pPr>
      <w:rPr>
        <w:rFonts w:ascii="宋体" w:hAnsi="宋体" w:hint="default"/>
      </w:rPr>
    </w:lvl>
    <w:lvl w:ilvl="7" w:tplc="06345AB4" w:tentative="1">
      <w:start w:val="1"/>
      <w:numFmt w:val="bullet"/>
      <w:lvlText w:val="•"/>
      <w:lvlJc w:val="left"/>
      <w:pPr>
        <w:tabs>
          <w:tab w:val="left" w:pos="5760"/>
        </w:tabs>
        <w:ind w:left="5760" w:hanging="360"/>
      </w:pPr>
      <w:rPr>
        <w:rFonts w:ascii="宋体" w:hAnsi="宋体" w:hint="default"/>
      </w:rPr>
    </w:lvl>
    <w:lvl w:ilvl="8" w:tplc="31BEAB34" w:tentative="1">
      <w:start w:val="1"/>
      <w:numFmt w:val="bullet"/>
      <w:lvlText w:val="•"/>
      <w:lvlJc w:val="left"/>
      <w:pPr>
        <w:tabs>
          <w:tab w:val="left" w:pos="6480"/>
        </w:tabs>
        <w:ind w:left="6480" w:hanging="360"/>
      </w:pPr>
      <w:rPr>
        <w:rFonts w:ascii="宋体" w:hAnsi="宋体" w:hint="default"/>
      </w:rPr>
    </w:lvl>
  </w:abstractNum>
  <w:abstractNum w:abstractNumId="17">
    <w:nsid w:val="00000012"/>
    <w:multiLevelType w:val="multilevel"/>
    <w:tmpl w:val="CEECCA6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210C6F97"/>
    <w:multiLevelType w:val="multilevel"/>
    <w:tmpl w:val="B2A273B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62AE719B"/>
    <w:multiLevelType w:val="multilevel"/>
    <w:tmpl w:val="C6E82A16"/>
    <w:lvl w:ilvl="0">
      <w:start w:val="1"/>
      <w:numFmt w:val="japaneseCounting"/>
      <w:lvlText w:val="%1、"/>
      <w:lvlJc w:val="left"/>
      <w:pPr>
        <w:ind w:left="1216" w:hanging="720"/>
      </w:pPr>
      <w:rPr>
        <w:rFonts w:hint="default"/>
        <w:lang w:val="en-US"/>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num w:numId="1">
    <w:abstractNumId w:val="13"/>
  </w:num>
  <w:num w:numId="2">
    <w:abstractNumId w:val="17"/>
  </w:num>
  <w:num w:numId="3">
    <w:abstractNumId w:val="9"/>
  </w:num>
  <w:num w:numId="4">
    <w:abstractNumId w:val="12"/>
  </w:num>
  <w:num w:numId="5">
    <w:abstractNumId w:val="10"/>
  </w:num>
  <w:num w:numId="6">
    <w:abstractNumId w:val="11"/>
  </w:num>
  <w:num w:numId="7">
    <w:abstractNumId w:val="1"/>
  </w:num>
  <w:num w:numId="8">
    <w:abstractNumId w:val="16"/>
  </w:num>
  <w:num w:numId="9">
    <w:abstractNumId w:val="4"/>
  </w:num>
  <w:num w:numId="10">
    <w:abstractNumId w:val="5"/>
  </w:num>
  <w:num w:numId="11">
    <w:abstractNumId w:val="7"/>
  </w:num>
  <w:num w:numId="12">
    <w:abstractNumId w:val="14"/>
  </w:num>
  <w:num w:numId="13">
    <w:abstractNumId w:val="15"/>
  </w:num>
  <w:num w:numId="14">
    <w:abstractNumId w:val="8"/>
  </w:num>
  <w:num w:numId="15">
    <w:abstractNumId w:val="0"/>
  </w:num>
  <w:num w:numId="16">
    <w:abstractNumId w:val="2"/>
  </w:num>
  <w:num w:numId="17">
    <w:abstractNumId w:val="18"/>
  </w:num>
  <w:num w:numId="18">
    <w:abstractNumId w:val="6"/>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45"/>
    <w:rsid w:val="000D0E9D"/>
    <w:rsid w:val="002443AE"/>
    <w:rsid w:val="00266655"/>
    <w:rsid w:val="002758E4"/>
    <w:rsid w:val="00806129"/>
    <w:rsid w:val="009A61C2"/>
    <w:rsid w:val="00A70C9E"/>
    <w:rsid w:val="00A944F9"/>
    <w:rsid w:val="00AE5B12"/>
    <w:rsid w:val="00C44004"/>
    <w:rsid w:val="00C55F99"/>
    <w:rsid w:val="00CF48E7"/>
    <w:rsid w:val="00D21045"/>
    <w:rsid w:val="00EC47BD"/>
    <w:rsid w:val="00F5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81A1D2-29C1-41D8-9FED-30923159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等线" w:eastAsia="等线" w:hAnsi="等线" w:cs="宋体"/>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等线 Light" w:eastAsia="等线 Light" w:hAnsi="等线 Light" w:cs="宋体"/>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link w:val="4Char"/>
    <w:uiPriority w:val="9"/>
    <w:semiHidden/>
    <w:unhideWhenUsed/>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Body Text"/>
    <w:basedOn w:val="a"/>
    <w:link w:val="Char0"/>
    <w:uiPriority w:val="1"/>
    <w:qFormat/>
    <w:pPr>
      <w:spacing w:before="181"/>
      <w:ind w:left="141"/>
      <w:jc w:val="left"/>
    </w:pPr>
    <w:rPr>
      <w:rFonts w:ascii="宋体" w:hAnsi="宋体" w:cs="宋体"/>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rPr>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rPr>
      <w:b/>
      <w:bCs/>
    </w:rPr>
  </w:style>
  <w:style w:type="character" w:styleId="ab">
    <w:name w:val="Strong"/>
    <w:basedOn w:val="a0"/>
    <w:uiPriority w:val="22"/>
    <w:qFormat/>
    <w:rPr>
      <w:b/>
      <w:bCs/>
    </w:rPr>
  </w:style>
  <w:style w:type="character" w:styleId="ac">
    <w:name w:val="annotation reference"/>
    <w:basedOn w:val="a0"/>
    <w:uiPriority w:val="99"/>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99"/>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rPr>
      <w:rFonts w:ascii="Times New Roman" w:eastAsia="宋体" w:hAnsi="Times New Roman" w:cs="Times New Roman"/>
      <w:sz w:val="18"/>
      <w:szCs w:val="18"/>
    </w:rPr>
  </w:style>
  <w:style w:type="character" w:customStyle="1" w:styleId="Char2">
    <w:name w:val="批注框文本 Char"/>
    <w:basedOn w:val="a0"/>
    <w:link w:val="a6"/>
    <w:uiPriority w:val="99"/>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rPr>
      <w:rFonts w:ascii="Times New Roman" w:eastAsia="宋体" w:hAnsi="Times New Roman" w:cs="Times New Roman"/>
      <w:b/>
      <w:bCs/>
      <w:szCs w:val="24"/>
    </w:rPr>
  </w:style>
  <w:style w:type="table" w:customStyle="1" w:styleId="TableGrid">
    <w:name w:val="TableGrid"/>
    <w:qFormat/>
    <w:tblPr>
      <w:tblCellMar>
        <w:top w:w="0" w:type="dxa"/>
        <w:left w:w="0" w:type="dxa"/>
        <w:bottom w:w="0" w:type="dxa"/>
        <w:right w:w="0" w:type="dxa"/>
      </w:tblCellMar>
    </w:tblPr>
  </w:style>
  <w:style w:type="character" w:customStyle="1" w:styleId="2Char">
    <w:name w:val="标题 2 Char"/>
    <w:basedOn w:val="a0"/>
    <w:link w:val="2"/>
    <w:uiPriority w:val="9"/>
    <w:rPr>
      <w:rFonts w:ascii="等线 Light" w:eastAsia="等线 Light" w:hAnsi="等线 Light" w:cs="宋体"/>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rPr>
      <w:b/>
      <w:bCs/>
      <w:kern w:val="44"/>
      <w:sz w:val="44"/>
      <w:szCs w:val="44"/>
    </w:rPr>
  </w:style>
  <w:style w:type="character" w:customStyle="1" w:styleId="005Char">
    <w:name w:val="005正文 Char"/>
    <w:link w:val="005"/>
  </w:style>
  <w:style w:type="paragraph" w:customStyle="1" w:styleId="005">
    <w:name w:val="005正文"/>
    <w:basedOn w:val="a"/>
    <w:link w:val="005Char"/>
    <w:qFormat/>
    <w:pPr>
      <w:spacing w:beforeLines="50" w:line="360" w:lineRule="auto"/>
      <w:ind w:firstLineChars="200" w:firstLine="200"/>
    </w:pPr>
    <w:rPr>
      <w:rFonts w:ascii="等线" w:eastAsia="等线" w:hAnsi="等线" w:cs="宋体"/>
      <w:szCs w:val="22"/>
    </w:rPr>
  </w:style>
  <w:style w:type="paragraph" w:customStyle="1" w:styleId="10">
    <w:name w:val="修订1"/>
    <w:uiPriority w:val="99"/>
    <w:rPr>
      <w:rFonts w:ascii="Times New Roman" w:eastAsia="宋体" w:hAnsi="Times New Roman" w:cs="Times New Roman"/>
      <w:kern w:val="2"/>
      <w:sz w:val="21"/>
      <w:szCs w:val="24"/>
    </w:rPr>
  </w:style>
  <w:style w:type="character" w:customStyle="1" w:styleId="4Char">
    <w:name w:val="标题 4 Char"/>
    <w:basedOn w:val="a0"/>
    <w:link w:val="4"/>
    <w:uiPriority w:val="9"/>
    <w:rPr>
      <w:rFonts w:ascii="宋体" w:eastAsia="宋体" w:hAnsi="宋体" w:cs="宋体"/>
      <w:b/>
      <w:bCs/>
      <w:kern w:val="0"/>
      <w:sz w:val="24"/>
      <w:szCs w:val="24"/>
    </w:rPr>
  </w:style>
  <w:style w:type="character" w:customStyle="1" w:styleId="HTMLChar">
    <w:name w:val="HTML 预设格式 Char"/>
    <w:basedOn w:val="a0"/>
    <w:link w:val="HTML"/>
    <w:uiPriority w:val="99"/>
    <w:rPr>
      <w:rFonts w:ascii="宋体" w:eastAsia="宋体" w:hAnsi="宋体" w:cs="宋体"/>
      <w:kern w:val="0"/>
      <w:sz w:val="24"/>
      <w:szCs w:val="24"/>
    </w:rPr>
  </w:style>
  <w:style w:type="paragraph" w:customStyle="1" w:styleId="Style6">
    <w:name w:val="_Style 6"/>
    <w:basedOn w:val="a"/>
    <w:uiPriority w:val="34"/>
    <w:qFormat/>
    <w:pPr>
      <w:ind w:firstLineChars="200" w:firstLine="420"/>
    </w:pPr>
    <w:rPr>
      <w:rFonts w:ascii="Calibri" w:hAnsi="Calibri"/>
      <w:szCs w:val="22"/>
    </w:rPr>
  </w:style>
  <w:style w:type="character" w:customStyle="1" w:styleId="wxtextunderline">
    <w:name w:val="wx_text_underline"/>
    <w:basedOn w:val="a0"/>
  </w:style>
  <w:style w:type="character" w:customStyle="1" w:styleId="wxsearchkeywordwrap">
    <w:name w:val="wx_search_keyword_wrap"/>
    <w:basedOn w:val="a0"/>
  </w:style>
  <w:style w:type="character" w:customStyle="1" w:styleId="lb">
    <w:name w:val="lb"/>
    <w:basedOn w:val="a0"/>
  </w:style>
  <w:style w:type="paragraph" w:styleId="30">
    <w:name w:val="toc 3"/>
    <w:basedOn w:val="a"/>
    <w:next w:val="a"/>
    <w:uiPriority w:val="39"/>
    <w:qFormat/>
    <w:pPr>
      <w:ind w:left="420"/>
      <w:jc w:val="left"/>
    </w:pPr>
    <w:rPr>
      <w:rFonts w:ascii="等线" w:eastAsia="等线" w:hAnsi="等线" w:cs="宋体"/>
      <w:i/>
      <w:iCs/>
      <w:sz w:val="20"/>
      <w:szCs w:val="20"/>
    </w:rPr>
  </w:style>
  <w:style w:type="character" w:customStyle="1" w:styleId="3Char">
    <w:name w:val="标题 3 Char"/>
    <w:basedOn w:val="a0"/>
    <w:link w:val="3"/>
    <w:uiPriority w:val="9"/>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D08E5-A0A2-4105-B11D-0251CD03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39</cp:revision>
  <cp:lastPrinted>2024-08-21T06:15:00Z</cp:lastPrinted>
  <dcterms:created xsi:type="dcterms:W3CDTF">2025-11-25T06:30:00Z</dcterms:created>
  <dcterms:modified xsi:type="dcterms:W3CDTF">2026-03-03T08:46:00Z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eyJoZGlkIjoiZDcyNDZhNGI3MzA2ODg5ZjA3NTU0OGZjNWEzMGZkYTYiLCJ1c2VySWQiOiIzNjE5MDk5MTQifQ==</vt:lpwstr>
  </property>
  <property fmtid="{D5CDD505-2E9C-101B-9397-08002B2CF9AE}" pid="3" name="KSOProductBuildVer">
    <vt:lpwstr>2052-12.1.0.19770</vt:lpwstr>
  </property>
  <property fmtid="{D5CDD505-2E9C-101B-9397-08002B2CF9AE}" pid="4" name="ICV">
    <vt:lpwstr>E067C2D67CF0433F8A93C6E9B874C4FA_12</vt:lpwstr>
  </property>
</Properties>
</file>