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BD2B">
      <w:pPr>
        <w:spacing w:before="156" w:beforeLines="50" w:after="156" w:afterLines="50" w:line="400" w:lineRule="exact"/>
        <w:jc w:val="center"/>
        <w:rPr>
          <w:rFonts w:hint="eastAsia" w:ascii="宋体" w:hAnsi="宋体"/>
          <w:bCs/>
          <w:iCs/>
          <w:color w:val="000000"/>
          <w:sz w:val="24"/>
        </w:rPr>
      </w:pPr>
      <w:bookmarkStart w:id="1" w:name="_GoBack"/>
      <w:bookmarkEnd w:id="1"/>
      <w:r>
        <w:rPr>
          <w:rFonts w:hint="eastAsia" w:ascii="宋体" w:hAnsi="宋体"/>
          <w:bCs/>
          <w:iCs/>
          <w:color w:val="000000"/>
          <w:sz w:val="24"/>
        </w:rPr>
        <w:t>证券代码：688028                                     证券简称：沃尔德</w:t>
      </w:r>
    </w:p>
    <w:p w14:paraId="7463E7B8">
      <w:pPr>
        <w:spacing w:before="100" w:beforeAutospacing="1" w:line="360" w:lineRule="auto"/>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tbl>
      <w:tblPr>
        <w:tblStyle w:val="10"/>
        <w:tblW w:w="101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9"/>
        <w:gridCol w:w="8422"/>
      </w:tblGrid>
      <w:tr w14:paraId="0FBD3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9" w:hRule="atLeast"/>
          <w:jc w:val="center"/>
        </w:trPr>
        <w:tc>
          <w:tcPr>
            <w:tcW w:w="1769" w:type="dxa"/>
            <w:vAlign w:val="center"/>
          </w:tcPr>
          <w:p w14:paraId="37BD7A86">
            <w:pPr>
              <w:spacing w:line="360" w:lineRule="auto"/>
              <w:jc w:val="center"/>
              <w:rPr>
                <w:rFonts w:hint="eastAsia" w:asciiTheme="minorEastAsia" w:hAnsiTheme="minorEastAsia" w:eastAsiaTheme="minorEastAsia" w:cstheme="minorEastAsia"/>
                <w:b/>
                <w:bCs/>
                <w:iCs/>
                <w:color w:val="000000"/>
                <w:sz w:val="24"/>
              </w:rPr>
            </w:pPr>
            <w:r>
              <w:rPr>
                <w:rFonts w:hint="eastAsia" w:asciiTheme="minorEastAsia" w:hAnsiTheme="minorEastAsia" w:eastAsiaTheme="minorEastAsia" w:cstheme="minorEastAsia"/>
                <w:bCs/>
                <w:iCs/>
                <w:color w:val="000000"/>
                <w:sz w:val="24"/>
              </w:rPr>
              <w:t xml:space="preserve">                                                      </w:t>
            </w:r>
            <w:r>
              <w:rPr>
                <w:rFonts w:hint="eastAsia" w:asciiTheme="minorEastAsia" w:hAnsiTheme="minorEastAsia" w:eastAsiaTheme="minorEastAsia" w:cstheme="minorEastAsia"/>
                <w:b/>
                <w:bCs/>
                <w:iCs/>
                <w:color w:val="000000"/>
                <w:sz w:val="24"/>
              </w:rPr>
              <w:t>投资者关系活动类别</w:t>
            </w:r>
          </w:p>
        </w:tc>
        <w:tc>
          <w:tcPr>
            <w:tcW w:w="8422" w:type="dxa"/>
          </w:tcPr>
          <w:p w14:paraId="7B124A1B">
            <w:pPr>
              <w:spacing w:line="360" w:lineRule="auto"/>
              <w:rPr>
                <w:rFonts w:hint="eastAsia" w:asciiTheme="minorEastAsia" w:hAnsiTheme="minorEastAsia" w:eastAsiaTheme="minorEastAsia" w:cstheme="minorEastAsia"/>
                <w:bCs/>
                <w:iCs/>
                <w:color w:val="000000"/>
                <w:sz w:val="24"/>
              </w:rPr>
            </w:pPr>
            <w:r>
              <w:rPr>
                <w:rFonts w:hint="eastAsia" w:asciiTheme="minorEastAsia" w:hAnsiTheme="minorEastAsia" w:eastAsiaTheme="minorEastAsia" w:cstheme="minorEastAsia"/>
                <w:sz w:val="24"/>
              </w:rPr>
              <w:t xml:space="preserve">☑特定对象调研        </w:t>
            </w:r>
            <w:r>
              <w:rPr>
                <w:rFonts w:hint="eastAsia" w:asciiTheme="minorEastAsia" w:hAnsiTheme="minorEastAsia" w:eastAsiaTheme="minorEastAsia" w:cstheme="minorEastAsia"/>
                <w:bCs/>
                <w:iCs/>
                <w:color w:val="000000"/>
                <w:sz w:val="24"/>
              </w:rPr>
              <w:t>□</w:t>
            </w:r>
            <w:r>
              <w:rPr>
                <w:rFonts w:hint="eastAsia" w:asciiTheme="minorEastAsia" w:hAnsiTheme="minorEastAsia" w:eastAsiaTheme="minorEastAsia" w:cstheme="minorEastAsia"/>
                <w:sz w:val="24"/>
              </w:rPr>
              <w:t xml:space="preserve">分析师会议            </w:t>
            </w:r>
            <w:r>
              <w:rPr>
                <w:rFonts w:hint="eastAsia" w:asciiTheme="minorEastAsia" w:hAnsiTheme="minorEastAsia" w:eastAsiaTheme="minorEastAsia" w:cstheme="minorEastAsia"/>
                <w:bCs/>
                <w:iCs/>
                <w:color w:val="000000"/>
                <w:sz w:val="24"/>
              </w:rPr>
              <w:t>□</w:t>
            </w:r>
            <w:r>
              <w:rPr>
                <w:rFonts w:hint="eastAsia" w:asciiTheme="minorEastAsia" w:hAnsiTheme="minorEastAsia" w:eastAsiaTheme="minorEastAsia" w:cstheme="minorEastAsia"/>
                <w:sz w:val="24"/>
              </w:rPr>
              <w:t>媒体采访</w:t>
            </w:r>
          </w:p>
          <w:p w14:paraId="07B1EF70">
            <w:pPr>
              <w:spacing w:line="360" w:lineRule="auto"/>
              <w:rPr>
                <w:rFonts w:hint="eastAsia" w:asciiTheme="minorEastAsia" w:hAnsiTheme="minorEastAsia" w:eastAsiaTheme="minorEastAsia" w:cstheme="minorEastAsia"/>
                <w:bCs/>
                <w:iCs/>
                <w:color w:val="000000"/>
                <w:sz w:val="24"/>
              </w:rPr>
            </w:pPr>
            <w:r>
              <w:rPr>
                <w:rFonts w:hint="eastAsia" w:asciiTheme="minorEastAsia" w:hAnsiTheme="minorEastAsia" w:eastAsiaTheme="minorEastAsia" w:cstheme="minorEastAsia"/>
                <w:bCs/>
                <w:iCs/>
                <w:color w:val="000000"/>
                <w:sz w:val="24"/>
              </w:rPr>
              <w:t>□</w:t>
            </w:r>
            <w:r>
              <w:rPr>
                <w:rFonts w:hint="eastAsia" w:asciiTheme="minorEastAsia" w:hAnsiTheme="minorEastAsia" w:eastAsiaTheme="minorEastAsia" w:cstheme="minorEastAsia"/>
                <w:sz w:val="24"/>
              </w:rPr>
              <w:t xml:space="preserve">业绩说明会          </w:t>
            </w:r>
            <w:r>
              <w:rPr>
                <w:rFonts w:hint="eastAsia" w:asciiTheme="minorEastAsia" w:hAnsiTheme="minorEastAsia" w:eastAsiaTheme="minorEastAsia" w:cstheme="minorEastAsia"/>
                <w:bCs/>
                <w:iCs/>
                <w:color w:val="000000"/>
                <w:sz w:val="24"/>
              </w:rPr>
              <w:t>□</w:t>
            </w:r>
            <w:r>
              <w:rPr>
                <w:rFonts w:hint="eastAsia" w:asciiTheme="minorEastAsia" w:hAnsiTheme="minorEastAsia" w:eastAsiaTheme="minorEastAsia" w:cstheme="minorEastAsia"/>
                <w:sz w:val="24"/>
              </w:rPr>
              <w:t xml:space="preserve">新闻发布会            </w:t>
            </w:r>
            <w:r>
              <w:rPr>
                <w:rFonts w:hint="eastAsia" w:asciiTheme="minorEastAsia" w:hAnsiTheme="minorEastAsia" w:eastAsiaTheme="minorEastAsia" w:cstheme="minorEastAsia"/>
                <w:bCs/>
                <w:iCs/>
                <w:color w:val="000000"/>
                <w:sz w:val="24"/>
              </w:rPr>
              <w:t>□</w:t>
            </w:r>
            <w:r>
              <w:rPr>
                <w:rFonts w:hint="eastAsia" w:asciiTheme="minorEastAsia" w:hAnsiTheme="minorEastAsia" w:eastAsiaTheme="minorEastAsia" w:cstheme="minorEastAsia"/>
                <w:sz w:val="24"/>
              </w:rPr>
              <w:t>路演活动</w:t>
            </w:r>
          </w:p>
          <w:p w14:paraId="503B5874">
            <w:pPr>
              <w:tabs>
                <w:tab w:val="left" w:pos="3045"/>
                <w:tab w:val="center" w:pos="3199"/>
              </w:tabs>
              <w:spacing w:line="360" w:lineRule="auto"/>
              <w:rPr>
                <w:rFonts w:hint="eastAsia" w:asciiTheme="minorEastAsia" w:hAnsiTheme="minorEastAsia" w:eastAsiaTheme="minorEastAsia" w:cstheme="minorEastAsia"/>
                <w:bCs/>
                <w:iCs/>
                <w:color w:val="000000"/>
                <w:sz w:val="24"/>
              </w:rPr>
            </w:pPr>
            <w:r>
              <w:rPr>
                <w:rFonts w:hint="eastAsia" w:asciiTheme="minorEastAsia" w:hAnsiTheme="minorEastAsia" w:eastAsiaTheme="minorEastAsia" w:cstheme="minorEastAsia"/>
                <w:sz w:val="24"/>
              </w:rPr>
              <w:t>☑现场参观            ☑其他（券商组织的策略会）</w:t>
            </w:r>
          </w:p>
        </w:tc>
      </w:tr>
      <w:tr w14:paraId="14EAB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1769" w:type="dxa"/>
            <w:vAlign w:val="center"/>
          </w:tcPr>
          <w:p w14:paraId="6A49014A">
            <w:pPr>
              <w:spacing w:line="360" w:lineRule="auto"/>
              <w:jc w:val="center"/>
              <w:rPr>
                <w:rFonts w:hint="eastAsia" w:asciiTheme="minorEastAsia" w:hAnsiTheme="minorEastAsia" w:eastAsiaTheme="minorEastAsia" w:cstheme="minorEastAsia"/>
                <w:b/>
                <w:bCs/>
                <w:iCs/>
                <w:color w:val="000000"/>
                <w:sz w:val="24"/>
              </w:rPr>
            </w:pPr>
            <w:r>
              <w:rPr>
                <w:rFonts w:hint="eastAsia" w:asciiTheme="minorEastAsia" w:hAnsiTheme="minorEastAsia" w:eastAsiaTheme="minorEastAsia" w:cstheme="minorEastAsia"/>
                <w:b/>
                <w:bCs/>
                <w:iCs/>
                <w:color w:val="000000"/>
                <w:sz w:val="24"/>
              </w:rPr>
              <w:t>参与单位名称</w:t>
            </w:r>
          </w:p>
        </w:tc>
        <w:tc>
          <w:tcPr>
            <w:tcW w:w="8422" w:type="dxa"/>
            <w:vAlign w:val="center"/>
          </w:tcPr>
          <w:p w14:paraId="7579AC3F">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华泰证券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浙商证券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中航证券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西部证券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天风证券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中国国际金融</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西南证券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华创证券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信达证券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东方证券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东吴证券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山西证券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广发基金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恒越基金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中银基金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信达澳亚基金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华夏基金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富安达基金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天治基金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华宝基金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安信基金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平安基金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长安基金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泉果基金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杭州正鑫私募</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澜熙资管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复胜资管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筌笠资管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上海景林资管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中金众鑫投资</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熵盈私募</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重阳投资</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上海冲积资管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上海丹羿资管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上海大朴资管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国金证券资管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方正人寿</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思柏投資</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德劭公司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昱奕资产</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泽瑛私募</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深圳博普资产</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上海利位投资</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招商基金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国联民生</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华福电子</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惠升基金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常瑜资产</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国元通信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胤胜资产</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华商证券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财通证券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涌乐投资</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南华基金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中汇人寿</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巨子投资</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顶天投资</w:t>
            </w:r>
          </w:p>
          <w:p w14:paraId="4E887B37">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中邮电子</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万家基金</w:t>
            </w:r>
          </w:p>
          <w:p w14:paraId="6C44F301">
            <w:pPr>
              <w:widowControl/>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国联民生证券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鼎讯私募</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诺安基金</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万家基金、</w:t>
            </w:r>
            <w:r>
              <w:rPr>
                <w:rFonts w:hint="eastAsia" w:asciiTheme="minorEastAsia" w:hAnsiTheme="minorEastAsia" w:eastAsiaTheme="minorEastAsia" w:cstheme="minorEastAsia"/>
                <w:sz w:val="24"/>
              </w:rPr>
              <w:t>中军投资</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翀云投资</w:t>
            </w:r>
            <w:r>
              <w:rPr>
                <w:rFonts w:hint="eastAsia" w:asciiTheme="minorEastAsia" w:hAnsiTheme="minorEastAsia" w:eastAsiaTheme="minorEastAsia" w:cstheme="minorEastAsia"/>
                <w:sz w:val="24"/>
                <w:lang w:eastAsia="zh-CN"/>
              </w:rPr>
              <w:t>、中邮电子、国联民生证券自营、</w:t>
            </w:r>
            <w:r>
              <w:rPr>
                <w:rFonts w:hint="eastAsia" w:asciiTheme="minorEastAsia" w:hAnsiTheme="minorEastAsia" w:eastAsiaTheme="minorEastAsia" w:cstheme="minorEastAsia"/>
                <w:sz w:val="24"/>
              </w:rPr>
              <w:t>众安保险</w:t>
            </w:r>
            <w:r>
              <w:rPr>
                <w:rFonts w:hint="eastAsia" w:asciiTheme="minorEastAsia" w:hAnsiTheme="minorEastAsia" w:eastAsiaTheme="minorEastAsia" w:cstheme="minorEastAsia"/>
                <w:sz w:val="24"/>
                <w:lang w:eastAsia="zh-CN"/>
              </w:rPr>
              <w:t>、广发基金、中欧基金、长信基金、</w:t>
            </w:r>
            <w:r>
              <w:rPr>
                <w:rFonts w:hint="eastAsia" w:asciiTheme="minorEastAsia" w:hAnsiTheme="minorEastAsia" w:eastAsiaTheme="minorEastAsia" w:cstheme="minorEastAsia"/>
                <w:sz w:val="24"/>
                <w:lang w:val="en-US" w:eastAsia="zh-CN"/>
              </w:rPr>
              <w:t>易方达基金、浙商资管、</w:t>
            </w:r>
            <w:r>
              <w:rPr>
                <w:rFonts w:hint="eastAsia" w:asciiTheme="minorEastAsia" w:hAnsiTheme="minorEastAsia" w:eastAsiaTheme="minorEastAsia" w:cstheme="minorEastAsia"/>
                <w:sz w:val="24"/>
              </w:rPr>
              <w:t>人保养老基金</w:t>
            </w:r>
          </w:p>
          <w:p w14:paraId="10D9F723">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部分会议参会者无法签署调研承诺函，但在交流活动中，我公司严格遵守相关规定，保证信息披露真实、准确、及时、公平，没有发生未公开重大信息泄露等情况。</w:t>
            </w:r>
          </w:p>
        </w:tc>
      </w:tr>
      <w:tr w14:paraId="25EC4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769" w:type="dxa"/>
            <w:vAlign w:val="center"/>
          </w:tcPr>
          <w:p w14:paraId="0C8125C4">
            <w:pPr>
              <w:spacing w:line="360" w:lineRule="auto"/>
              <w:jc w:val="center"/>
              <w:rPr>
                <w:rFonts w:hint="eastAsia" w:asciiTheme="minorEastAsia" w:hAnsiTheme="minorEastAsia" w:eastAsiaTheme="minorEastAsia" w:cstheme="minorEastAsia"/>
                <w:b/>
                <w:bCs/>
                <w:iCs/>
                <w:color w:val="000000"/>
                <w:sz w:val="24"/>
              </w:rPr>
            </w:pPr>
            <w:r>
              <w:rPr>
                <w:rFonts w:hint="eastAsia" w:asciiTheme="minorEastAsia" w:hAnsiTheme="minorEastAsia" w:eastAsiaTheme="minorEastAsia" w:cstheme="minorEastAsia"/>
                <w:b/>
                <w:bCs/>
                <w:iCs/>
                <w:color w:val="000000"/>
                <w:sz w:val="24"/>
              </w:rPr>
              <w:t>时间及地点</w:t>
            </w:r>
          </w:p>
        </w:tc>
        <w:tc>
          <w:tcPr>
            <w:tcW w:w="8422" w:type="dxa"/>
            <w:vAlign w:val="center"/>
          </w:tcPr>
          <w:p w14:paraId="02CA4CAD">
            <w:pPr>
              <w:spacing w:line="360" w:lineRule="auto"/>
              <w:rPr>
                <w:rFonts w:hint="eastAsia" w:asciiTheme="minorEastAsia" w:hAnsiTheme="minorEastAsia" w:eastAsiaTheme="minorEastAsia" w:cstheme="minorEastAsia"/>
                <w:bCs/>
                <w:iCs/>
                <w:color w:val="000000"/>
                <w:sz w:val="24"/>
              </w:rPr>
            </w:pPr>
            <w:r>
              <w:rPr>
                <w:rFonts w:hint="eastAsia" w:asciiTheme="minorEastAsia" w:hAnsiTheme="minorEastAsia" w:eastAsiaTheme="minorEastAsia" w:cstheme="minorEastAsia"/>
                <w:bCs/>
                <w:iCs/>
                <w:color w:val="000000"/>
                <w:sz w:val="24"/>
              </w:rPr>
              <w:t xml:space="preserve">3月3日14:30-16:00（嘉兴沃尔德）；3月4日10:00-11:00（电话会议） </w:t>
            </w:r>
          </w:p>
          <w:p w14:paraId="6F7EAFFF">
            <w:pPr>
              <w:spacing w:line="360" w:lineRule="auto"/>
              <w:rPr>
                <w:rFonts w:hint="eastAsia" w:asciiTheme="minorEastAsia" w:hAnsiTheme="minorEastAsia" w:eastAsiaTheme="minorEastAsia" w:cstheme="minorEastAsia"/>
                <w:bCs/>
                <w:iCs/>
                <w:color w:val="000000"/>
                <w:sz w:val="24"/>
              </w:rPr>
            </w:pPr>
            <w:r>
              <w:rPr>
                <w:rFonts w:hint="eastAsia" w:asciiTheme="minorEastAsia" w:hAnsiTheme="minorEastAsia" w:eastAsiaTheme="minorEastAsia" w:cstheme="minorEastAsia"/>
                <w:bCs/>
                <w:iCs/>
                <w:color w:val="000000"/>
                <w:sz w:val="24"/>
              </w:rPr>
              <w:t>3月5日9:00-12:</w:t>
            </w:r>
            <w:r>
              <w:rPr>
                <w:rFonts w:hint="eastAsia" w:asciiTheme="minorEastAsia" w:hAnsiTheme="minorEastAsia" w:eastAsiaTheme="minorEastAsia" w:cstheme="minorEastAsia"/>
                <w:bCs/>
                <w:iCs/>
                <w:color w:val="000000"/>
                <w:sz w:val="24"/>
                <w:lang w:val="en-US" w:eastAsia="zh-CN"/>
              </w:rPr>
              <w:t>3</w:t>
            </w:r>
            <w:r>
              <w:rPr>
                <w:rFonts w:hint="eastAsia" w:asciiTheme="minorEastAsia" w:hAnsiTheme="minorEastAsia" w:eastAsiaTheme="minorEastAsia" w:cstheme="minorEastAsia"/>
                <w:bCs/>
                <w:iCs/>
                <w:color w:val="000000"/>
                <w:sz w:val="24"/>
              </w:rPr>
              <w:t>0（无锡）</w:t>
            </w:r>
          </w:p>
        </w:tc>
      </w:tr>
      <w:tr w14:paraId="1D82C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1769" w:type="dxa"/>
            <w:vAlign w:val="center"/>
          </w:tcPr>
          <w:p w14:paraId="7400E03F">
            <w:pPr>
              <w:snapToGrid w:val="0"/>
              <w:jc w:val="center"/>
              <w:rPr>
                <w:rFonts w:hint="eastAsia" w:asciiTheme="minorEastAsia" w:hAnsiTheme="minorEastAsia" w:eastAsiaTheme="minorEastAsia" w:cstheme="minorEastAsia"/>
                <w:b/>
                <w:bCs/>
                <w:iCs/>
                <w:color w:val="000000"/>
                <w:sz w:val="24"/>
              </w:rPr>
            </w:pPr>
            <w:r>
              <w:rPr>
                <w:rFonts w:hint="eastAsia" w:asciiTheme="minorEastAsia" w:hAnsiTheme="minorEastAsia" w:eastAsiaTheme="minorEastAsia" w:cstheme="minorEastAsia"/>
                <w:b/>
                <w:bCs/>
                <w:iCs/>
                <w:color w:val="000000"/>
                <w:sz w:val="24"/>
              </w:rPr>
              <w:t>上市公司接待人员姓名</w:t>
            </w:r>
          </w:p>
        </w:tc>
        <w:tc>
          <w:tcPr>
            <w:tcW w:w="8422" w:type="dxa"/>
            <w:vAlign w:val="center"/>
          </w:tcPr>
          <w:p w14:paraId="60A7B690">
            <w:pPr>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董事长、总经理：陈继锋</w:t>
            </w:r>
          </w:p>
          <w:p w14:paraId="5C2463DF">
            <w:pPr>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副总经理、董事会秘书：陈焕超</w:t>
            </w:r>
          </w:p>
          <w:p w14:paraId="14C32583">
            <w:pPr>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证券事务代表：沈李思</w:t>
            </w:r>
          </w:p>
        </w:tc>
      </w:tr>
      <w:tr w14:paraId="703F6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769" w:type="dxa"/>
            <w:vAlign w:val="center"/>
          </w:tcPr>
          <w:p w14:paraId="3DB8C30E">
            <w:pPr>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 w:val="24"/>
              </w:rPr>
              <w:t>投资者关系活动主要内容介绍</w:t>
            </w:r>
          </w:p>
        </w:tc>
        <w:tc>
          <w:tcPr>
            <w:tcW w:w="8422" w:type="dxa"/>
            <w:vAlign w:val="center"/>
          </w:tcPr>
          <w:p w14:paraId="67B1D95A">
            <w:pPr>
              <w:spacing w:line="360" w:lineRule="auto"/>
              <w:ind w:firstLine="482" w:firstLineChars="200"/>
              <w:rPr>
                <w:rFonts w:hint="eastAsia" w:asciiTheme="minorEastAsia" w:hAnsiTheme="minorEastAsia" w:eastAsiaTheme="minorEastAsia" w:cstheme="minorEastAsia"/>
                <w:b/>
                <w:bCs/>
                <w:sz w:val="24"/>
                <w:shd w:val="clear" w:color="auto" w:fill="FFFFFF"/>
              </w:rPr>
            </w:pPr>
            <w:bookmarkStart w:id="0" w:name="OLE_LINK2"/>
            <w:r>
              <w:rPr>
                <w:rFonts w:hint="eastAsia" w:asciiTheme="minorEastAsia" w:hAnsiTheme="minorEastAsia" w:eastAsiaTheme="minorEastAsia" w:cstheme="minorEastAsia"/>
                <w:b/>
                <w:bCs/>
                <w:sz w:val="24"/>
                <w:shd w:val="clear" w:color="auto" w:fill="FFFFFF"/>
              </w:rPr>
              <w:t>风险提示：</w:t>
            </w:r>
          </w:p>
          <w:p w14:paraId="63F7F1A7">
            <w:pPr>
              <w:spacing w:line="360" w:lineRule="auto"/>
              <w:ind w:firstLine="482" w:firstLineChars="200"/>
              <w:rPr>
                <w:rFonts w:hint="eastAsia"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1、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2B54CE94">
            <w:pPr>
              <w:spacing w:line="360" w:lineRule="auto"/>
              <w:ind w:firstLine="482" w:firstLineChars="200"/>
              <w:rPr>
                <w:rFonts w:hint="eastAsia"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2、本次以简易程序向特定对象发行股票方案已经公司2024年年度股东会授权、发行方案已经公司第四届董事会第十六次会议审议通过，具备相关条件后续</w:t>
            </w:r>
            <w:r>
              <w:rPr>
                <w:rFonts w:hint="eastAsia" w:asciiTheme="minorEastAsia" w:hAnsiTheme="minorEastAsia" w:eastAsiaTheme="minorEastAsia" w:cstheme="minorEastAsia"/>
                <w:b/>
                <w:bCs/>
                <w:sz w:val="24"/>
                <w:shd w:val="clear" w:color="auto" w:fill="FFFFFF"/>
                <w:lang w:val="en-US" w:eastAsia="zh-CN"/>
              </w:rPr>
              <w:t>将</w:t>
            </w:r>
            <w:r>
              <w:rPr>
                <w:rFonts w:hint="eastAsia" w:asciiTheme="minorEastAsia" w:hAnsiTheme="minorEastAsia" w:eastAsiaTheme="minorEastAsia" w:cstheme="minorEastAsia"/>
                <w:b/>
                <w:bCs/>
                <w:sz w:val="24"/>
                <w:shd w:val="clear" w:color="auto" w:fill="FFFFFF"/>
              </w:rPr>
              <w:t>召开董事会等审议程序，最终需上海证券交易所审核通过并经中国证监会作出同意注册决定后方可实施。特别提醒投资者仔细阅读《2026年度以简易程序向特定对象发行股票预案》“第三节 董事会关于本次发行对公司影响的讨论与分析”之“六、本次股票发行相关的风险说明”有关内容，注意投资风险！</w:t>
            </w:r>
          </w:p>
          <w:p w14:paraId="41B4B0B5">
            <w:pPr>
              <w:spacing w:line="360" w:lineRule="auto"/>
              <w:ind w:firstLine="482" w:firstLineChars="200"/>
              <w:rPr>
                <w:rFonts w:hint="eastAsia"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3、如涉及对行业预测/判断、公司发展战略和经营计划等相关内容，不能视作公司或公司管理层对行业、公司发展或业绩的承诺和保证，敬请广大投资者注意投资风险！</w:t>
            </w:r>
          </w:p>
          <w:p w14:paraId="24A706DE">
            <w:pPr>
              <w:widowControl/>
              <w:ind w:firstLine="482" w:firstLineChars="200"/>
              <w:jc w:val="left"/>
              <w:rPr>
                <w:rFonts w:hint="eastAsia" w:asciiTheme="minorEastAsia" w:hAnsiTheme="minorEastAsia" w:eastAsiaTheme="minorEastAsia" w:cstheme="minorEastAsia"/>
                <w:b/>
                <w:bCs/>
                <w:sz w:val="24"/>
                <w:shd w:val="clear" w:color="auto" w:fill="FFFFFF"/>
              </w:rPr>
            </w:pPr>
          </w:p>
          <w:p w14:paraId="59A0ADD8">
            <w:pPr>
              <w:widowControl/>
              <w:ind w:firstLine="482" w:firstLineChars="200"/>
              <w:jc w:val="left"/>
              <w:rPr>
                <w:rFonts w:hint="eastAsia"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第一部分 简易程序向特定对象发行股票相关情况</w:t>
            </w:r>
          </w:p>
          <w:p w14:paraId="556414C1">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hd w:val="clear" w:color="auto" w:fill="FFFFFF"/>
              </w:rPr>
              <w:t>本次以简易程序向特定对象发行股票募集资金总额30,000.00万元，拟将募集资金用于公司主营业务相关项目，具体如下：</w:t>
            </w:r>
          </w:p>
          <w:p w14:paraId="7B7D0441">
            <w:pPr>
              <w:widowControl/>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单位：万元</w:t>
            </w:r>
          </w:p>
          <w:tbl>
            <w:tblPr>
              <w:tblStyle w:val="10"/>
              <w:tblW w:w="4999" w:type="pct"/>
              <w:jc w:val="center"/>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554"/>
              <w:gridCol w:w="1481"/>
              <w:gridCol w:w="2440"/>
            </w:tblGrid>
            <w:tr w14:paraId="3CE97F02">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30" w:type="dxa"/>
                  <w:tcBorders>
                    <w:tl2br w:val="nil"/>
                    <w:tr2bl w:val="nil"/>
                  </w:tcBorders>
                  <w:vAlign w:val="center"/>
                </w:tcPr>
                <w:p w14:paraId="06193125">
                  <w:pPr>
                    <w:widowControl/>
                    <w:adjustRightInd w:val="0"/>
                    <w:snapToGrid w:val="0"/>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序号</w:t>
                  </w:r>
                </w:p>
              </w:tc>
              <w:tc>
                <w:tcPr>
                  <w:tcW w:w="3554" w:type="dxa"/>
                  <w:tcBorders>
                    <w:tl2br w:val="nil"/>
                    <w:tr2bl w:val="nil"/>
                  </w:tcBorders>
                  <w:vAlign w:val="center"/>
                </w:tcPr>
                <w:p w14:paraId="0F7F11C4">
                  <w:pPr>
                    <w:widowControl/>
                    <w:adjustRightInd w:val="0"/>
                    <w:snapToGrid w:val="0"/>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项目名称</w:t>
                  </w:r>
                </w:p>
              </w:tc>
              <w:tc>
                <w:tcPr>
                  <w:tcW w:w="1481" w:type="dxa"/>
                  <w:tcBorders>
                    <w:tl2br w:val="nil"/>
                    <w:tr2bl w:val="nil"/>
                  </w:tcBorders>
                  <w:vAlign w:val="center"/>
                </w:tcPr>
                <w:p w14:paraId="18D93DF5">
                  <w:pPr>
                    <w:widowControl/>
                    <w:adjustRightInd w:val="0"/>
                    <w:snapToGrid w:val="0"/>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拟总投资额</w:t>
                  </w:r>
                </w:p>
              </w:tc>
              <w:tc>
                <w:tcPr>
                  <w:tcW w:w="2440" w:type="dxa"/>
                  <w:tcBorders>
                    <w:tl2br w:val="nil"/>
                    <w:tr2bl w:val="nil"/>
                  </w:tcBorders>
                  <w:vAlign w:val="center"/>
                </w:tcPr>
                <w:p w14:paraId="612AAADB">
                  <w:pPr>
                    <w:widowControl/>
                    <w:adjustRightInd w:val="0"/>
                    <w:snapToGrid w:val="0"/>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拟使用募集资金投资额</w:t>
                  </w:r>
                </w:p>
              </w:tc>
            </w:tr>
            <w:tr w14:paraId="65008F72">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tcBorders>
                    <w:tl2br w:val="nil"/>
                    <w:tr2bl w:val="nil"/>
                  </w:tcBorders>
                  <w:vAlign w:val="center"/>
                </w:tcPr>
                <w:p w14:paraId="64BA3555">
                  <w:pPr>
                    <w:widowControl/>
                    <w:adjustRightInd w:val="0"/>
                    <w:snapToGrid w:val="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1</w:t>
                  </w:r>
                </w:p>
              </w:tc>
              <w:tc>
                <w:tcPr>
                  <w:tcW w:w="3554" w:type="dxa"/>
                  <w:tcBorders>
                    <w:tl2br w:val="nil"/>
                    <w:tr2bl w:val="nil"/>
                  </w:tcBorders>
                  <w:vAlign w:val="center"/>
                </w:tcPr>
                <w:p w14:paraId="569CF444">
                  <w:pPr>
                    <w:widowControl/>
                    <w:adjustRightInd w:val="0"/>
                    <w:snapToGrid w:val="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金刚石微钻产业化项目（一期）</w:t>
                  </w:r>
                </w:p>
              </w:tc>
              <w:tc>
                <w:tcPr>
                  <w:tcW w:w="1481" w:type="dxa"/>
                  <w:tcBorders>
                    <w:tl2br w:val="nil"/>
                    <w:tr2bl w:val="nil"/>
                  </w:tcBorders>
                  <w:vAlign w:val="center"/>
                </w:tcPr>
                <w:p w14:paraId="5E53AE3E">
                  <w:pPr>
                    <w:widowControl/>
                    <w:adjustRightInd w:val="0"/>
                    <w:snapToGrid w:val="0"/>
                    <w:jc w:val="righ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13,383.02</w:t>
                  </w:r>
                </w:p>
              </w:tc>
              <w:tc>
                <w:tcPr>
                  <w:tcW w:w="2440" w:type="dxa"/>
                  <w:tcBorders>
                    <w:tl2br w:val="nil"/>
                    <w:tr2bl w:val="nil"/>
                  </w:tcBorders>
                  <w:vAlign w:val="center"/>
                </w:tcPr>
                <w:p w14:paraId="4B505CAF">
                  <w:pPr>
                    <w:widowControl/>
                    <w:adjustRightInd w:val="0"/>
                    <w:snapToGrid w:val="0"/>
                    <w:jc w:val="righ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13,300.00</w:t>
                  </w:r>
                </w:p>
              </w:tc>
            </w:tr>
            <w:tr w14:paraId="45EBB031">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tcBorders>
                    <w:tl2br w:val="nil"/>
                    <w:tr2bl w:val="nil"/>
                  </w:tcBorders>
                  <w:vAlign w:val="center"/>
                </w:tcPr>
                <w:p w14:paraId="618BFB81">
                  <w:pPr>
                    <w:widowControl/>
                    <w:adjustRightInd w:val="0"/>
                    <w:snapToGrid w:val="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2</w:t>
                  </w:r>
                </w:p>
              </w:tc>
              <w:tc>
                <w:tcPr>
                  <w:tcW w:w="3554" w:type="dxa"/>
                  <w:tcBorders>
                    <w:tl2br w:val="nil"/>
                    <w:tr2bl w:val="nil"/>
                  </w:tcBorders>
                  <w:vAlign w:val="center"/>
                </w:tcPr>
                <w:p w14:paraId="523C5DB4">
                  <w:pPr>
                    <w:widowControl/>
                    <w:adjustRightInd w:val="0"/>
                    <w:snapToGrid w:val="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金刚石功能材料产业化项目（一期）</w:t>
                  </w:r>
                </w:p>
              </w:tc>
              <w:tc>
                <w:tcPr>
                  <w:tcW w:w="1481" w:type="dxa"/>
                  <w:tcBorders>
                    <w:tl2br w:val="nil"/>
                    <w:tr2bl w:val="nil"/>
                  </w:tcBorders>
                  <w:vAlign w:val="center"/>
                </w:tcPr>
                <w:p w14:paraId="70E3940F">
                  <w:pPr>
                    <w:widowControl/>
                    <w:adjustRightInd w:val="0"/>
                    <w:snapToGrid w:val="0"/>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rPr>
                    <w:t>13,157.83</w:t>
                  </w:r>
                </w:p>
              </w:tc>
              <w:tc>
                <w:tcPr>
                  <w:tcW w:w="2440" w:type="dxa"/>
                  <w:tcBorders>
                    <w:tl2br w:val="nil"/>
                    <w:tr2bl w:val="nil"/>
                  </w:tcBorders>
                  <w:vAlign w:val="center"/>
                </w:tcPr>
                <w:p w14:paraId="65B40333">
                  <w:pPr>
                    <w:widowControl/>
                    <w:adjustRightInd w:val="0"/>
                    <w:snapToGrid w:val="0"/>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rPr>
                    <w:t>13,100.00</w:t>
                  </w:r>
                </w:p>
              </w:tc>
            </w:tr>
            <w:tr w14:paraId="2B523F6D">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tcBorders>
                    <w:tl2br w:val="nil"/>
                    <w:tr2bl w:val="nil"/>
                  </w:tcBorders>
                  <w:vAlign w:val="center"/>
                </w:tcPr>
                <w:p w14:paraId="7DD31A85">
                  <w:pPr>
                    <w:widowControl/>
                    <w:adjustRightInd w:val="0"/>
                    <w:snapToGrid w:val="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3</w:t>
                  </w:r>
                </w:p>
              </w:tc>
              <w:tc>
                <w:tcPr>
                  <w:tcW w:w="3554" w:type="dxa"/>
                  <w:tcBorders>
                    <w:tl2br w:val="nil"/>
                    <w:tr2bl w:val="nil"/>
                  </w:tcBorders>
                  <w:vAlign w:val="center"/>
                </w:tcPr>
                <w:p w14:paraId="26AD4E8A">
                  <w:pPr>
                    <w:widowControl/>
                    <w:adjustRightInd w:val="0"/>
                    <w:snapToGrid w:val="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金刚石功能材料研发中心项目</w:t>
                  </w:r>
                </w:p>
              </w:tc>
              <w:tc>
                <w:tcPr>
                  <w:tcW w:w="1481" w:type="dxa"/>
                  <w:tcBorders>
                    <w:tl2br w:val="nil"/>
                    <w:tr2bl w:val="nil"/>
                  </w:tcBorders>
                  <w:vAlign w:val="center"/>
                </w:tcPr>
                <w:p w14:paraId="61AABF1A">
                  <w:pPr>
                    <w:widowControl/>
                    <w:adjustRightInd w:val="0"/>
                    <w:snapToGrid w:val="0"/>
                    <w:jc w:val="righ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3,888.32</w:t>
                  </w:r>
                </w:p>
              </w:tc>
              <w:tc>
                <w:tcPr>
                  <w:tcW w:w="2440" w:type="dxa"/>
                  <w:tcBorders>
                    <w:tl2br w:val="nil"/>
                    <w:tr2bl w:val="nil"/>
                  </w:tcBorders>
                  <w:vAlign w:val="center"/>
                </w:tcPr>
                <w:p w14:paraId="6E722069">
                  <w:pPr>
                    <w:widowControl/>
                    <w:adjustRightInd w:val="0"/>
                    <w:snapToGrid w:val="0"/>
                    <w:jc w:val="righ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rPr>
                    <w:t>3,600.00</w:t>
                  </w:r>
                </w:p>
              </w:tc>
            </w:tr>
            <w:tr w14:paraId="36211621">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4" w:type="dxa"/>
                  <w:gridSpan w:val="2"/>
                  <w:tcBorders>
                    <w:tl2br w:val="nil"/>
                    <w:tr2bl w:val="nil"/>
                  </w:tcBorders>
                  <w:vAlign w:val="center"/>
                </w:tcPr>
                <w:p w14:paraId="0D580601">
                  <w:pPr>
                    <w:widowControl/>
                    <w:adjustRightInd w:val="0"/>
                    <w:snapToGrid w:val="0"/>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合计</w:t>
                  </w:r>
                </w:p>
              </w:tc>
              <w:tc>
                <w:tcPr>
                  <w:tcW w:w="1481" w:type="dxa"/>
                  <w:tcBorders>
                    <w:tl2br w:val="nil"/>
                    <w:tr2bl w:val="nil"/>
                  </w:tcBorders>
                  <w:vAlign w:val="center"/>
                </w:tcPr>
                <w:p w14:paraId="04EAF9D5">
                  <w:pPr>
                    <w:widowControl/>
                    <w:adjustRightInd w:val="0"/>
                    <w:snapToGrid w:val="0"/>
                    <w:jc w:val="right"/>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color w:val="000000"/>
                    </w:rPr>
                    <w:t>30,429.17</w:t>
                  </w:r>
                </w:p>
              </w:tc>
              <w:tc>
                <w:tcPr>
                  <w:tcW w:w="2440" w:type="dxa"/>
                  <w:tcBorders>
                    <w:tl2br w:val="nil"/>
                    <w:tr2bl w:val="nil"/>
                  </w:tcBorders>
                  <w:vAlign w:val="center"/>
                </w:tcPr>
                <w:p w14:paraId="457F0CF6">
                  <w:pPr>
                    <w:widowControl/>
                    <w:adjustRightInd w:val="0"/>
                    <w:snapToGrid w:val="0"/>
                    <w:jc w:val="right"/>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color w:val="000000"/>
                    </w:rPr>
                    <w:t>30,000.00</w:t>
                  </w:r>
                </w:p>
              </w:tc>
            </w:tr>
          </w:tbl>
          <w:p w14:paraId="7FEF631F">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1、金刚石微钻产业化项目（一期）</w:t>
            </w:r>
          </w:p>
          <w:p w14:paraId="19CA9A27">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半导体行业正处于高增长的历史周期中，而半导体制造领域的硬脆材料的微孔加工对精度、孔壁光洁度、孔径一致性、加工效率等要求极高，推动金刚石微钻市场需求持续攀升。</w:t>
            </w:r>
          </w:p>
          <w:p w14:paraId="796B13E6">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全球PCB行业正迎来以M7/M8向M9材料迭代为核心的技术升级浪潮，板材耐磨性与加工难度大幅度提升，传统硬质合金钻针损耗加快、使用寿命缩短，换刀次数数倍增加，导致客户生产加工效率大幅降低，而金刚石微钻凭借超高硬度、优异的耐磨性等优势，具有更优的使用寿命及加工效率，有望成为高端PCB微孔加工的重要工具之一。</w:t>
            </w:r>
          </w:p>
          <w:p w14:paraId="622B8665">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拟利用现有厂房并装修改造实施，建设期拟定3年，项目建成达产后可实现年产560,000支金刚石微钻的生产能力。</w:t>
            </w:r>
          </w:p>
          <w:p w14:paraId="0744865B">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2、金刚石功能材料产业化项目（一期）</w:t>
            </w:r>
          </w:p>
          <w:p w14:paraId="6B2BD8A0">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在声学振膜领域，随着汽车、消费电子等声学应用场景向高端化升级，传统振膜材料逐渐暴露出性能瓶颈，塑料、金属等材质在刚性、密度、导热性等核心指标上的短板愈发明显，难以适配高端汽车音响对音质保真度、高频响应的严苛标准。金刚石具备高刚度、高声学传播速率、轻质、高声学截止频率等优势，成为高端声学振膜材料之一。</w:t>
            </w:r>
          </w:p>
          <w:p w14:paraId="30E01743">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本项目将依托成熟的MPCVD生长技术与激光微纳米精密加工技术，系统优化关键工艺参数，实现高质量规模化生产。项目达产后将大幅提升产能，推动产品从小批量试产向规模化供应的转型，加快金刚石功能材料赛道布局，构建业务新增长曲线。拟利用现有厂房并装修改造实施，建设期拟定3年。项目建成达产后可实现年产270,000片CVD钻石声学振膜的生产能力。</w:t>
            </w:r>
          </w:p>
          <w:p w14:paraId="453567DE">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3、金刚石功能材料研发中心项目</w:t>
            </w:r>
          </w:p>
          <w:p w14:paraId="1ADBBB52">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在半导体热管理领域，高功率电子器件尤其是AI芯片的热管理问题日益严峻，金刚石具有优异的热扩散系数，可实现芯片局部热点的迅速响应与高效扩散，有效防止热量淤积；其良好的绝缘性与低介电常数，不会引入额外的寄生电容，保障了芯片在高频运行时的信号完整性，契合AI芯片的高频率运行需求。</w:t>
            </w:r>
          </w:p>
          <w:p w14:paraId="6EA0C024">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在量子科技与精密光学领域，量子级金刚石凭借稳定的晶格结构和独特的色心特性，不仅是理想的量子载体，其极端环境下的光学透过性也使其成为高端光学窗口的核心材料。当前国内量子级金刚石开发仍处于起步阶段，面临晶体纯度控制、色心调控等多项技术挑战，亟需开展系统性研发以突破关键技术，构建自主可控的技术体系。</w:t>
            </w:r>
          </w:p>
          <w:p w14:paraId="79948172">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拟利用现有厂房并装修改造实施，建设期拟定3年。本项目聚焦于金刚石功能材料及应用，研发方向包括“金刚石散热晶圆制备技术研发”“金刚石复合冷板材料研发”“量子级金刚石晶体研发”等。</w:t>
            </w:r>
          </w:p>
          <w:p w14:paraId="6EC2433E">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2026年度以简易程序向特定对象发行股票具体内容见2026年3月3日在上海证券交易所网站（www.sse.com.cn）披露的相关公告，敬请广大投资者注意查阅。</w:t>
            </w:r>
          </w:p>
          <w:p w14:paraId="4E199D1A">
            <w:pPr>
              <w:spacing w:line="360" w:lineRule="auto"/>
              <w:ind w:firstLine="482" w:firstLineChars="200"/>
              <w:rPr>
                <w:rFonts w:hint="eastAsia"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第二部分 提问与回答</w:t>
            </w:r>
          </w:p>
          <w:p w14:paraId="065FE785">
            <w:pPr>
              <w:spacing w:line="360" w:lineRule="auto"/>
              <w:ind w:firstLine="482" w:firstLineChars="200"/>
              <w:rPr>
                <w:rFonts w:hint="eastAsia"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Q：请介绍公司2025年度经营情况</w:t>
            </w:r>
          </w:p>
          <w:p w14:paraId="36480BD5">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公司已于2026年2月28日披露《2025年度业绩快报公告》，经公司财务部门初步核算，预计2025年公司实现营业收入75,370.36万元，较上年同期增长11.08%；实现归属于母公司所有者的净利润9,424.03万元，较上年同期下降4.98%；归属于母公司所有者的扣除非经常性损益的净利润8,401.35万元，较上年同期下降5.80%。</w:t>
            </w:r>
          </w:p>
          <w:p w14:paraId="1AF61F6B">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2025年，公司核心刀具业务稳健经营，产品线不断丰富，产品矩阵得到进一步升级，在汽车、消费电子、新能源装备、半导体等精密加工领域实现营业收入增长；金刚石功能材料业务在新品研发与市场拓展方面取得阶段性成果，实现小规模营业收入，但仍处于投入期。受刀具行业竞争持续加剧、部分原材料价格持续上涨、固定资产折旧增加、部分期间费用有所增加等影响，综合导致公司净利润略有下滑。</w:t>
            </w:r>
          </w:p>
          <w:p w14:paraId="00C0AFB9">
            <w:pPr>
              <w:spacing w:line="360" w:lineRule="auto"/>
              <w:ind w:firstLine="480" w:firstLineChars="200"/>
              <w:rPr>
                <w:rFonts w:hint="eastAsia" w:asciiTheme="minorEastAsia" w:hAnsiTheme="minorEastAsia" w:eastAsiaTheme="minorEastAsia" w:cstheme="minorEastAsia"/>
                <w:sz w:val="24"/>
                <w:shd w:val="clear" w:color="auto" w:fill="FFFFFF"/>
                <w:lang w:eastAsia="zh-CN"/>
              </w:rPr>
            </w:pPr>
            <w:r>
              <w:rPr>
                <w:rFonts w:hint="eastAsia" w:asciiTheme="minorEastAsia" w:hAnsiTheme="minorEastAsia" w:eastAsiaTheme="minorEastAsia" w:cstheme="minorEastAsia"/>
                <w:sz w:val="24"/>
                <w:shd w:val="clear" w:color="auto" w:fill="FFFFFF"/>
              </w:rPr>
              <w:t>该业绩快报所列示的财务数据未经注册会计师审计，具体数据以公司2025年年度报告中披露的数据为准，敬请广大投资者注意二级市场投资风险</w:t>
            </w:r>
            <w:r>
              <w:rPr>
                <w:rFonts w:hint="eastAsia" w:asciiTheme="minorEastAsia" w:hAnsiTheme="minorEastAsia" w:eastAsiaTheme="minorEastAsia" w:cstheme="minorEastAsia"/>
                <w:sz w:val="24"/>
                <w:shd w:val="clear" w:color="auto" w:fill="FFFFFF"/>
                <w:lang w:eastAsia="zh-CN"/>
              </w:rPr>
              <w:t>。</w:t>
            </w:r>
          </w:p>
          <w:p w14:paraId="79FE88D6">
            <w:pPr>
              <w:spacing w:line="360" w:lineRule="auto"/>
              <w:ind w:firstLine="482" w:firstLineChars="200"/>
              <w:rPr>
                <w:rFonts w:hint="eastAsia"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Q:公司金刚石微钻产品在PCB客户的进展情况？</w:t>
            </w:r>
          </w:p>
          <w:p w14:paraId="09D93C9A">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公司与多家PCB厂商进行金刚石微钻产品的验证等工作。客户合作均基于正常的商业逻辑和业务需求，遵循市场化原则，按照规范的商业流程开展，公司具体客户、订单及测试信息属于商业保密范畴，未经客户许可公司不便讨论具体客户名称及业务开展情况，如涉及应披露的重大业务合作，公司均会依据相关法律法规及时履行审议程序并及时披露。</w:t>
            </w:r>
          </w:p>
          <w:p w14:paraId="4D562EA8">
            <w:pPr>
              <w:spacing w:line="360" w:lineRule="auto"/>
              <w:ind w:firstLine="482" w:firstLineChars="200"/>
              <w:rPr>
                <w:rFonts w:hint="eastAsia"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Q：公司核心业务刀具业务情况</w:t>
            </w:r>
          </w:p>
          <w:p w14:paraId="7E48D166">
            <w:pPr>
              <w:spacing w:line="360" w:lineRule="auto"/>
              <w:ind w:firstLine="480" w:firstLineChars="200"/>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公司层面，公司始终坚持超硬刀具为核心的经营理念，在资金、研发、生产制造、销售等方面重点投入超硬刀具。主要应用于汽车、3C、新能源装备等领域等零部件的精密和超高精密加工。</w:t>
            </w:r>
          </w:p>
          <w:p w14:paraId="4350079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hd w:val="clear" w:color="auto" w:fill="FFFFFF"/>
              </w:rPr>
              <w:t>随着高端制造、精密制造和新材料行业持续创新发展，钛合金、铝合金、碳纤维、高温合金、脆性材料等难加工材料使用逐渐增多，以及轻量化和更高精密工艺需求下，超硬刀具具有较好的发展前景和空间。市占率方面，欧美发达国家的超硬刀具占总刀具比重超过20%，我国机械加工行业使用超硬刀具占比远低于欧美发达国家，同时，随着我国制造业提质升级，超硬刀具具有较大提升空间。新兴行业层面，人形机器人、低空经济等新兴行业的关键零部件加工，超硬刀具具有较强优势。</w:t>
            </w:r>
            <w:bookmarkEnd w:id="0"/>
          </w:p>
        </w:tc>
      </w:tr>
      <w:tr w14:paraId="20193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1769" w:type="dxa"/>
            <w:vAlign w:val="center"/>
          </w:tcPr>
          <w:p w14:paraId="4A598D04">
            <w:pPr>
              <w:spacing w:line="360" w:lineRule="auto"/>
              <w:jc w:val="center"/>
              <w:rPr>
                <w:rFonts w:hint="eastAsia" w:asciiTheme="minorEastAsia" w:hAnsiTheme="minorEastAsia" w:eastAsiaTheme="minorEastAsia" w:cstheme="minorEastAsia"/>
                <w:b/>
                <w:bCs/>
                <w:iCs/>
                <w:color w:val="000000"/>
                <w:sz w:val="24"/>
              </w:rPr>
            </w:pPr>
            <w:r>
              <w:rPr>
                <w:rFonts w:hint="eastAsia" w:asciiTheme="minorEastAsia" w:hAnsiTheme="minorEastAsia" w:eastAsiaTheme="minorEastAsia" w:cstheme="minorEastAsia"/>
                <w:b/>
                <w:bCs/>
                <w:iCs/>
                <w:color w:val="000000"/>
                <w:sz w:val="24"/>
              </w:rPr>
              <w:t>附件清单</w:t>
            </w:r>
          </w:p>
        </w:tc>
        <w:tc>
          <w:tcPr>
            <w:tcW w:w="8422" w:type="dxa"/>
            <w:vAlign w:val="center"/>
          </w:tcPr>
          <w:p w14:paraId="6883B73B">
            <w:pPr>
              <w:spacing w:line="360" w:lineRule="auto"/>
              <w:rPr>
                <w:rFonts w:hint="eastAsia" w:asciiTheme="minorEastAsia" w:hAnsiTheme="minorEastAsia" w:eastAsiaTheme="minorEastAsia" w:cstheme="minorEastAsia"/>
                <w:bCs/>
                <w:iCs/>
                <w:color w:val="000000"/>
                <w:sz w:val="24"/>
              </w:rPr>
            </w:pPr>
            <w:r>
              <w:rPr>
                <w:rFonts w:hint="eastAsia" w:asciiTheme="minorEastAsia" w:hAnsiTheme="minorEastAsia" w:eastAsiaTheme="minorEastAsia" w:cstheme="minorEastAsia"/>
                <w:bCs/>
                <w:iCs/>
                <w:color w:val="000000"/>
                <w:sz w:val="24"/>
              </w:rPr>
              <w:t>无</w:t>
            </w:r>
          </w:p>
        </w:tc>
      </w:tr>
      <w:tr w14:paraId="6CC0F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769" w:type="dxa"/>
            <w:vAlign w:val="center"/>
          </w:tcPr>
          <w:p w14:paraId="028796CD">
            <w:pPr>
              <w:spacing w:line="360" w:lineRule="auto"/>
              <w:jc w:val="center"/>
              <w:rPr>
                <w:rFonts w:hint="eastAsia" w:asciiTheme="minorEastAsia" w:hAnsiTheme="minorEastAsia" w:eastAsiaTheme="minorEastAsia" w:cstheme="minorEastAsia"/>
                <w:b/>
                <w:bCs/>
                <w:iCs/>
                <w:color w:val="000000"/>
                <w:sz w:val="24"/>
              </w:rPr>
            </w:pPr>
            <w:r>
              <w:rPr>
                <w:rFonts w:hint="eastAsia" w:asciiTheme="minorEastAsia" w:hAnsiTheme="minorEastAsia" w:eastAsiaTheme="minorEastAsia" w:cstheme="minorEastAsia"/>
                <w:b/>
                <w:bCs/>
                <w:iCs/>
                <w:color w:val="000000"/>
                <w:sz w:val="24"/>
              </w:rPr>
              <w:t>日期</w:t>
            </w:r>
          </w:p>
        </w:tc>
        <w:tc>
          <w:tcPr>
            <w:tcW w:w="8422" w:type="dxa"/>
            <w:vAlign w:val="center"/>
          </w:tcPr>
          <w:p w14:paraId="26B0EEAC">
            <w:pPr>
              <w:spacing w:line="360" w:lineRule="auto"/>
              <w:rPr>
                <w:rFonts w:hint="eastAsia" w:asciiTheme="minorEastAsia" w:hAnsiTheme="minorEastAsia" w:eastAsiaTheme="minorEastAsia" w:cstheme="minorEastAsia"/>
                <w:bCs/>
                <w:iCs/>
                <w:color w:val="000000"/>
                <w:sz w:val="24"/>
              </w:rPr>
            </w:pPr>
            <w:r>
              <w:rPr>
                <w:rFonts w:hint="eastAsia" w:asciiTheme="minorEastAsia" w:hAnsiTheme="minorEastAsia" w:eastAsiaTheme="minorEastAsia" w:cstheme="minorEastAsia"/>
                <w:bCs/>
                <w:iCs/>
                <w:color w:val="000000"/>
                <w:sz w:val="24"/>
              </w:rPr>
              <w:t>2026年3月6日</w:t>
            </w:r>
          </w:p>
        </w:tc>
      </w:tr>
    </w:tbl>
    <w:p w14:paraId="4215C9C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10">
    <w:altName w:val="Noto Serif SC"/>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DYwNWQzMjZiNmY1ODE0NzBlNmYzZDQ3Yzc4ODQ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57FC"/>
    <w:rsid w:val="00075DD4"/>
    <w:rsid w:val="00076D92"/>
    <w:rsid w:val="00076EA1"/>
    <w:rsid w:val="000774D4"/>
    <w:rsid w:val="000779A9"/>
    <w:rsid w:val="000828EF"/>
    <w:rsid w:val="0008390A"/>
    <w:rsid w:val="00083A3E"/>
    <w:rsid w:val="00084599"/>
    <w:rsid w:val="00084961"/>
    <w:rsid w:val="00085E0A"/>
    <w:rsid w:val="0008761C"/>
    <w:rsid w:val="00091DC2"/>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6E45"/>
    <w:rsid w:val="000D714C"/>
    <w:rsid w:val="000D7CB9"/>
    <w:rsid w:val="000E0F9E"/>
    <w:rsid w:val="000E3586"/>
    <w:rsid w:val="000E534E"/>
    <w:rsid w:val="000E67C1"/>
    <w:rsid w:val="000F11FC"/>
    <w:rsid w:val="000F1410"/>
    <w:rsid w:val="000F2953"/>
    <w:rsid w:val="000F5346"/>
    <w:rsid w:val="000F5CC3"/>
    <w:rsid w:val="000F7296"/>
    <w:rsid w:val="00101257"/>
    <w:rsid w:val="00102CBE"/>
    <w:rsid w:val="00104331"/>
    <w:rsid w:val="00104F11"/>
    <w:rsid w:val="001051D5"/>
    <w:rsid w:val="001075E0"/>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278EA"/>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3D8B"/>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5EBA"/>
    <w:rsid w:val="00197D71"/>
    <w:rsid w:val="001A0401"/>
    <w:rsid w:val="001A4232"/>
    <w:rsid w:val="001A5A99"/>
    <w:rsid w:val="001B0004"/>
    <w:rsid w:val="001B1608"/>
    <w:rsid w:val="001B168B"/>
    <w:rsid w:val="001B34EF"/>
    <w:rsid w:val="001B3627"/>
    <w:rsid w:val="001B4794"/>
    <w:rsid w:val="001B5BC4"/>
    <w:rsid w:val="001C0711"/>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485F"/>
    <w:rsid w:val="00246D7D"/>
    <w:rsid w:val="002470F8"/>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692"/>
    <w:rsid w:val="004277C3"/>
    <w:rsid w:val="0043288D"/>
    <w:rsid w:val="00432CFD"/>
    <w:rsid w:val="00440D5A"/>
    <w:rsid w:val="00442598"/>
    <w:rsid w:val="0044262F"/>
    <w:rsid w:val="00442BFF"/>
    <w:rsid w:val="00442E30"/>
    <w:rsid w:val="0044310E"/>
    <w:rsid w:val="00445CCA"/>
    <w:rsid w:val="0044612C"/>
    <w:rsid w:val="004504A5"/>
    <w:rsid w:val="00451BE8"/>
    <w:rsid w:val="004525EB"/>
    <w:rsid w:val="00452641"/>
    <w:rsid w:val="00454EFC"/>
    <w:rsid w:val="00455217"/>
    <w:rsid w:val="00455B1B"/>
    <w:rsid w:val="00455B4A"/>
    <w:rsid w:val="00457252"/>
    <w:rsid w:val="00460CE5"/>
    <w:rsid w:val="00461C7A"/>
    <w:rsid w:val="004627EE"/>
    <w:rsid w:val="00463AAA"/>
    <w:rsid w:val="004644CF"/>
    <w:rsid w:val="00467C65"/>
    <w:rsid w:val="00467EC1"/>
    <w:rsid w:val="0047303D"/>
    <w:rsid w:val="0047575E"/>
    <w:rsid w:val="00477905"/>
    <w:rsid w:val="00480694"/>
    <w:rsid w:val="00480F26"/>
    <w:rsid w:val="00484029"/>
    <w:rsid w:val="004840FF"/>
    <w:rsid w:val="004853AC"/>
    <w:rsid w:val="0048703C"/>
    <w:rsid w:val="00487294"/>
    <w:rsid w:val="00487EDF"/>
    <w:rsid w:val="00491C70"/>
    <w:rsid w:val="004935EB"/>
    <w:rsid w:val="00493D2A"/>
    <w:rsid w:val="00493E11"/>
    <w:rsid w:val="00494C1E"/>
    <w:rsid w:val="004956F2"/>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0E3"/>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37E"/>
    <w:rsid w:val="00530D9F"/>
    <w:rsid w:val="00531813"/>
    <w:rsid w:val="00533AF0"/>
    <w:rsid w:val="0053465C"/>
    <w:rsid w:val="005346E2"/>
    <w:rsid w:val="00534DD1"/>
    <w:rsid w:val="00543DA8"/>
    <w:rsid w:val="005442DE"/>
    <w:rsid w:val="0054529F"/>
    <w:rsid w:val="00550D2E"/>
    <w:rsid w:val="0055164F"/>
    <w:rsid w:val="00551B94"/>
    <w:rsid w:val="005522AD"/>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47DC"/>
    <w:rsid w:val="00585496"/>
    <w:rsid w:val="00587460"/>
    <w:rsid w:val="00587F2A"/>
    <w:rsid w:val="005943F3"/>
    <w:rsid w:val="00597728"/>
    <w:rsid w:val="005A260D"/>
    <w:rsid w:val="005A2E6D"/>
    <w:rsid w:val="005A4721"/>
    <w:rsid w:val="005A63CD"/>
    <w:rsid w:val="005B1194"/>
    <w:rsid w:val="005B2683"/>
    <w:rsid w:val="005B4CD2"/>
    <w:rsid w:val="005B754D"/>
    <w:rsid w:val="005C3D25"/>
    <w:rsid w:val="005C4585"/>
    <w:rsid w:val="005C77A5"/>
    <w:rsid w:val="005C7C28"/>
    <w:rsid w:val="005D05E7"/>
    <w:rsid w:val="005D067C"/>
    <w:rsid w:val="005D3044"/>
    <w:rsid w:val="005D4CF9"/>
    <w:rsid w:val="005D4EDD"/>
    <w:rsid w:val="005D57FA"/>
    <w:rsid w:val="005D6BC5"/>
    <w:rsid w:val="005E05E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64C"/>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3494"/>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3D3F"/>
    <w:rsid w:val="006C50FA"/>
    <w:rsid w:val="006C6ABF"/>
    <w:rsid w:val="006C7BBD"/>
    <w:rsid w:val="006D18FF"/>
    <w:rsid w:val="006D2EA2"/>
    <w:rsid w:val="006D37FB"/>
    <w:rsid w:val="006D43CC"/>
    <w:rsid w:val="006D47B9"/>
    <w:rsid w:val="006D6277"/>
    <w:rsid w:val="006D6EBD"/>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13D"/>
    <w:rsid w:val="00816F70"/>
    <w:rsid w:val="0082208B"/>
    <w:rsid w:val="008223CC"/>
    <w:rsid w:val="0082423B"/>
    <w:rsid w:val="008254E5"/>
    <w:rsid w:val="00825719"/>
    <w:rsid w:val="0082736C"/>
    <w:rsid w:val="008305AB"/>
    <w:rsid w:val="00833AB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65F9"/>
    <w:rsid w:val="00897D1B"/>
    <w:rsid w:val="008A08B1"/>
    <w:rsid w:val="008A1349"/>
    <w:rsid w:val="008A1C7C"/>
    <w:rsid w:val="008A5212"/>
    <w:rsid w:val="008B041F"/>
    <w:rsid w:val="008B260F"/>
    <w:rsid w:val="008B45B9"/>
    <w:rsid w:val="008B4EFB"/>
    <w:rsid w:val="008B6428"/>
    <w:rsid w:val="008B6540"/>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3DCD"/>
    <w:rsid w:val="008E3ED9"/>
    <w:rsid w:val="008E4EE6"/>
    <w:rsid w:val="008E764D"/>
    <w:rsid w:val="008E7E90"/>
    <w:rsid w:val="008F359F"/>
    <w:rsid w:val="008F500A"/>
    <w:rsid w:val="008F5EAF"/>
    <w:rsid w:val="008F7354"/>
    <w:rsid w:val="0090062C"/>
    <w:rsid w:val="0090277D"/>
    <w:rsid w:val="00903F99"/>
    <w:rsid w:val="00905D80"/>
    <w:rsid w:val="0091257E"/>
    <w:rsid w:val="00913659"/>
    <w:rsid w:val="009146E0"/>
    <w:rsid w:val="00914CE6"/>
    <w:rsid w:val="00914DD5"/>
    <w:rsid w:val="00915018"/>
    <w:rsid w:val="00915555"/>
    <w:rsid w:val="00921D5F"/>
    <w:rsid w:val="00921EB1"/>
    <w:rsid w:val="00924A11"/>
    <w:rsid w:val="00927DE1"/>
    <w:rsid w:val="009303AC"/>
    <w:rsid w:val="0093252F"/>
    <w:rsid w:val="00933665"/>
    <w:rsid w:val="00935942"/>
    <w:rsid w:val="00937618"/>
    <w:rsid w:val="009379AA"/>
    <w:rsid w:val="00940936"/>
    <w:rsid w:val="009466AF"/>
    <w:rsid w:val="009467CE"/>
    <w:rsid w:val="00946CC9"/>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23D"/>
    <w:rsid w:val="009723E6"/>
    <w:rsid w:val="00973895"/>
    <w:rsid w:val="00980443"/>
    <w:rsid w:val="00981715"/>
    <w:rsid w:val="00981C3F"/>
    <w:rsid w:val="00985C75"/>
    <w:rsid w:val="00986F83"/>
    <w:rsid w:val="009876FB"/>
    <w:rsid w:val="00987B1A"/>
    <w:rsid w:val="00987F84"/>
    <w:rsid w:val="00990934"/>
    <w:rsid w:val="00993209"/>
    <w:rsid w:val="00993761"/>
    <w:rsid w:val="0099481E"/>
    <w:rsid w:val="0099496A"/>
    <w:rsid w:val="00995140"/>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C74A1"/>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4295"/>
    <w:rsid w:val="00A954F2"/>
    <w:rsid w:val="00A963B2"/>
    <w:rsid w:val="00A97E47"/>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98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214"/>
    <w:rsid w:val="00B86FCA"/>
    <w:rsid w:val="00B87EBF"/>
    <w:rsid w:val="00B90181"/>
    <w:rsid w:val="00B90F15"/>
    <w:rsid w:val="00B9157B"/>
    <w:rsid w:val="00B922C9"/>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7EE0"/>
    <w:rsid w:val="00BC0E1B"/>
    <w:rsid w:val="00BC139C"/>
    <w:rsid w:val="00BC169C"/>
    <w:rsid w:val="00BC2D90"/>
    <w:rsid w:val="00BC32E2"/>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3583"/>
    <w:rsid w:val="00C749AD"/>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4F54"/>
    <w:rsid w:val="00CB5565"/>
    <w:rsid w:val="00CB5788"/>
    <w:rsid w:val="00CC1218"/>
    <w:rsid w:val="00CC2E50"/>
    <w:rsid w:val="00CC3403"/>
    <w:rsid w:val="00CC4C8F"/>
    <w:rsid w:val="00CC4DD7"/>
    <w:rsid w:val="00CC7FFC"/>
    <w:rsid w:val="00CD001B"/>
    <w:rsid w:val="00CD21AC"/>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1F5"/>
    <w:rsid w:val="00D47FFC"/>
    <w:rsid w:val="00D52549"/>
    <w:rsid w:val="00D54C12"/>
    <w:rsid w:val="00D556B8"/>
    <w:rsid w:val="00D57055"/>
    <w:rsid w:val="00D611F2"/>
    <w:rsid w:val="00D61326"/>
    <w:rsid w:val="00D6136D"/>
    <w:rsid w:val="00D620EA"/>
    <w:rsid w:val="00D623AA"/>
    <w:rsid w:val="00D6240B"/>
    <w:rsid w:val="00D64414"/>
    <w:rsid w:val="00D64DB1"/>
    <w:rsid w:val="00D65F27"/>
    <w:rsid w:val="00D667F8"/>
    <w:rsid w:val="00D6777E"/>
    <w:rsid w:val="00D67B2B"/>
    <w:rsid w:val="00D71BCE"/>
    <w:rsid w:val="00D7221B"/>
    <w:rsid w:val="00D72B1E"/>
    <w:rsid w:val="00D75169"/>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3052"/>
    <w:rsid w:val="00DF4378"/>
    <w:rsid w:val="00DF5267"/>
    <w:rsid w:val="00DF52AD"/>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190D"/>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5C26"/>
    <w:rsid w:val="00EE703F"/>
    <w:rsid w:val="00EE7909"/>
    <w:rsid w:val="00EF0B5E"/>
    <w:rsid w:val="00EF0C3E"/>
    <w:rsid w:val="00EF0E1E"/>
    <w:rsid w:val="00EF1443"/>
    <w:rsid w:val="00EF163E"/>
    <w:rsid w:val="00EF1F53"/>
    <w:rsid w:val="00EF29AE"/>
    <w:rsid w:val="00EF2E98"/>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2284"/>
    <w:rsid w:val="00F3373F"/>
    <w:rsid w:val="00F33C4B"/>
    <w:rsid w:val="00F34575"/>
    <w:rsid w:val="00F35C93"/>
    <w:rsid w:val="00F41C55"/>
    <w:rsid w:val="00F45725"/>
    <w:rsid w:val="00F471B7"/>
    <w:rsid w:val="00F47B4C"/>
    <w:rsid w:val="00F50C15"/>
    <w:rsid w:val="00F51481"/>
    <w:rsid w:val="00F52776"/>
    <w:rsid w:val="00F53505"/>
    <w:rsid w:val="00F538B6"/>
    <w:rsid w:val="00F54063"/>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0B84"/>
    <w:rsid w:val="00F81064"/>
    <w:rsid w:val="00F81275"/>
    <w:rsid w:val="00F81938"/>
    <w:rsid w:val="00F82499"/>
    <w:rsid w:val="00F85FE9"/>
    <w:rsid w:val="00F861B3"/>
    <w:rsid w:val="00F86323"/>
    <w:rsid w:val="00F86497"/>
    <w:rsid w:val="00F86771"/>
    <w:rsid w:val="00F8766D"/>
    <w:rsid w:val="00F9384F"/>
    <w:rsid w:val="00F9538A"/>
    <w:rsid w:val="00FA007E"/>
    <w:rsid w:val="00FA16E9"/>
    <w:rsid w:val="00FA1D75"/>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D77C5"/>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BEE627D"/>
    <w:rsid w:val="0C22310F"/>
    <w:rsid w:val="0C6E92F1"/>
    <w:rsid w:val="0EAF4C24"/>
    <w:rsid w:val="0EE26D46"/>
    <w:rsid w:val="0FF6CED1"/>
    <w:rsid w:val="10F7283A"/>
    <w:rsid w:val="11301FEB"/>
    <w:rsid w:val="133A0DAC"/>
    <w:rsid w:val="135F2823"/>
    <w:rsid w:val="13616CEC"/>
    <w:rsid w:val="13F55C52"/>
    <w:rsid w:val="147C76DE"/>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6D1C8F"/>
    <w:rsid w:val="1F7FBC6F"/>
    <w:rsid w:val="1FE50094"/>
    <w:rsid w:val="1FF9375E"/>
    <w:rsid w:val="20183D93"/>
    <w:rsid w:val="21421AFA"/>
    <w:rsid w:val="21A16792"/>
    <w:rsid w:val="23FB15D4"/>
    <w:rsid w:val="244B4DA1"/>
    <w:rsid w:val="24C65EEA"/>
    <w:rsid w:val="26301CEE"/>
    <w:rsid w:val="26BC1CAF"/>
    <w:rsid w:val="26DA6EA5"/>
    <w:rsid w:val="26EF91EC"/>
    <w:rsid w:val="2745026D"/>
    <w:rsid w:val="2779E153"/>
    <w:rsid w:val="2959155B"/>
    <w:rsid w:val="29FA689B"/>
    <w:rsid w:val="2B1F1209"/>
    <w:rsid w:val="2B8DDD98"/>
    <w:rsid w:val="2D33B1E8"/>
    <w:rsid w:val="2D97463C"/>
    <w:rsid w:val="2DFD1475"/>
    <w:rsid w:val="2DFEC428"/>
    <w:rsid w:val="2EF9B7ED"/>
    <w:rsid w:val="2F56D65B"/>
    <w:rsid w:val="2F725A7B"/>
    <w:rsid w:val="2F877C77"/>
    <w:rsid w:val="2FDDF035"/>
    <w:rsid w:val="2FDFB3A5"/>
    <w:rsid w:val="2FF7A326"/>
    <w:rsid w:val="2FFB3A20"/>
    <w:rsid w:val="2FFD6113"/>
    <w:rsid w:val="30CF0FE3"/>
    <w:rsid w:val="30DD6E47"/>
    <w:rsid w:val="30FBABB5"/>
    <w:rsid w:val="31375315"/>
    <w:rsid w:val="31994052"/>
    <w:rsid w:val="33281446"/>
    <w:rsid w:val="33FB0C34"/>
    <w:rsid w:val="34BE031C"/>
    <w:rsid w:val="351EBD5D"/>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7099D"/>
    <w:rsid w:val="3DEE0A1D"/>
    <w:rsid w:val="3DFB6987"/>
    <w:rsid w:val="3DFDBAD2"/>
    <w:rsid w:val="3E3F5B7B"/>
    <w:rsid w:val="3E6FD8A0"/>
    <w:rsid w:val="3E7A18F7"/>
    <w:rsid w:val="3EDD0232"/>
    <w:rsid w:val="3EEF5FB8"/>
    <w:rsid w:val="3EFE994B"/>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806288E"/>
    <w:rsid w:val="4BD01E18"/>
    <w:rsid w:val="4BDADF8A"/>
    <w:rsid w:val="4BF74B95"/>
    <w:rsid w:val="4CE24B3C"/>
    <w:rsid w:val="4CFF8237"/>
    <w:rsid w:val="4D99DB3C"/>
    <w:rsid w:val="4DF165A6"/>
    <w:rsid w:val="4E1C2E88"/>
    <w:rsid w:val="4EE59F15"/>
    <w:rsid w:val="4FAD6417"/>
    <w:rsid w:val="4FF78CBB"/>
    <w:rsid w:val="505E60B7"/>
    <w:rsid w:val="51BC120D"/>
    <w:rsid w:val="51BE26C1"/>
    <w:rsid w:val="524D13AE"/>
    <w:rsid w:val="537D8752"/>
    <w:rsid w:val="53B7001C"/>
    <w:rsid w:val="53DFC845"/>
    <w:rsid w:val="53FD4ACD"/>
    <w:rsid w:val="54A53877"/>
    <w:rsid w:val="55A70F3D"/>
    <w:rsid w:val="55F9E67A"/>
    <w:rsid w:val="55FFA57B"/>
    <w:rsid w:val="56A840A5"/>
    <w:rsid w:val="56ABAA05"/>
    <w:rsid w:val="56C62C63"/>
    <w:rsid w:val="56DD16C2"/>
    <w:rsid w:val="56DF9A0B"/>
    <w:rsid w:val="577D1B87"/>
    <w:rsid w:val="578F2069"/>
    <w:rsid w:val="57F3C4A5"/>
    <w:rsid w:val="57F75FBF"/>
    <w:rsid w:val="587F1DD8"/>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72EFD"/>
    <w:rsid w:val="5FFFDEDC"/>
    <w:rsid w:val="6337B43C"/>
    <w:rsid w:val="63782044"/>
    <w:rsid w:val="65717BF6"/>
    <w:rsid w:val="657F3995"/>
    <w:rsid w:val="65ECCD0E"/>
    <w:rsid w:val="66E458D7"/>
    <w:rsid w:val="66FD15FC"/>
    <w:rsid w:val="66FF8E92"/>
    <w:rsid w:val="67346D61"/>
    <w:rsid w:val="675D69F3"/>
    <w:rsid w:val="67FE7F8E"/>
    <w:rsid w:val="69F7E600"/>
    <w:rsid w:val="69FB1D53"/>
    <w:rsid w:val="6A7FD9ED"/>
    <w:rsid w:val="6A947FA1"/>
    <w:rsid w:val="6A9EEA8F"/>
    <w:rsid w:val="6ABD09FB"/>
    <w:rsid w:val="6B1B99AC"/>
    <w:rsid w:val="6B2807B2"/>
    <w:rsid w:val="6B36450B"/>
    <w:rsid w:val="6B57A206"/>
    <w:rsid w:val="6B5D02D5"/>
    <w:rsid w:val="6B7EC62B"/>
    <w:rsid w:val="6BDD281C"/>
    <w:rsid w:val="6BE65782"/>
    <w:rsid w:val="6CBE9699"/>
    <w:rsid w:val="6CC926BE"/>
    <w:rsid w:val="6CFC3181"/>
    <w:rsid w:val="6CFF613F"/>
    <w:rsid w:val="6CFF8CA8"/>
    <w:rsid w:val="6DB5793B"/>
    <w:rsid w:val="6DE5D576"/>
    <w:rsid w:val="6DF6A654"/>
    <w:rsid w:val="6E697787"/>
    <w:rsid w:val="6E7F44DA"/>
    <w:rsid w:val="6EB78C65"/>
    <w:rsid w:val="6ECFE0B7"/>
    <w:rsid w:val="6EE88F9C"/>
    <w:rsid w:val="6EFF9D0F"/>
    <w:rsid w:val="6F5EAEE0"/>
    <w:rsid w:val="6F5F144D"/>
    <w:rsid w:val="6F6009BF"/>
    <w:rsid w:val="6F7C19B5"/>
    <w:rsid w:val="6F7DD6C2"/>
    <w:rsid w:val="6F9F1E3C"/>
    <w:rsid w:val="6FB75D2C"/>
    <w:rsid w:val="6FBC0533"/>
    <w:rsid w:val="6FBD9004"/>
    <w:rsid w:val="6FC56818"/>
    <w:rsid w:val="6FDC76AD"/>
    <w:rsid w:val="6FDE21ED"/>
    <w:rsid w:val="6FE749FE"/>
    <w:rsid w:val="6FF0747B"/>
    <w:rsid w:val="6FF24667"/>
    <w:rsid w:val="6FF54553"/>
    <w:rsid w:val="6FF77A40"/>
    <w:rsid w:val="6FF79170"/>
    <w:rsid w:val="6FF8E085"/>
    <w:rsid w:val="6FFBE8C1"/>
    <w:rsid w:val="6FFD9CF8"/>
    <w:rsid w:val="6FFE20EF"/>
    <w:rsid w:val="6FFEBC7E"/>
    <w:rsid w:val="6FFF7138"/>
    <w:rsid w:val="70BD5D1C"/>
    <w:rsid w:val="70C11085"/>
    <w:rsid w:val="729F4188"/>
    <w:rsid w:val="72C842CA"/>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C73327"/>
    <w:rsid w:val="75DC4207"/>
    <w:rsid w:val="7601057E"/>
    <w:rsid w:val="7656599D"/>
    <w:rsid w:val="76BF03E4"/>
    <w:rsid w:val="76BF7888"/>
    <w:rsid w:val="76ED4AF2"/>
    <w:rsid w:val="76F74449"/>
    <w:rsid w:val="76F75B98"/>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C6FBB"/>
    <w:rsid w:val="77FF208E"/>
    <w:rsid w:val="77FF7AB2"/>
    <w:rsid w:val="77FF7C05"/>
    <w:rsid w:val="78592201"/>
    <w:rsid w:val="78D5F6C2"/>
    <w:rsid w:val="78EF6F9F"/>
    <w:rsid w:val="7967F815"/>
    <w:rsid w:val="79BCCBD4"/>
    <w:rsid w:val="79D1E2B1"/>
    <w:rsid w:val="79DF2AF5"/>
    <w:rsid w:val="79DF9BD7"/>
    <w:rsid w:val="79E78D6D"/>
    <w:rsid w:val="79ED520A"/>
    <w:rsid w:val="79F16E2D"/>
    <w:rsid w:val="79FF1060"/>
    <w:rsid w:val="7A7D1A9D"/>
    <w:rsid w:val="7A8F8779"/>
    <w:rsid w:val="7ABE7CD4"/>
    <w:rsid w:val="7AED367B"/>
    <w:rsid w:val="7AFF4294"/>
    <w:rsid w:val="7B0F9F57"/>
    <w:rsid w:val="7B3785C1"/>
    <w:rsid w:val="7B671B12"/>
    <w:rsid w:val="7B6B6FF4"/>
    <w:rsid w:val="7B6FC6C0"/>
    <w:rsid w:val="7B736ADE"/>
    <w:rsid w:val="7B7FB4AA"/>
    <w:rsid w:val="7BBE7F66"/>
    <w:rsid w:val="7BDC2F39"/>
    <w:rsid w:val="7BE64C9A"/>
    <w:rsid w:val="7BE75E65"/>
    <w:rsid w:val="7BF2091A"/>
    <w:rsid w:val="7BF77BCB"/>
    <w:rsid w:val="7BFE6769"/>
    <w:rsid w:val="7BFEB9B5"/>
    <w:rsid w:val="7C3F3419"/>
    <w:rsid w:val="7CE78345"/>
    <w:rsid w:val="7CF50D7F"/>
    <w:rsid w:val="7CF75055"/>
    <w:rsid w:val="7CF8AB74"/>
    <w:rsid w:val="7CFA4053"/>
    <w:rsid w:val="7CFA75A3"/>
    <w:rsid w:val="7D7C5ADD"/>
    <w:rsid w:val="7DB7C8A3"/>
    <w:rsid w:val="7DBF7095"/>
    <w:rsid w:val="7DE7F654"/>
    <w:rsid w:val="7DEF4974"/>
    <w:rsid w:val="7DFB138F"/>
    <w:rsid w:val="7DFF73A7"/>
    <w:rsid w:val="7DFF7F2B"/>
    <w:rsid w:val="7DFF7F8D"/>
    <w:rsid w:val="7E4F4E21"/>
    <w:rsid w:val="7E5D8981"/>
    <w:rsid w:val="7E6F4217"/>
    <w:rsid w:val="7E765CE2"/>
    <w:rsid w:val="7E7A4825"/>
    <w:rsid w:val="7E7F61C3"/>
    <w:rsid w:val="7E9D7B64"/>
    <w:rsid w:val="7EB3E516"/>
    <w:rsid w:val="7EDC33BA"/>
    <w:rsid w:val="7EE74F57"/>
    <w:rsid w:val="7EEF6697"/>
    <w:rsid w:val="7EEFAA08"/>
    <w:rsid w:val="7EF5B79A"/>
    <w:rsid w:val="7EF7734B"/>
    <w:rsid w:val="7EFB7953"/>
    <w:rsid w:val="7EFFC94E"/>
    <w:rsid w:val="7F17DDED"/>
    <w:rsid w:val="7F32D5E0"/>
    <w:rsid w:val="7F3ADD52"/>
    <w:rsid w:val="7F3D697A"/>
    <w:rsid w:val="7F3FB967"/>
    <w:rsid w:val="7F5E164A"/>
    <w:rsid w:val="7F6E0C1D"/>
    <w:rsid w:val="7F779526"/>
    <w:rsid w:val="7F7AE2C9"/>
    <w:rsid w:val="7F7B2E40"/>
    <w:rsid w:val="7F7F515E"/>
    <w:rsid w:val="7F96D6A2"/>
    <w:rsid w:val="7FAB0F2C"/>
    <w:rsid w:val="7FB459B8"/>
    <w:rsid w:val="7FB7226D"/>
    <w:rsid w:val="7FB7849D"/>
    <w:rsid w:val="7FBD1834"/>
    <w:rsid w:val="7FBD44FD"/>
    <w:rsid w:val="7FBE5EA0"/>
    <w:rsid w:val="7FBEEDCA"/>
    <w:rsid w:val="7FBFCC17"/>
    <w:rsid w:val="7FC76394"/>
    <w:rsid w:val="7FD3EF66"/>
    <w:rsid w:val="7FDD27AD"/>
    <w:rsid w:val="7FDDB3FE"/>
    <w:rsid w:val="7FDEA610"/>
    <w:rsid w:val="7FDEF215"/>
    <w:rsid w:val="7FDEF4EF"/>
    <w:rsid w:val="7FDF665D"/>
    <w:rsid w:val="7FDF83C2"/>
    <w:rsid w:val="7FEF60E7"/>
    <w:rsid w:val="7FEF79E7"/>
    <w:rsid w:val="7FF269E9"/>
    <w:rsid w:val="7FF3219D"/>
    <w:rsid w:val="7FF3CEC6"/>
    <w:rsid w:val="7FF3F66D"/>
    <w:rsid w:val="7FF83C28"/>
    <w:rsid w:val="7FFAC2E9"/>
    <w:rsid w:val="7FFB14A0"/>
    <w:rsid w:val="7FFDB898"/>
    <w:rsid w:val="7FFE29B8"/>
    <w:rsid w:val="7FFF186F"/>
    <w:rsid w:val="7FFF1C0C"/>
    <w:rsid w:val="7FFFB338"/>
    <w:rsid w:val="7FFFBB1D"/>
    <w:rsid w:val="7FFFE6D7"/>
    <w:rsid w:val="81932E73"/>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7F77073"/>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70DF2"/>
    <w:rsid w:val="B6FE840E"/>
    <w:rsid w:val="B73C0AE6"/>
    <w:rsid w:val="B78F1CC0"/>
    <w:rsid w:val="B7BB491B"/>
    <w:rsid w:val="B7D99DD7"/>
    <w:rsid w:val="B7ED0039"/>
    <w:rsid w:val="B7FF96A7"/>
    <w:rsid w:val="B7FFA3B0"/>
    <w:rsid w:val="B8FF4147"/>
    <w:rsid w:val="B9AFEE40"/>
    <w:rsid w:val="BA5F8695"/>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B6C8C"/>
    <w:rsid w:val="D7FF27D0"/>
    <w:rsid w:val="D7FF83FB"/>
    <w:rsid w:val="DAAEA02F"/>
    <w:rsid w:val="DBBE86FF"/>
    <w:rsid w:val="DBCA7954"/>
    <w:rsid w:val="DBE548E1"/>
    <w:rsid w:val="DBEF7CB3"/>
    <w:rsid w:val="DBFCA6DC"/>
    <w:rsid w:val="DBFFEEFA"/>
    <w:rsid w:val="DCDF6744"/>
    <w:rsid w:val="DCF708F0"/>
    <w:rsid w:val="DD6C1E99"/>
    <w:rsid w:val="DD7B1BD2"/>
    <w:rsid w:val="DDBBA878"/>
    <w:rsid w:val="DDBFEEF7"/>
    <w:rsid w:val="DDDBBDBD"/>
    <w:rsid w:val="DDFD1023"/>
    <w:rsid w:val="DE8FCDAB"/>
    <w:rsid w:val="DEFC556A"/>
    <w:rsid w:val="DF2F86B7"/>
    <w:rsid w:val="DF5FC339"/>
    <w:rsid w:val="DF67729D"/>
    <w:rsid w:val="DF737967"/>
    <w:rsid w:val="DF7D08B4"/>
    <w:rsid w:val="DF7FF236"/>
    <w:rsid w:val="DF969984"/>
    <w:rsid w:val="DFB5A797"/>
    <w:rsid w:val="DFB7D87C"/>
    <w:rsid w:val="DFB81CE4"/>
    <w:rsid w:val="DFBFF6EF"/>
    <w:rsid w:val="DFD701CE"/>
    <w:rsid w:val="DFE6279C"/>
    <w:rsid w:val="DFEEC173"/>
    <w:rsid w:val="DFEFD255"/>
    <w:rsid w:val="DFF43995"/>
    <w:rsid w:val="DFF5438F"/>
    <w:rsid w:val="DFF93DCE"/>
    <w:rsid w:val="DFFA63ED"/>
    <w:rsid w:val="DFFEF283"/>
    <w:rsid w:val="DFFFE479"/>
    <w:rsid w:val="E53FB0B6"/>
    <w:rsid w:val="E56F62C2"/>
    <w:rsid w:val="E579B2D8"/>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CF74128"/>
    <w:rsid w:val="ED9BC40B"/>
    <w:rsid w:val="EE3B6C4F"/>
    <w:rsid w:val="EE7F4E17"/>
    <w:rsid w:val="EE7FC417"/>
    <w:rsid w:val="EEE392E0"/>
    <w:rsid w:val="EEEFAD1B"/>
    <w:rsid w:val="EEEFB065"/>
    <w:rsid w:val="EF2DF569"/>
    <w:rsid w:val="EF3EA157"/>
    <w:rsid w:val="EF59D46F"/>
    <w:rsid w:val="EF6BDF4B"/>
    <w:rsid w:val="EF7F0E39"/>
    <w:rsid w:val="EF9DF380"/>
    <w:rsid w:val="EFDA8091"/>
    <w:rsid w:val="EFDB3FF5"/>
    <w:rsid w:val="EFEBF8B0"/>
    <w:rsid w:val="EFEFAFA9"/>
    <w:rsid w:val="EFF3F037"/>
    <w:rsid w:val="EFFA3B00"/>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786270"/>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39B03"/>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2519"/>
    <w:rsid w:val="FDFF568B"/>
    <w:rsid w:val="FE1F8C4B"/>
    <w:rsid w:val="FE5FDC8E"/>
    <w:rsid w:val="FE67E002"/>
    <w:rsid w:val="FE7B648B"/>
    <w:rsid w:val="FE7D74DF"/>
    <w:rsid w:val="FE9B836E"/>
    <w:rsid w:val="FEB5C7F1"/>
    <w:rsid w:val="FEB60870"/>
    <w:rsid w:val="FEB78A97"/>
    <w:rsid w:val="FEBCDB7F"/>
    <w:rsid w:val="FEBF3DED"/>
    <w:rsid w:val="FED7459F"/>
    <w:rsid w:val="FEDB14A7"/>
    <w:rsid w:val="FEDF7BCC"/>
    <w:rsid w:val="FEEF7C87"/>
    <w:rsid w:val="FEEFA66A"/>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90D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1"/>
    <w:pPr>
      <w:ind w:firstLine="200"/>
    </w:pPr>
  </w:style>
  <w:style w:type="paragraph" w:styleId="4">
    <w:name w:val="Plain Text"/>
    <w:basedOn w:val="1"/>
    <w:link w:val="17"/>
    <w:unhideWhenUsed/>
    <w:qFormat/>
    <w:uiPriority w:val="0"/>
    <w:rPr>
      <w:rFonts w:ascii="等线" w:hAnsi="Courier New" w:eastAsia="等线" w:cs="Courier New"/>
      <w:szCs w:val="22"/>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21"/>
    <w:qFormat/>
    <w:uiPriority w:val="0"/>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Hyperlink"/>
    <w:qFormat/>
    <w:uiPriority w:val="0"/>
    <w:rPr>
      <w:color w:val="0563C1"/>
      <w:u w:val="single"/>
    </w:rPr>
  </w:style>
  <w:style w:type="character" w:styleId="15">
    <w:name w:val="annotation reference"/>
    <w:qFormat/>
    <w:uiPriority w:val="0"/>
    <w:rPr>
      <w:sz w:val="21"/>
      <w:szCs w:val="21"/>
    </w:rPr>
  </w:style>
  <w:style w:type="character" w:customStyle="1" w:styleId="16">
    <w:name w:val="批注文字 字符"/>
    <w:link w:val="2"/>
    <w:qFormat/>
    <w:uiPriority w:val="0"/>
    <w:rPr>
      <w:rFonts w:ascii="Calibri" w:hAnsi="Calibri"/>
      <w:kern w:val="2"/>
      <w:sz w:val="21"/>
      <w:szCs w:val="24"/>
    </w:rPr>
  </w:style>
  <w:style w:type="character" w:customStyle="1" w:styleId="17">
    <w:name w:val="纯文本 字符"/>
    <w:link w:val="4"/>
    <w:qFormat/>
    <w:uiPriority w:val="0"/>
    <w:rPr>
      <w:rFonts w:ascii="等线" w:hAnsi="Courier New" w:eastAsia="等线" w:cs="Courier New"/>
      <w:kern w:val="2"/>
      <w:sz w:val="21"/>
      <w:szCs w:val="22"/>
    </w:rPr>
  </w:style>
  <w:style w:type="character" w:customStyle="1" w:styleId="18">
    <w:name w:val="页脚 字符"/>
    <w:link w:val="5"/>
    <w:qFormat/>
    <w:uiPriority w:val="0"/>
    <w:rPr>
      <w:rFonts w:ascii="Calibri" w:hAnsi="Calibri"/>
      <w:kern w:val="2"/>
      <w:sz w:val="18"/>
      <w:szCs w:val="18"/>
    </w:rPr>
  </w:style>
  <w:style w:type="character" w:customStyle="1" w:styleId="19">
    <w:name w:val="页眉 字符"/>
    <w:link w:val="6"/>
    <w:qFormat/>
    <w:uiPriority w:val="0"/>
    <w:rPr>
      <w:rFonts w:ascii="Calibri" w:hAnsi="Calibri"/>
      <w:kern w:val="2"/>
      <w:sz w:val="18"/>
      <w:szCs w:val="18"/>
    </w:rPr>
  </w:style>
  <w:style w:type="character" w:customStyle="1" w:styleId="20">
    <w:name w:val="HTML 预设格式 字符"/>
    <w:link w:val="7"/>
    <w:qFormat/>
    <w:uiPriority w:val="99"/>
    <w:rPr>
      <w:rFonts w:ascii="宋体" w:hAnsi="宋体" w:cs="宋体"/>
      <w:sz w:val="24"/>
      <w:szCs w:val="24"/>
    </w:rPr>
  </w:style>
  <w:style w:type="character" w:customStyle="1" w:styleId="21">
    <w:name w:val="批注主题 字符"/>
    <w:link w:val="9"/>
    <w:qFormat/>
    <w:uiPriority w:val="0"/>
    <w:rPr>
      <w:rFonts w:ascii="Calibri" w:hAnsi="Calibri"/>
      <w:b/>
      <w:bCs/>
      <w:kern w:val="2"/>
      <w:sz w:val="21"/>
      <w:szCs w:val="24"/>
    </w:rPr>
  </w:style>
  <w:style w:type="paragraph" w:customStyle="1" w:styleId="22">
    <w:name w:val="修订1"/>
    <w:unhideWhenUsed/>
    <w:qFormat/>
    <w:uiPriority w:val="99"/>
    <w:rPr>
      <w:rFonts w:ascii="Calibri" w:hAnsi="Calibri" w:eastAsia="宋体" w:cs="Times New Roman"/>
      <w:kern w:val="2"/>
      <w:sz w:val="21"/>
      <w:szCs w:val="24"/>
      <w:lang w:val="en-US" w:eastAsia="zh-CN" w:bidi="ar-SA"/>
    </w:rPr>
  </w:style>
  <w:style w:type="paragraph" w:styleId="23">
    <w:name w:val="List Paragraph"/>
    <w:basedOn w:val="1"/>
    <w:qFormat/>
    <w:uiPriority w:val="99"/>
    <w:pPr>
      <w:ind w:firstLine="420" w:firstLineChars="200"/>
    </w:pPr>
    <w:rPr>
      <w:rFonts w:ascii="等线" w:hAnsi="等线" w:eastAsia="等线"/>
      <w:szCs w:val="22"/>
    </w:rPr>
  </w:style>
  <w:style w:type="character" w:customStyle="1" w:styleId="24">
    <w:name w:val="fontstyle01"/>
    <w:qFormat/>
    <w:uiPriority w:val="0"/>
    <w:rPr>
      <w:rFonts w:hint="default" w:ascii="CIDFont+F10" w:hAnsi="CIDFont+F10"/>
      <w:color w:val="000000"/>
      <w:sz w:val="32"/>
      <w:szCs w:val="32"/>
    </w:rPr>
  </w:style>
  <w:style w:type="character" w:customStyle="1" w:styleId="25">
    <w:name w:val="未处理的提及1"/>
    <w:unhideWhenUsed/>
    <w:qFormat/>
    <w:uiPriority w:val="99"/>
    <w:rPr>
      <w:color w:val="605E5C"/>
      <w:shd w:val="clear" w:color="auto" w:fill="E1DFDD"/>
    </w:rPr>
  </w:style>
  <w:style w:type="paragraph" w:customStyle="1" w:styleId="26">
    <w:name w:val="修订2"/>
    <w:hidden/>
    <w:unhideWhenUsed/>
    <w:qFormat/>
    <w:uiPriority w:val="99"/>
    <w:rPr>
      <w:rFonts w:ascii="Calibri" w:hAnsi="Calibri" w:eastAsia="宋体" w:cs="Times New Roman"/>
      <w:kern w:val="2"/>
      <w:sz w:val="21"/>
      <w:szCs w:val="24"/>
      <w:lang w:val="en-US" w:eastAsia="zh-CN" w:bidi="ar-SA"/>
    </w:rPr>
  </w:style>
  <w:style w:type="paragraph" w:customStyle="1" w:styleId="27">
    <w:name w:val="修订3"/>
    <w:hidden/>
    <w:unhideWhenUsed/>
    <w:qFormat/>
    <w:uiPriority w:val="99"/>
    <w:rPr>
      <w:rFonts w:ascii="Calibri" w:hAnsi="Calibri" w:eastAsia="宋体" w:cs="Times New Roman"/>
      <w:kern w:val="2"/>
      <w:sz w:val="21"/>
      <w:szCs w:val="24"/>
      <w:lang w:val="en-US" w:eastAsia="zh-CN" w:bidi="ar-SA"/>
    </w:rPr>
  </w:style>
  <w:style w:type="paragraph" w:customStyle="1" w:styleId="28">
    <w:name w:val="修订4"/>
    <w:hidden/>
    <w:unhideWhenUsed/>
    <w:qFormat/>
    <w:uiPriority w:val="99"/>
    <w:rPr>
      <w:rFonts w:ascii="Calibri" w:hAnsi="Calibri" w:eastAsia="宋体" w:cs="Times New Roman"/>
      <w:kern w:val="2"/>
      <w:sz w:val="21"/>
      <w:szCs w:val="24"/>
      <w:lang w:val="en-US" w:eastAsia="zh-CN" w:bidi="ar-SA"/>
    </w:rPr>
  </w:style>
  <w:style w:type="paragraph" w:customStyle="1" w:styleId="29">
    <w:name w:val="修订5"/>
    <w:hidden/>
    <w:unhideWhenUsed/>
    <w:qFormat/>
    <w:uiPriority w:val="99"/>
    <w:rPr>
      <w:rFonts w:ascii="Calibri" w:hAnsi="Calibri" w:eastAsia="宋体" w:cs="Times New Roman"/>
      <w:kern w:val="2"/>
      <w:sz w:val="21"/>
      <w:szCs w:val="24"/>
      <w:lang w:val="en-US" w:eastAsia="zh-CN" w:bidi="ar-SA"/>
    </w:rPr>
  </w:style>
  <w:style w:type="paragraph" w:customStyle="1" w:styleId="30">
    <w:name w:val="修订6"/>
    <w:hidden/>
    <w:unhideWhenUsed/>
    <w:qFormat/>
    <w:uiPriority w:val="99"/>
    <w:rPr>
      <w:rFonts w:ascii="Calibri" w:hAnsi="Calibri" w:eastAsia="宋体" w:cs="Times New Roman"/>
      <w:kern w:val="2"/>
      <w:sz w:val="21"/>
      <w:szCs w:val="24"/>
      <w:lang w:val="en-US" w:eastAsia="zh-CN" w:bidi="ar-SA"/>
    </w:rPr>
  </w:style>
  <w:style w:type="paragraph" w:customStyle="1" w:styleId="31">
    <w:name w:val="修订7"/>
    <w:hidden/>
    <w:unhideWhenUsed/>
    <w:qFormat/>
    <w:uiPriority w:val="99"/>
    <w:rPr>
      <w:rFonts w:ascii="Calibri" w:hAnsi="Calibri" w:eastAsia="宋体" w:cs="Times New Roman"/>
      <w:kern w:val="2"/>
      <w:sz w:val="21"/>
      <w:szCs w:val="24"/>
      <w:lang w:val="en-US" w:eastAsia="zh-CN" w:bidi="ar-SA"/>
    </w:rPr>
  </w:style>
  <w:style w:type="paragraph" w:customStyle="1" w:styleId="32">
    <w:name w:val="修订8"/>
    <w:hidden/>
    <w:unhideWhenUsed/>
    <w:qFormat/>
    <w:uiPriority w:val="99"/>
    <w:rPr>
      <w:rFonts w:ascii="Calibri" w:hAnsi="Calibri" w:eastAsia="宋体" w:cs="Times New Roman"/>
      <w:kern w:val="2"/>
      <w:sz w:val="21"/>
      <w:szCs w:val="24"/>
      <w:lang w:val="en-US" w:eastAsia="zh-CN" w:bidi="ar-SA"/>
    </w:rPr>
  </w:style>
  <w:style w:type="paragraph" w:customStyle="1" w:styleId="33">
    <w:name w:val="content_html"/>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修订9"/>
    <w:hidden/>
    <w:unhideWhenUsed/>
    <w:qFormat/>
    <w:uiPriority w:val="99"/>
    <w:rPr>
      <w:rFonts w:ascii="Calibri" w:hAnsi="Calibri" w:eastAsia="宋体" w:cs="Times New Roman"/>
      <w:kern w:val="2"/>
      <w:sz w:val="21"/>
      <w:szCs w:val="24"/>
      <w:lang w:val="en-US" w:eastAsia="zh-CN" w:bidi="ar-SA"/>
    </w:rPr>
  </w:style>
  <w:style w:type="paragraph" w:customStyle="1" w:styleId="35">
    <w:name w:val="修订10"/>
    <w:hidden/>
    <w:unhideWhenUsed/>
    <w:qFormat/>
    <w:uiPriority w:val="99"/>
    <w:rPr>
      <w:rFonts w:ascii="Calibri" w:hAnsi="Calibri" w:eastAsia="宋体" w:cs="Times New Roman"/>
      <w:kern w:val="2"/>
      <w:sz w:val="21"/>
      <w:szCs w:val="24"/>
      <w:lang w:val="en-US" w:eastAsia="zh-CN" w:bidi="ar-SA"/>
    </w:rPr>
  </w:style>
  <w:style w:type="paragraph" w:customStyle="1" w:styleId="36">
    <w:name w:val="修订11"/>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5</Pages>
  <Words>3218</Words>
  <Characters>3441</Characters>
  <Lines>27</Lines>
  <Paragraphs>7</Paragraphs>
  <TotalTime>44</TotalTime>
  <ScaleCrop>false</ScaleCrop>
  <LinksUpToDate>false</LinksUpToDate>
  <CharactersWithSpaces>3590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2025-11-14T08:52:00Z</dcterms:created>
  <dc:creator>uroica</dc:creator>
  <cp:lastModifiedBy>T14</cp:lastModifiedBy>
  <dcterms:modified xsi:type="dcterms:W3CDTF">2026-03-06T01:37:58Z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10A567A9FBAF8A128423AD68914276AE_43</vt:lpwstr>
  </property>
</Properties>
</file>