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7F93">
      <w:pPr>
        <w:keepNext/>
        <w:keepLines/>
        <w:spacing w:before="260" w:after="260" w:line="360" w:lineRule="auto"/>
        <w:outlineLvl w:val="1"/>
        <w:rPr>
          <w:rFonts w:hint="eastAsia" w:ascii="宋体" w:hAnsi="宋体"/>
          <w:b/>
          <w:bCs/>
          <w:i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iCs/>
          <w:sz w:val="24"/>
          <w:szCs w:val="24"/>
        </w:rPr>
        <w:t>证券代码：688621                                证券简称：阳光诺和</w:t>
      </w:r>
    </w:p>
    <w:p w14:paraId="193C9A26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北京阳光诺和药物研究</w:t>
      </w:r>
      <w:r>
        <w:rPr>
          <w:rFonts w:hint="eastAsia" w:ascii="宋体" w:hAnsi="宋体"/>
          <w:b/>
          <w:bCs/>
          <w:sz w:val="36"/>
          <w:szCs w:val="36"/>
        </w:rPr>
        <w:t>股份有限公司</w:t>
      </w:r>
    </w:p>
    <w:p w14:paraId="1DE76FD4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投资者关系活动记录表</w:t>
      </w:r>
    </w:p>
    <w:p w14:paraId="1D3EAABF">
      <w:pPr>
        <w:spacing w:line="360" w:lineRule="auto"/>
        <w:jc w:val="center"/>
        <w:rPr>
          <w:rFonts w:hint="eastAsia" w:ascii="宋体" w:hAnsi="宋体"/>
          <w:b/>
          <w:iCs/>
          <w:sz w:val="24"/>
          <w:szCs w:val="24"/>
        </w:rPr>
      </w:pPr>
      <w:r>
        <w:rPr>
          <w:rFonts w:hint="eastAsia" w:ascii="宋体" w:hAnsi="宋体"/>
          <w:b/>
          <w:iCs/>
          <w:sz w:val="24"/>
          <w:szCs w:val="24"/>
        </w:rPr>
        <w:t>（20</w:t>
      </w:r>
      <w:r>
        <w:rPr>
          <w:rFonts w:ascii="宋体" w:hAnsi="宋体"/>
          <w:b/>
          <w:iCs/>
          <w:sz w:val="24"/>
          <w:szCs w:val="24"/>
        </w:rPr>
        <w:t>2</w:t>
      </w:r>
      <w:r>
        <w:rPr>
          <w:rFonts w:hint="eastAsia" w:ascii="宋体" w:hAnsi="宋体"/>
          <w:b/>
          <w:i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iCs/>
          <w:sz w:val="24"/>
          <w:szCs w:val="24"/>
        </w:rPr>
        <w:t>年</w:t>
      </w:r>
      <w:r>
        <w:rPr>
          <w:rFonts w:hint="eastAsia" w:ascii="宋体" w:hAnsi="宋体"/>
          <w:b/>
          <w:i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iCs/>
          <w:sz w:val="24"/>
          <w:szCs w:val="24"/>
        </w:rPr>
        <w:t>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203"/>
      </w:tblGrid>
      <w:tr w14:paraId="2F973973">
        <w:tc>
          <w:tcPr>
            <w:tcW w:w="2093" w:type="dxa"/>
            <w:vAlign w:val="center"/>
          </w:tcPr>
          <w:p w14:paraId="199D38D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203" w:type="dxa"/>
            <w:vAlign w:val="center"/>
          </w:tcPr>
          <w:p w14:paraId="4936C92A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39B80EF3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 w14:paraId="7EBD013F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5171948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232496E4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其他（电话会议）</w:t>
            </w:r>
          </w:p>
        </w:tc>
      </w:tr>
      <w:tr w14:paraId="622A330B">
        <w:tc>
          <w:tcPr>
            <w:tcW w:w="2093" w:type="dxa"/>
            <w:vAlign w:val="center"/>
          </w:tcPr>
          <w:p w14:paraId="72B2D1E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203" w:type="dxa"/>
          </w:tcPr>
          <w:p w14:paraId="7CE61A69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国联民生证券、东吴证券、广发证券、国海证券、创金合信、博时基金、沣谊投资、富国基金、稳见投资、红筹投资、崇山投资</w:t>
            </w:r>
          </w:p>
        </w:tc>
      </w:tr>
      <w:tr w14:paraId="63BC6D09">
        <w:tc>
          <w:tcPr>
            <w:tcW w:w="2093" w:type="dxa"/>
            <w:vAlign w:val="center"/>
          </w:tcPr>
          <w:p w14:paraId="1A8094E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203" w:type="dxa"/>
          </w:tcPr>
          <w:p w14:paraId="326BC5A2">
            <w:pPr>
              <w:spacing w:line="360" w:lineRule="auto"/>
              <w:rPr>
                <w:rFonts w:hint="default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4-5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  <w:tr w14:paraId="2448A6CD">
        <w:tc>
          <w:tcPr>
            <w:tcW w:w="2093" w:type="dxa"/>
            <w:vAlign w:val="center"/>
          </w:tcPr>
          <w:p w14:paraId="3FEB7A8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203" w:type="dxa"/>
          </w:tcPr>
          <w:p w14:paraId="4C5F5090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会议</w:t>
            </w:r>
          </w:p>
        </w:tc>
      </w:tr>
      <w:tr w14:paraId="2200319B">
        <w:tc>
          <w:tcPr>
            <w:tcW w:w="2093" w:type="dxa"/>
            <w:vAlign w:val="center"/>
          </w:tcPr>
          <w:p w14:paraId="2524903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03" w:type="dxa"/>
            <w:vAlign w:val="center"/>
          </w:tcPr>
          <w:p w14:paraId="3DF08B4D">
            <w:pPr>
              <w:spacing w:line="360" w:lineRule="auto"/>
              <w:rPr>
                <w:rFonts w:hint="default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董事长：利虔先生</w:t>
            </w:r>
          </w:p>
          <w:p w14:paraId="5422822E">
            <w:pPr>
              <w:spacing w:line="360" w:lineRule="auto"/>
              <w:rPr>
                <w:rFonts w:hint="default" w:ascii="宋体" w:hAnsi="宋体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投资者关系总监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郭心驰女士</w:t>
            </w:r>
          </w:p>
        </w:tc>
      </w:tr>
      <w:tr w14:paraId="276D98E0">
        <w:tc>
          <w:tcPr>
            <w:tcW w:w="2093" w:type="dxa"/>
            <w:vAlign w:val="center"/>
          </w:tcPr>
          <w:p w14:paraId="0394FAC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03" w:type="dxa"/>
          </w:tcPr>
          <w:p w14:paraId="1DF44911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一、公司介绍环节</w:t>
            </w:r>
          </w:p>
          <w:p w14:paraId="7B9DA2E2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公司是一家专业的药物临床前及临床综合研发服务 CRO，为国内医药企业和科研机构提供全方位的一站式药物研发服务，致力于协助国内医药制造企业加速实现进口替代和自主创新。服务内容主要包括药物发现、药理药效、药学研究、临床研究和生物分析。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作为一家专注于药物创新研发的综合性企业，阳光诺和在自研创新、技术升级及全球化布局上实现多重突破，展现出从CRO“委托方”向创新驱动型“合作方”转型的强劲势能。</w:t>
            </w:r>
          </w:p>
          <w:p w14:paraId="3C74F722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公司已披露2025年度业绩</w:t>
            </w:r>
            <w:r>
              <w:rPr>
                <w:rFonts w:hint="eastAsia" w:cs="Times New Roman"/>
                <w:sz w:val="24"/>
                <w:szCs w:val="24"/>
                <w:lang w:val="en-US" w:eastAsia="zh-CN" w:bidi="ar"/>
              </w:rPr>
              <w:t>快报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，报告期内，公司实现营业收入121,781.33万元，同比增长12.92%</w:t>
            </w:r>
            <w:r>
              <w:rPr>
                <w:rFonts w:hint="eastAsia" w:cs="Times New Roman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实现归属于母公司所有者的净利润19,608.33万元，同比增长 10.53%</w:t>
            </w:r>
            <w:r>
              <w:rPr>
                <w:rFonts w:hint="eastAsia" w:cs="Times New Roman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实现归属于母公司所有者的扣除非经常性损益的净利润18,413.31万元，同比增长11.52%。</w:t>
            </w:r>
            <w:r>
              <w:rPr>
                <w:rFonts w:hint="default"/>
                <w:sz w:val="24"/>
                <w:lang w:val="en-US" w:eastAsia="zh-CN"/>
              </w:rPr>
              <w:t>在创新药研发方面在研产品主要应用在镇痛、肾病与透析、肿瘤、心脑血管、</w:t>
            </w:r>
            <w:r>
              <w:rPr>
                <w:rFonts w:hint="eastAsia"/>
                <w:sz w:val="24"/>
                <w:lang w:val="en-US" w:eastAsia="zh-CN"/>
              </w:rPr>
              <w:t>减脂保肌、自免</w:t>
            </w:r>
            <w:r>
              <w:rPr>
                <w:rFonts w:hint="default"/>
                <w:sz w:val="24"/>
                <w:lang w:val="en-US" w:eastAsia="zh-CN"/>
              </w:rPr>
              <w:t>用药等适应症领域，并有多个创新药在研项目在国内无相同产品上市，竞争格局良好，极具市场价值。后续随着这些药品上市，将为公司拓展更多临床应用场景提供可能性。</w:t>
            </w:r>
          </w:p>
          <w:p w14:paraId="5CC9A466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二、问答环节</w:t>
            </w:r>
          </w:p>
          <w:p w14:paraId="3321A73D">
            <w:pPr>
              <w:numPr>
                <w:ilvl w:val="0"/>
                <w:numId w:val="1"/>
              </w:numPr>
              <w:spacing w:before="156" w:beforeLines="50" w:line="360" w:lineRule="auto"/>
              <w:ind w:left="425" w:leftChars="0" w:firstLine="1" w:firstLineChars="0"/>
              <w:rPr>
                <w:rFonts w:hint="eastAsia" w:ascii="宋体" w:hAnsi="宋体"/>
                <w:b w:val="0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iCs/>
                <w:sz w:val="24"/>
                <w:szCs w:val="24"/>
                <w:lang w:val="en-US" w:eastAsia="zh-CN"/>
              </w:rPr>
              <w:t>公司在创新药研发上是否有平台优势，能否介绍一下公司主要的研发平台？</w:t>
            </w:r>
          </w:p>
          <w:p w14:paraId="62B00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关于公司创新药平台布局，我们已构建"AI+传统技术"双轮驱动的五大核心技术平台：</w:t>
            </w:r>
          </w:p>
          <w:p w14:paraId="2D18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1、多肽创新药平台：自主研发iCVETide®发现平台及BiMTtide® PDC平台，联合华为云盘古大模型，搭建了AI多肽制药大模型，能够缩短研发周期，节省研发成本。</w:t>
            </w:r>
          </w:p>
          <w:p w14:paraId="15EB4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2、核酸药物平台：包括siRNA和AOC平台已经实现关键技术突破，核心管线ABA001（高血压创新药）已获临床受理，有望成为国内首款自主知识产权高血压小核酸药物；同时正在布局mRNA平台。</w:t>
            </w:r>
          </w:p>
          <w:p w14:paraId="5C9A2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3、细胞治疗平台：实现体内及体外基因编辑能力，核心管线ZM001（系统性红斑狼疮）已进入I期临床，具备"一针治愈"潜力。</w:t>
            </w:r>
          </w:p>
          <w:p w14:paraId="5BA59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4、核药平台：切入核药高壁垒赛道，已有多个诊疗一体药物在研。</w:t>
            </w:r>
          </w:p>
          <w:p w14:paraId="32D73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5、新型递送体系：构建LNP及大分子聚合物等递送技术矩阵，未来将实现肾脏、肌肉、脂肪、大脑等多组织器官靶向。</w:t>
            </w:r>
          </w:p>
          <w:p w14:paraId="404DB656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此外，特殊剂型平台聚焦缓控释改良型新药及透皮给药，已布局多个慢性病领域管线。五大平台相互协同，形成从靶点发现到临床试验的全流程技术支撑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  <w:lang w:val="en-US" w:eastAsia="zh-CN"/>
              </w:rPr>
              <w:t>。</w:t>
            </w:r>
          </w:p>
          <w:p w14:paraId="1630CA43">
            <w:pPr>
              <w:numPr>
                <w:ilvl w:val="0"/>
                <w:numId w:val="1"/>
              </w:numPr>
              <w:spacing w:before="156" w:beforeLines="50" w:line="360" w:lineRule="auto"/>
              <w:ind w:left="425" w:leftChars="0" w:firstLine="1" w:firstLineChars="0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关于AI多肽制药大模型，能否详细介绍</w:t>
            </w:r>
            <w:r>
              <w:rPr>
                <w:rFonts w:hint="default"/>
                <w:b/>
                <w:sz w:val="24"/>
                <w:highlight w:val="none"/>
                <w:lang w:val="en-US" w:eastAsia="zh-CN"/>
              </w:rPr>
              <w:t>？</w:t>
            </w:r>
          </w:p>
          <w:p w14:paraId="4984D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AI制药已从早期药物发现延伸至全流程：靶点筛选环节通过海量生物数据分析精准预测潜在靶点；分子设计阶段快速生成并优化候选分子结构；分子筛选过程使用多种AI模型预测成药性指标，缩短先导分子发现周期；临床试验模拟利用大数据预测不同人群药物反应，优化试验设计。AI制药正推动CRO行业从"劳动密集型"向"技术密集型"转型，具备AI技术平台的企业将获得显著竞争优势。</w:t>
            </w:r>
          </w:p>
          <w:p w14:paraId="5ED08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公司通过与华为云深度合作，开发基于盘古大模型的AI多肽分子发现平台，在多肽PDC、小核酸等前沿领域构建技术壁垒，助力中国创新药实现从"并跑"到"领跑"的跨越。</w:t>
            </w:r>
          </w:p>
          <w:p w14:paraId="77C15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default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目前公司的AI多肽药物发现大模型已取得阶段性成果，已经有多个模块大模型投入运营，对多肽及PDC创新药管线研发效能提升助益显著。公司依托成熟的多肽制药体系，携手华为云盘古大模型，率先打造 AI 驱动的多肽药物发现平台，并已取得关键里程碑。多年来，我们深耕类肽创新药领域，自主构建 iCVETide® 技术平台，覆盖多肽及多肽偶联药物（PDC）全流程开发，掌握靶向序列、连接子类型与位点等核心环节。平台已集成 CADD 虚拟筛选、分子动力学模拟和超大化合物库对接能力，可实现多肽与靶蛋白的高精度相互作用预测。借助盘古大模型的算力与算法优势，公司进一步升级为新一代 AI 多肽分子引擎，融合自有庞大多肽/类肽数据库，搭建亲和力评价、条件生成、力场优化三大模型，实现“设计-筛选-优化”闭环智能化。AI 赋能显著缩短研发周期、降低试错成本，为公司持续输出具有全球竞争力的首创类肽候选分子提供强劲动能。</w:t>
            </w:r>
          </w:p>
          <w:p w14:paraId="4326E310">
            <w:pPr>
              <w:numPr>
                <w:ilvl w:val="0"/>
                <w:numId w:val="1"/>
              </w:numPr>
              <w:spacing w:before="156" w:beforeLines="50" w:line="360" w:lineRule="auto"/>
              <w:ind w:left="425" w:leftChars="0" w:firstLine="1" w:firstLineChars="0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default"/>
                <w:b/>
                <w:sz w:val="24"/>
                <w:highlight w:val="none"/>
                <w:lang w:val="en-US" w:eastAsia="zh-CN"/>
              </w:rPr>
              <w:t>公司在小核酸药物领域的布局进展如何，有哪些核心管线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？</w:t>
            </w:r>
          </w:p>
          <w:p w14:paraId="49C5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default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在小核酸药物开发领域，公司建立小核酸药物载药系统开发平台。该平台专注于小核酸药物的递送系统研究，致力于解决小核酸药物在体内稳定性、靶向性及生物利用度等方面的挑战。通过创新的载药系统设计，公司能够有效提高小核酸药物的递送效率和治疗效果，为小核酸药物的临床应用奠定了坚实基础。公司开发的方向有siRNA、AOC、APDC，目前有10余条在研管线。核心管线ABA001为靶向AGT的siRNA药物，适应症为高血压，已获得临床试验受理。此外，公司mRNA平台正在搭建中，除体内CAR-T应用外，蛋白替代药物已进行管线布局。</w:t>
            </w:r>
          </w:p>
        </w:tc>
      </w:tr>
      <w:tr w14:paraId="4A63DE4C">
        <w:trPr>
          <w:trHeight w:val="821" w:hRule="atLeast"/>
        </w:trPr>
        <w:tc>
          <w:tcPr>
            <w:tcW w:w="2093" w:type="dxa"/>
            <w:vAlign w:val="center"/>
          </w:tcPr>
          <w:p w14:paraId="49E359F1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03" w:type="dxa"/>
          </w:tcPr>
          <w:p w14:paraId="41A5291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无</w:t>
            </w:r>
          </w:p>
        </w:tc>
      </w:tr>
      <w:tr w14:paraId="5D6C77D5">
        <w:tc>
          <w:tcPr>
            <w:tcW w:w="2093" w:type="dxa"/>
            <w:vAlign w:val="center"/>
          </w:tcPr>
          <w:p w14:paraId="717A6FD2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03" w:type="dxa"/>
          </w:tcPr>
          <w:p w14:paraId="1087953D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3B62B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3353"/>
    <w:multiLevelType w:val="singleLevel"/>
    <w:tmpl w:val="FFFD335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firstLine="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245BEB"/>
    <w:rsid w:val="0BCFBD97"/>
    <w:rsid w:val="13132E6E"/>
    <w:rsid w:val="16DECD7E"/>
    <w:rsid w:val="24F41ECD"/>
    <w:rsid w:val="24FF6B67"/>
    <w:rsid w:val="5ADF7FF3"/>
    <w:rsid w:val="5C2F0412"/>
    <w:rsid w:val="5F8E4261"/>
    <w:rsid w:val="745A752B"/>
    <w:rsid w:val="7BE7E883"/>
    <w:rsid w:val="7BF5BCA2"/>
    <w:rsid w:val="7DEEB279"/>
    <w:rsid w:val="7EFE23B0"/>
    <w:rsid w:val="9AFF4ADF"/>
    <w:rsid w:val="AB8F5DCA"/>
    <w:rsid w:val="CB6796A3"/>
    <w:rsid w:val="D9EBD737"/>
    <w:rsid w:val="DFEDA011"/>
    <w:rsid w:val="E39E61A1"/>
    <w:rsid w:val="F6FF6463"/>
    <w:rsid w:val="FD4F9004"/>
    <w:rsid w:val="FDBD0DDB"/>
    <w:rsid w:val="FFAEF52F"/>
    <w:rsid w:val="FFBD9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annotation subject"/>
    <w:basedOn w:val="2"/>
    <w:next w:val="2"/>
    <w:link w:val="11"/>
    <w:qFormat/>
    <w:uiPriority w:val="0"/>
    <w:rPr>
      <w:b/>
      <w:bCs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customStyle="1" w:styleId="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批注文字 字符"/>
    <w:basedOn w:val="6"/>
    <w:link w:val="2"/>
    <w:qFormat/>
    <w:uiPriority w:val="0"/>
    <w:rPr>
      <w:kern w:val="2"/>
      <w:sz w:val="21"/>
    </w:rPr>
  </w:style>
  <w:style w:type="character" w:customStyle="1" w:styleId="11">
    <w:name w:val="批注主题 字符"/>
    <w:basedOn w:val="10"/>
    <w:link w:val="4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4059</Words>
  <Characters>4266</Characters>
  <Lines>18</Lines>
  <Paragraphs>5</Paragraphs>
  <TotalTime>12</TotalTime>
  <ScaleCrop>false</ScaleCrop>
  <LinksUpToDate>false</LinksUpToDate>
  <CharactersWithSpaces>4330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2024-10-01T22:32:00Z</dcterms:created>
  <dc:creator>杨贵娇</dc:creator>
  <cp:lastModifiedBy>Anne马也</cp:lastModifiedBy>
  <dcterms:modified xsi:type="dcterms:W3CDTF">2026-03-06T15:08:31Z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F7EC834C60321D0A6F7DAA69D0ED4B6E_43</vt:lpwstr>
  </property>
  <property fmtid="{D5CDD505-2E9C-101B-9397-08002B2CF9AE}" pid="4" name="KSOTemplateDocerSaveRecord">
    <vt:lpwstr>eyJoZGlkIjoiZTM2MTRlOTE5NzU3Y2FhZmJjMTA4ODAwNjMyZWVhZDciLCJ1c2VySWQiOiIzOTQyNDEyNzQifQ==</vt:lpwstr>
  </property>
</Properties>
</file>