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DB7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黑龙江天有为电子股份有限公司</w:t>
      </w:r>
    </w:p>
    <w:p w14:paraId="00FBE4A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9677F1B">
      <w:pPr>
        <w:ind w:firstLine="241" w:firstLineChars="100"/>
        <w:rPr>
          <w:rFonts w:hint="eastAsia" w:eastAsia="宋体"/>
          <w:b/>
          <w:bCs/>
          <w:szCs w:val="24"/>
          <w:lang w:eastAsia="zh-CN"/>
        </w:rPr>
      </w:pPr>
      <w:r>
        <w:rPr>
          <w:rFonts w:hint="eastAsia"/>
          <w:b/>
          <w:bCs/>
          <w:szCs w:val="24"/>
        </w:rPr>
        <w:t>证券简称：天有为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>证券代码：603202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编号：202</w:t>
      </w:r>
      <w:r>
        <w:rPr>
          <w:rFonts w:hint="eastAsia"/>
          <w:b/>
          <w:bCs/>
          <w:szCs w:val="24"/>
          <w:lang w:val="en-US" w:eastAsia="zh-CN"/>
        </w:rPr>
        <w:t>6</w:t>
      </w:r>
      <w:r>
        <w:rPr>
          <w:rFonts w:hint="eastAsia"/>
          <w:b/>
          <w:bCs/>
          <w:szCs w:val="24"/>
        </w:rPr>
        <w:t>-00</w:t>
      </w:r>
      <w:r>
        <w:rPr>
          <w:rFonts w:hint="eastAsia"/>
          <w:b/>
          <w:bCs/>
          <w:szCs w:val="24"/>
          <w:lang w:val="en-US" w:eastAsia="zh-CN"/>
        </w:rPr>
        <w:t>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0BBA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0819FBE">
            <w:pPr>
              <w:jc w:val="center"/>
              <w:rPr>
                <w:b/>
                <w:bCs/>
                <w:szCs w:val="24"/>
              </w:rPr>
            </w:pPr>
          </w:p>
          <w:p w14:paraId="415BA812">
            <w:pPr>
              <w:jc w:val="center"/>
              <w:rPr>
                <w:b/>
                <w:bCs/>
                <w:szCs w:val="24"/>
              </w:rPr>
            </w:pPr>
          </w:p>
          <w:p w14:paraId="567D7ED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1B5C188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601D821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☑特定对象调研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9709E3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□业绩说明会</w:t>
            </w:r>
          </w:p>
          <w:p w14:paraId="53A8CB6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66D3FB07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☑现场参观□其他（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6403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78C294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5F3579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0F975E57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兴业</w:t>
            </w:r>
            <w:r>
              <w:rPr>
                <w:rFonts w:hint="eastAsia"/>
                <w:szCs w:val="24"/>
              </w:rPr>
              <w:t>证券</w:t>
            </w:r>
            <w:r>
              <w:rPr>
                <w:rFonts w:hint="eastAsia"/>
                <w:szCs w:val="24"/>
                <w:lang w:val="en-US" w:eastAsia="zh-CN"/>
              </w:rPr>
              <w:t xml:space="preserve"> 卢云聪 </w:t>
            </w:r>
          </w:p>
        </w:tc>
      </w:tr>
      <w:tr w14:paraId="078D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9C6063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</w:tcPr>
          <w:p w14:paraId="2C74B64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>
              <w:rPr>
                <w:rFonts w:hint="eastAsia"/>
                <w:szCs w:val="24"/>
                <w:lang w:val="en-US" w:eastAsia="zh-CN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  <w:lang w:val="en-US" w:eastAsia="zh-CN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>10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1BC9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6DCC63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 w14:paraId="5BDDEB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黑龙江绥化市经济技术开发区昆山路9号天有为公司会议室</w:t>
            </w:r>
          </w:p>
        </w:tc>
      </w:tr>
      <w:tr w14:paraId="6E82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1131AD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20E7DE9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 w14:paraId="00193A9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张  智  董事会秘书</w:t>
            </w:r>
          </w:p>
          <w:p w14:paraId="5D204B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李怡蒙  证券事务代表</w:t>
            </w:r>
          </w:p>
        </w:tc>
      </w:tr>
      <w:tr w14:paraId="31FF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405" w:type="dxa"/>
          </w:tcPr>
          <w:p w14:paraId="2E17723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  </w:t>
            </w:r>
          </w:p>
          <w:p w14:paraId="38DA6F99">
            <w:pPr>
              <w:jc w:val="center"/>
              <w:rPr>
                <w:b/>
                <w:bCs/>
                <w:szCs w:val="24"/>
              </w:rPr>
            </w:pPr>
          </w:p>
          <w:p w14:paraId="71EFADA7">
            <w:pPr>
              <w:jc w:val="center"/>
              <w:rPr>
                <w:b/>
                <w:bCs/>
                <w:szCs w:val="24"/>
              </w:rPr>
            </w:pPr>
          </w:p>
          <w:p w14:paraId="16493B7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0E126A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firstLine="480" w:firstLineChars="20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投资者参观了天有为展厅及工厂，参观后与公司进行了交流。讨论的主要内容为回答投资者提问，问答情况如下：</w:t>
            </w:r>
          </w:p>
          <w:p w14:paraId="160CD0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firstLine="482" w:firstLineChars="200"/>
              <w:jc w:val="both"/>
              <w:rPr>
                <w:rFonts w:hint="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</w:rPr>
              <w:t>问题1：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什么是复合屏技术？</w:t>
            </w:r>
          </w:p>
          <w:p w14:paraId="6FC94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复合屏技术是公司核心技术之一，该技术创新性融合</w:t>
            </w:r>
            <w:r>
              <w:rPr>
                <w:rStyle w:val="8"/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段码屏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Style w:val="8"/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TFT 彩屏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优势，实现接近全彩的高品质显示效果。通过整合热弯成型、光学贴合、彩膜印刷等多项先进工艺，成功研发出适配车载场景的</w:t>
            </w:r>
            <w:r>
              <w:rPr>
                <w:rStyle w:val="8"/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汽车组合仪表复合屏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00AB6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在显示性能上，复合屏充分结合两类屏幕的显示特点，实现</w:t>
            </w:r>
            <w:r>
              <w:rPr>
                <w:rStyle w:val="8"/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高色彩饱和度、高对比度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的视觉效果，画面清晰直观，大幅提升驾驶者的驾乘交互体验。</w:t>
            </w:r>
          </w:p>
          <w:p w14:paraId="3AC98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传统TFT全彩屏虽显示效果优异，但存在成本偏高、形态受限等问题：其多为标准矩形，若需定制化异型外观，涉及上游产线改造与模具调整，整体成本居高不下。而复合屏可依托成本更优的段码屏实现</w:t>
            </w:r>
            <w:r>
              <w:rPr>
                <w:rStyle w:val="8"/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异型化仪表外观设计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，有效解决TFT全彩屏难以定制异型的行业痛点，让产品造型更丰富，可灵活满足各类客户的定制化需求。</w:t>
            </w:r>
          </w:p>
          <w:p w14:paraId="61A54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公司复合屏产品在</w:t>
            </w:r>
            <w:r>
              <w:rPr>
                <w:rStyle w:val="8"/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接近TFT全彩屏显示效果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的同时，显著降低生产成本，为客户提供了TFT全彩液晶仪表之外的高性价比优选方案。目前，公司正依托复合屏技术积极拓展</w:t>
            </w:r>
            <w:r>
              <w:rPr>
                <w:rStyle w:val="8"/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摩托车仪表、电动车仪表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等新兴市场，已与多家客户达成业务合作。</w:t>
            </w:r>
          </w:p>
          <w:p w14:paraId="2BDDD0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firstLine="482" w:firstLineChars="200"/>
              <w:jc w:val="both"/>
              <w:rPr>
                <w:rFonts w:hint="default" w:eastAsia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</w:rPr>
              <w:t>问题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Cs w:val="24"/>
              </w:rPr>
              <w:t>：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公司毛利率较高的原因？后续是否能继续保持？</w:t>
            </w:r>
          </w:p>
          <w:p w14:paraId="171BD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司自主研发的复合屏技术，通过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段码屏与TFT 彩屏的创新融合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，在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较低成本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下实现了接近全彩的高画质显示效果，凭借突出的性能优势为产品带来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溢价能力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。公司重点布局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全液晶组合仪表、双联屏仪表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等高毛利产品，该类产品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技术壁垒高、市场竞争格局良好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，同时深度适配新能源汽车智能化发展趋势，客户认可度与支付意愿显著提升。</w:t>
            </w:r>
          </w:p>
          <w:p w14:paraId="50EAD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公司具备较强的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核心工序自主制造能力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，叠加生产基地在土地、厂房及人力等方面的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成本优势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，综合制造成本显著低于行业平均水平。同时，公司产品具备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体积小、重量轻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的特点，物流成本较低，对就近配套依赖度低，进一步强化了整体成本竞争力。</w:t>
            </w:r>
          </w:p>
          <w:p w14:paraId="7222DC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firstLine="480" w:firstLineChars="200"/>
              <w:jc w:val="both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未来公司将持续加大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海外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市场开拓力度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，积极拓展订单，依托成熟高效的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成本控制体系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与全球化市场布局，确保公司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毛利率维持在合理区间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，进一步巩固并提升在海外市场的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长期核心竞争力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。</w:t>
            </w:r>
          </w:p>
          <w:p w14:paraId="59DB7E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firstLine="482" w:firstLineChars="200"/>
              <w:jc w:val="both"/>
              <w:rPr>
                <w:rFonts w:hint="default" w:eastAsia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问题3：</w:t>
            </w:r>
            <w:r>
              <w:rPr>
                <w:rFonts w:hint="eastAsia"/>
                <w:b/>
                <w:bCs/>
                <w:szCs w:val="24"/>
              </w:rPr>
              <w:t>公司未来发展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规划及市场布局</w:t>
            </w:r>
          </w:p>
          <w:p w14:paraId="38C97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公司将以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市场拓展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为核心导向，重点深耕海外市场与优质项目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，特别是北美与欧洲市场机会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，不断扩大业务规模与增量空间。持续加大研发投入，以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产品与技术创新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为核心动力，加快推进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中控显示、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双联屏仪表、后排娱乐屏、两轮车仪表等重点产品的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市场应用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627C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进一步强化制造端优势，通过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精细化成本管控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持续优化运营效率，夯实行业领先地位。同时紧密追踪汽车电子行业发展趋势，</w:t>
            </w:r>
            <w:r>
              <w:rPr>
                <w:rFonts w:hint="default" w:ascii="宋体" w:hAnsi="宋体" w:cs="宋体"/>
                <w:color w:val="000000"/>
                <w:kern w:val="0"/>
                <w:szCs w:val="24"/>
                <w:lang w:bidi="ar"/>
              </w:rPr>
              <w:t>精准捕捉海内外市场需求，针对客户痛点持续迭代产品矩阵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E072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2" w:firstLineChars="20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问题4：公司对未来分红政策的规划？</w:t>
            </w:r>
          </w:p>
          <w:p w14:paraId="387E2E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firstLine="480" w:firstLineChars="200"/>
              <w:jc w:val="both"/>
              <w:rPr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及管理层高度重视股东回报，未来每年在综合考虑年度盈利状况、未来发展需求等因素的前提下，会合理制定利润分配方案，保持稳定的分红政策，积极回馈公司股东。公司上市后实施了2024年利润分配方案，合计派发现金股利398,400,000元（含税），本年度现金分红总额占本年度归属于上市公司股东净利润的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比例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35.06%，2025年半年度利润分配方案</w:t>
            </w:r>
            <w:bookmarkStart w:id="0" w:name="_GoBack"/>
            <w:bookmarkEnd w:id="0"/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：合计派发现金股利160,000,000元（含税），本期现金分红总额占2025年半年度归属于上市公司股东净利润的比例30.43%。公司后续将根据资金需求及长期发展规划制定利润分配方案，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用实际行动回报股东。</w:t>
            </w:r>
          </w:p>
        </w:tc>
      </w:tr>
      <w:tr w14:paraId="7272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19167A6">
            <w:pPr>
              <w:jc w:val="center"/>
              <w:rPr>
                <w:b/>
                <w:bCs/>
                <w:szCs w:val="24"/>
              </w:rPr>
            </w:pPr>
          </w:p>
          <w:p w14:paraId="4B6D66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6A1C020B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5CBCBF0A">
            <w:pPr>
              <w:jc w:val="left"/>
              <w:rPr>
                <w:szCs w:val="24"/>
              </w:rPr>
            </w:pPr>
          </w:p>
          <w:p w14:paraId="2F7ACD83">
            <w:pPr>
              <w:tabs>
                <w:tab w:val="left" w:pos="2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无</w:t>
            </w:r>
          </w:p>
        </w:tc>
      </w:tr>
      <w:tr w14:paraId="75D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4060DD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关于本次活动是否涉及应当披露重大信息的说明</w:t>
            </w:r>
          </w:p>
        </w:tc>
        <w:tc>
          <w:tcPr>
            <w:tcW w:w="5891" w:type="dxa"/>
            <w:vAlign w:val="center"/>
          </w:tcPr>
          <w:p w14:paraId="2F873D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不涉及</w:t>
            </w:r>
          </w:p>
        </w:tc>
      </w:tr>
    </w:tbl>
    <w:p w14:paraId="25FA727A">
      <w:pPr>
        <w:spacing w:line="360" w:lineRule="auto"/>
        <w:rPr>
          <w:szCs w:val="24"/>
        </w:rPr>
      </w:pPr>
    </w:p>
    <w:p w14:paraId="1713B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2C30"/>
    <w:rsid w:val="00406DCA"/>
    <w:rsid w:val="008E65FF"/>
    <w:rsid w:val="00CC72DA"/>
    <w:rsid w:val="016E7389"/>
    <w:rsid w:val="069E11EB"/>
    <w:rsid w:val="07795121"/>
    <w:rsid w:val="08142376"/>
    <w:rsid w:val="0AFB105E"/>
    <w:rsid w:val="0C33690E"/>
    <w:rsid w:val="0D062D98"/>
    <w:rsid w:val="0E20525B"/>
    <w:rsid w:val="102E5041"/>
    <w:rsid w:val="109C285E"/>
    <w:rsid w:val="128A572B"/>
    <w:rsid w:val="13E2579A"/>
    <w:rsid w:val="142E2699"/>
    <w:rsid w:val="149A1766"/>
    <w:rsid w:val="14F84B69"/>
    <w:rsid w:val="151632A6"/>
    <w:rsid w:val="17B76CE3"/>
    <w:rsid w:val="18865F4F"/>
    <w:rsid w:val="1B6805D3"/>
    <w:rsid w:val="1D753E62"/>
    <w:rsid w:val="1E3A3CAC"/>
    <w:rsid w:val="1F993F88"/>
    <w:rsid w:val="1FAC1400"/>
    <w:rsid w:val="21CC79CE"/>
    <w:rsid w:val="24311562"/>
    <w:rsid w:val="28124331"/>
    <w:rsid w:val="2AEC0B11"/>
    <w:rsid w:val="2D054B16"/>
    <w:rsid w:val="2D995F65"/>
    <w:rsid w:val="303A23F2"/>
    <w:rsid w:val="310867AA"/>
    <w:rsid w:val="36F84DB2"/>
    <w:rsid w:val="3A3313FA"/>
    <w:rsid w:val="3D143D6C"/>
    <w:rsid w:val="40BF4803"/>
    <w:rsid w:val="41543FB7"/>
    <w:rsid w:val="41E87D96"/>
    <w:rsid w:val="42620BA7"/>
    <w:rsid w:val="44EF42FA"/>
    <w:rsid w:val="47F03D9D"/>
    <w:rsid w:val="4CAF02E1"/>
    <w:rsid w:val="561422D7"/>
    <w:rsid w:val="584D19EF"/>
    <w:rsid w:val="58E82C30"/>
    <w:rsid w:val="5BEA3334"/>
    <w:rsid w:val="5BF2791D"/>
    <w:rsid w:val="5F1966B4"/>
    <w:rsid w:val="60002155"/>
    <w:rsid w:val="65054177"/>
    <w:rsid w:val="65A74A16"/>
    <w:rsid w:val="68A33FD5"/>
    <w:rsid w:val="6A9A4A03"/>
    <w:rsid w:val="6B7802DF"/>
    <w:rsid w:val="6E9C10D5"/>
    <w:rsid w:val="6E9E361D"/>
    <w:rsid w:val="721E505F"/>
    <w:rsid w:val="731719F3"/>
    <w:rsid w:val="731F498A"/>
    <w:rsid w:val="75663ABD"/>
    <w:rsid w:val="7EC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1"/>
    <w:qFormat/>
    <w:uiPriority w:val="0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文字 字符"/>
    <w:basedOn w:val="7"/>
    <w:link w:val="2"/>
    <w:qFormat/>
    <w:uiPriority w:val="0"/>
    <w:rPr>
      <w:rFonts w:cstheme="minorBidi"/>
      <w:kern w:val="2"/>
      <w:sz w:val="24"/>
      <w:szCs w:val="22"/>
    </w:rPr>
  </w:style>
  <w:style w:type="character" w:customStyle="1" w:styleId="11">
    <w:name w:val="批注主题 字符"/>
    <w:basedOn w:val="10"/>
    <w:link w:val="4"/>
    <w:qFormat/>
    <w:uiPriority w:val="0"/>
    <w:rPr>
      <w:rFonts w:cstheme="minorBidi"/>
      <w:b/>
      <w:bCs/>
      <w:kern w:val="2"/>
      <w:sz w:val="24"/>
      <w:szCs w:val="22"/>
    </w:rPr>
  </w:style>
  <w:style w:type="character" w:customStyle="1" w:styleId="12">
    <w:name w:val="批注框文本 字符"/>
    <w:basedOn w:val="7"/>
    <w:link w:val="3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1541</Words>
  <Characters>1608</Characters>
  <Lines>9</Lines>
  <Paragraphs>2</Paragraphs>
  <TotalTime>24</TotalTime>
  <ScaleCrop>false</ScaleCrop>
  <LinksUpToDate>false</LinksUpToDate>
  <CharactersWithSpaces>1661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2025-07-25T01:59:00Z</dcterms:created>
  <dc:creator>企业用户_411354505</dc:creator>
  <cp:lastModifiedBy>企业用户_411354505</cp:lastModifiedBy>
  <dcterms:modified xsi:type="dcterms:W3CDTF">2026-03-11T05:37:45Z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13F88FB31AD64BCCB3B7ED562169B405_13</vt:lpwstr>
  </property>
  <property fmtid="{D5CDD505-2E9C-101B-9397-08002B2CF9AE}" pid="4" name="KSOTemplateDocerSaveRecord">
    <vt:lpwstr>eyJoZGlkIjoiNzdkMDBiZGE4YTg1NGIzNGY3NWExNzg3NDMzY2U2MzIiLCJ1c2VySWQiOiIxNjE2MzkxMTIzIn0=</vt:lpwstr>
  </property>
</Properties>
</file>