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943A9">
      <w:pPr>
        <w:snapToGrid w:val="0"/>
        <w:spacing w:line="360" w:lineRule="auto"/>
        <w:contextualSpacing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证券代码：603257                                  证券简称：中国瑞林</w:t>
      </w:r>
    </w:p>
    <w:p w14:paraId="4FCD7751">
      <w:pPr>
        <w:snapToGrid w:val="0"/>
        <w:spacing w:line="360" w:lineRule="auto"/>
        <w:contextualSpacing/>
        <w:rPr>
          <w:rFonts w:ascii="黑体" w:hAnsi="黑体" w:eastAsia="黑体" w:cs="黑体"/>
          <w:color w:val="FF0000"/>
          <w:sz w:val="24"/>
          <w:szCs w:val="24"/>
        </w:rPr>
      </w:pPr>
    </w:p>
    <w:p w14:paraId="0FB095E9">
      <w:pPr>
        <w:spacing w:line="360" w:lineRule="auto"/>
        <w:jc w:val="center"/>
        <w:rPr>
          <w:rFonts w:ascii="宋体" w:hAnsi="宋体" w:cs="宋体"/>
          <w:b/>
          <w:iCs/>
          <w:color w:val="FF0000"/>
          <w:sz w:val="36"/>
          <w:szCs w:val="36"/>
        </w:rPr>
      </w:pPr>
      <w:r>
        <w:rPr>
          <w:rFonts w:hint="eastAsia" w:ascii="宋体" w:hAnsi="宋体" w:cs="宋体"/>
          <w:b/>
          <w:iCs/>
          <w:color w:val="FF0000"/>
          <w:sz w:val="36"/>
          <w:szCs w:val="36"/>
        </w:rPr>
        <w:t>中国瑞林工程技术股份有限公司</w:t>
      </w:r>
    </w:p>
    <w:p w14:paraId="4D14A2E4">
      <w:pPr>
        <w:spacing w:line="360" w:lineRule="auto"/>
        <w:jc w:val="center"/>
        <w:rPr>
          <w:rFonts w:ascii="宋体" w:hAnsi="宋体" w:cs="宋体"/>
          <w:b/>
          <w:iCs/>
          <w:color w:val="FF0000"/>
          <w:sz w:val="36"/>
          <w:szCs w:val="36"/>
        </w:rPr>
      </w:pPr>
      <w:r>
        <w:rPr>
          <w:rFonts w:hint="eastAsia" w:ascii="宋体" w:hAnsi="宋体" w:cs="宋体"/>
          <w:b/>
          <w:iCs/>
          <w:color w:val="FF0000"/>
          <w:sz w:val="36"/>
          <w:szCs w:val="36"/>
        </w:rPr>
        <w:t>投资者关系活动记录表</w:t>
      </w:r>
    </w:p>
    <w:p w14:paraId="57C939F6">
      <w:pPr>
        <w:spacing w:line="360" w:lineRule="auto"/>
        <w:jc w:val="right"/>
        <w:rPr>
          <w:rFonts w:ascii="宋体" w:hAnsi="宋体" w:cs="宋体"/>
          <w:bCs/>
          <w:iCs/>
          <w:color w:val="000000"/>
          <w:sz w:val="24"/>
          <w:szCs w:val="24"/>
        </w:rPr>
      </w:pPr>
    </w:p>
    <w:p w14:paraId="5CF27303">
      <w:pPr>
        <w:spacing w:line="360" w:lineRule="auto"/>
        <w:jc w:val="right"/>
        <w:rPr>
          <w:rFonts w:ascii="宋体" w:hAnsi="宋体" w:cs="宋体"/>
          <w:bCs/>
          <w:i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iCs/>
          <w:color w:val="000000"/>
          <w:sz w:val="24"/>
          <w:szCs w:val="24"/>
        </w:rPr>
        <w:t>编号：2026-001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32918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52773174">
            <w:pPr>
              <w:spacing w:line="360" w:lineRule="auto"/>
              <w:jc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232F5198">
            <w:pPr>
              <w:spacing w:line="360" w:lineRule="auto"/>
              <w:jc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活动类别</w:t>
            </w:r>
          </w:p>
          <w:p w14:paraId="660ADAE0">
            <w:pPr>
              <w:spacing w:line="360" w:lineRule="auto"/>
              <w:jc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l2br w:val="nil"/>
              <w:tr2bl w:val="nil"/>
            </w:tcBorders>
            <w:vAlign w:val="center"/>
          </w:tcPr>
          <w:p w14:paraId="67E0204F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分析师会议</w:t>
            </w:r>
          </w:p>
          <w:p w14:paraId="61228F2D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业绩说明会</w:t>
            </w:r>
          </w:p>
          <w:p w14:paraId="4BCB17DC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路演活动</w:t>
            </w:r>
          </w:p>
          <w:p w14:paraId="605AA9E4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其他</w:t>
            </w:r>
          </w:p>
        </w:tc>
      </w:tr>
      <w:tr w14:paraId="2D9D2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1138309C">
            <w:pPr>
              <w:spacing w:line="360" w:lineRule="auto"/>
              <w:jc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l2br w:val="nil"/>
              <w:tr2bl w:val="nil"/>
            </w:tcBorders>
            <w:vAlign w:val="center"/>
          </w:tcPr>
          <w:p w14:paraId="1481B660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电话会议：</w:t>
            </w:r>
          </w:p>
          <w:p w14:paraId="4E338ADA">
            <w:pPr>
              <w:spacing w:line="360" w:lineRule="auto"/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广东正圆投资有限公司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循远资产管理（上海）有限公司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友邦人寿保险有限公司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进门财经、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青骊投资管理（上海）有限公司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合众资产管理股份有限公司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天风证券研究所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浙江益恒投资管理有限公司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深圳市君茂投资有限公司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玄卜投资（上海）有限公司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泰安市创富兆业企业管理合伙企业（有限合伙）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Pleiad Investment Advisors Limited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建信理财有限责任公司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金元顺安基金管理有限公司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上海途灵资产管理有限公司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颐和久富投资管理有限公司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汇丰晋信基金管理有限公司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鹏华基金管理有限公司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方正证券股份有限公司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北京沣沛投资管理有限公司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蓝海启程（北京）投资管理有限公司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华泰证券、广发证券、长江证券、永赢基金</w:t>
            </w:r>
          </w:p>
          <w:p w14:paraId="628838DA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现场调研：</w:t>
            </w:r>
          </w:p>
          <w:p w14:paraId="749BD558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胤胜资产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华福证券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中邮证券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富国基金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创金合信基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金、</w:t>
            </w: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长城基金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易方达基金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泉果基金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泰康基金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财通资管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东方红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资管、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南土资产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申万宏源</w:t>
            </w:r>
          </w:p>
        </w:tc>
      </w:tr>
      <w:tr w14:paraId="50583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42940B0A">
            <w:pPr>
              <w:spacing w:line="360" w:lineRule="auto"/>
              <w:jc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l2br w:val="nil"/>
              <w:tr2bl w:val="nil"/>
            </w:tcBorders>
            <w:vAlign w:val="center"/>
          </w:tcPr>
          <w:p w14:paraId="0354AA2A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2026年3月3日-2026年3月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14:paraId="1E5A1F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42CE6298">
            <w:pPr>
              <w:spacing w:line="360" w:lineRule="auto"/>
              <w:jc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l2br w:val="nil"/>
              <w:tr2bl w:val="nil"/>
            </w:tcBorders>
            <w:vAlign w:val="center"/>
          </w:tcPr>
          <w:p w14:paraId="133C57FB">
            <w:pPr>
              <w:spacing w:line="360" w:lineRule="auto"/>
              <w:jc w:val="lef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中国瑞林</w:t>
            </w:r>
          </w:p>
        </w:tc>
      </w:tr>
      <w:tr w14:paraId="2E0A0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0A936C4C">
            <w:pPr>
              <w:spacing w:line="360" w:lineRule="auto"/>
              <w:jc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上市公司接待</w:t>
            </w:r>
          </w:p>
          <w:p w14:paraId="3A2DE527">
            <w:pPr>
              <w:spacing w:line="360" w:lineRule="auto"/>
              <w:jc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人员姓名</w:t>
            </w:r>
          </w:p>
        </w:tc>
        <w:tc>
          <w:tcPr>
            <w:tcW w:w="6614" w:type="dxa"/>
            <w:tcBorders>
              <w:tl2br w:val="nil"/>
              <w:tr2bl w:val="nil"/>
            </w:tcBorders>
            <w:vAlign w:val="center"/>
          </w:tcPr>
          <w:p w14:paraId="21E7EC3E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董事会秘书：方填三先生</w:t>
            </w:r>
          </w:p>
          <w:p w14:paraId="41399BD0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财务总监：王君女士</w:t>
            </w:r>
          </w:p>
          <w:p w14:paraId="076E4589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证券事务代表：郭兰宇先生</w:t>
            </w:r>
          </w:p>
        </w:tc>
      </w:tr>
      <w:tr w14:paraId="5EDEB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22DCC55D">
            <w:pPr>
              <w:spacing w:line="360" w:lineRule="auto"/>
              <w:jc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22D3E716">
            <w:pPr>
              <w:spacing w:line="360" w:lineRule="auto"/>
              <w:jc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  <w:tcBorders>
              <w:tl2br w:val="nil"/>
              <w:tr2bl w:val="nil"/>
            </w:tcBorders>
            <w:vAlign w:val="center"/>
          </w:tcPr>
          <w:p w14:paraId="4625E1A6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中国瑞林工程技术股份有限公司于2026年3月3日-2026年3月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11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日以现场交流结合电话会议的形式与投资者进行交流，主要问答情况如下：</w:t>
            </w:r>
          </w:p>
          <w:p w14:paraId="08A46FC6">
            <w:pPr>
              <w:spacing w:line="360" w:lineRule="auto"/>
              <w:rPr>
                <w:rFonts w:ascii="宋体" w:hAnsi="宋体" w:cs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iCs/>
                <w:color w:val="000000"/>
                <w:sz w:val="24"/>
                <w:szCs w:val="24"/>
              </w:rPr>
              <w:t>问题1、公司与股东的业务协同情况如何，未来有怎样的规划？</w:t>
            </w:r>
          </w:p>
          <w:p w14:paraId="2AAC939A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答：公司与各法人股东均有着长期的合作关系，特别是2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007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年公司改制引进各法人股东作为战略投资者以来，合作关系和战略协同得到进一步加强，但除了个别年份由于个别较大的E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总包项目的影响导致关联交易金额较大以外，总体上公司与各股东之间的协同潜力还未全面挖掘。未来公司将进一步挖掘与股东及股东所属集团体系内的业务协同点，依托公司在有色金属工程咨询、设计、项目管理、装备集成、数智化运用等领域的专业优势，在项目开发承接、全产业链配套服务等方面深化合作，为股东及相关合作方提供全方位的服务，实现与股东的深度绑定和互利共赢，最大化发挥协同效益。</w:t>
            </w:r>
          </w:p>
          <w:p w14:paraId="2C23F479">
            <w:pPr>
              <w:spacing w:line="360" w:lineRule="auto"/>
              <w:rPr>
                <w:rFonts w:ascii="Helvetica" w:hAnsi="Helvetica" w:eastAsia="Helvetica" w:cs="Helvetica"/>
                <w:color w:val="333333"/>
                <w:sz w:val="24"/>
                <w:szCs w:val="24"/>
                <w:shd w:val="clear" w:color="auto" w:fill="F7F7F7"/>
              </w:rPr>
            </w:pPr>
          </w:p>
          <w:p w14:paraId="084DB2B0">
            <w:pPr>
              <w:spacing w:line="360" w:lineRule="auto"/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iCs/>
                <w:color w:val="000000"/>
                <w:sz w:val="24"/>
                <w:szCs w:val="24"/>
              </w:rPr>
              <w:t>问题2、紫金矿业参与公司I</w:t>
            </w:r>
            <w:r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hint="eastAsia" w:ascii="宋体" w:hAnsi="宋体" w:cs="宋体"/>
                <w:b/>
                <w:iCs/>
                <w:color w:val="000000"/>
                <w:sz w:val="24"/>
                <w:szCs w:val="24"/>
              </w:rPr>
              <w:t>战略配售的背景是什么？</w:t>
            </w:r>
          </w:p>
          <w:p w14:paraId="54C375EB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答：紫金矿业与中国瑞林有着近四十年的合作历史，长期保持着密切的战略合作关系。紫金矿业众多境内外有色金属矿山、冶炼、环保项目由中国瑞林提供技术咨询、工程设计、项目建设管理服务，同时也为部分项目提供核心装备和数智化服务，双方有着良好的合作基础和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互信关系。根据紫金矿业与中国瑞林签署的《战略合作协议》，双方将在全球资源开发、冶金工程、环境及安全、绿色与智能化、科研、人才培养等方面拓展更大的合作空间。公司IPO期间，基于双方后续深化协同和业务合作的考量，公司引进紫金矿业作为战略配售的投资者。</w:t>
            </w:r>
          </w:p>
          <w:p w14:paraId="25A48F92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34067A46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iCs/>
                <w:color w:val="000000"/>
                <w:sz w:val="24"/>
                <w:szCs w:val="24"/>
              </w:rPr>
              <w:t>问题3、公司向有色金属产业链上游资源开发端拓展的战略定位是什么，在金属品种、投资区域上有何规划？为何选择跟投模式？</w:t>
            </w:r>
          </w:p>
          <w:p w14:paraId="442F3E13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答：十五五期间，公司有意向有色金属产业链上游资源开发端拓展，发挥公司在有色金属领域的技术优势，遵循相对稳健、风险可控的原则，以跟投、参股的方式参与矿产资源的获取和开发。通过项目跟投、参股实现与合作方的协同效应，一方面锁定项目工程咨询、工程设计、建设管理、装备等业务，另一方面可获取长期稳定的投资收益。</w:t>
            </w:r>
          </w:p>
          <w:p w14:paraId="09B3B08E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矿种选择上，聚焦金、银、铜、铅、锌、镍、钴、锂、钨等有色金属品种，发挥公司核心业务领域和技术优势。区域布局上：海外矿山，重点跟踪非洲和中亚等与中资企业合作基础较好，经营稳定性较高的区域；国内重点关注新疆、西藏、内蒙等矿产资源丰富地区。为推进该战略，公司已专门新成立投资部，负责开展相关业务。</w:t>
            </w:r>
          </w:p>
          <w:p w14:paraId="217F8430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公司选择跟投模式参与上游矿业投资，主要基于两方面考量：一是公司独立进行矿业投资的资金压力较大，跟投模式可降低单项目资金投入，有效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降低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投资风险；二是公司暂时没有成熟的矿山开发运营团队，跟投后公司可承接该项目的技术咨询、设计、项目建设管理、装备供货等业务，而矿山的运营由合作方的专业团队负责，可保障项目的顺利投产、达产达标及长期稳定安全生产。</w:t>
            </w:r>
          </w:p>
          <w:p w14:paraId="5FA49DEC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31A1C1A8">
            <w:pPr>
              <w:spacing w:line="360" w:lineRule="auto"/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iCs/>
                <w:color w:val="000000"/>
                <w:sz w:val="24"/>
                <w:szCs w:val="24"/>
              </w:rPr>
              <w:t>问题4、在国内新增铜冶炼产能非常少的背景下，公司国内铜冶炼业务的发展方向是什么？</w:t>
            </w:r>
          </w:p>
          <w:p w14:paraId="640C4418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答：受国内产业政策、环保要求等因素影响，国内新上矿铜冶炼产能审批难度大，新增产能有限。公司将聚焦现有产能的数字化、智能化改造和环保提升等技改业务，为现有冶炼企业提供技术升级改造服务；另外，随着国际铜金属价格屡创新高，国内铜精矿原料短缺，再生铜相关业务也是公司重点关注的方向。</w:t>
            </w:r>
          </w:p>
          <w:p w14:paraId="531E0FCF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5CAA817B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iCs/>
                <w:color w:val="000000"/>
                <w:sz w:val="24"/>
                <w:szCs w:val="24"/>
              </w:rPr>
              <w:t>问题</w:t>
            </w:r>
            <w:r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b/>
                <w:iCs/>
                <w:color w:val="000000"/>
                <w:sz w:val="24"/>
                <w:szCs w:val="24"/>
              </w:rPr>
              <w:t>、公司在刚果（金）、赞比亚的海外项目是否存在地缘政治风险？</w:t>
            </w:r>
          </w:p>
          <w:p w14:paraId="753434EE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答：目前公司在刚果（金）、赞比亚的海外项目业务均正常开展，暂未受到当地政治局势影响。公司在海外项目的执行中，会密切关注当地政治、经济局势变化，保障项目稳健推进及人员安全。</w:t>
            </w:r>
          </w:p>
          <w:p w14:paraId="5F797F5A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6F927A4B">
            <w:pPr>
              <w:spacing w:line="360" w:lineRule="auto"/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iCs/>
                <w:color w:val="000000"/>
                <w:sz w:val="24"/>
                <w:szCs w:val="24"/>
              </w:rPr>
              <w:t>问题</w:t>
            </w:r>
            <w:r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b/>
                <w:iCs/>
                <w:color w:val="000000"/>
                <w:sz w:val="24"/>
                <w:szCs w:val="24"/>
              </w:rPr>
              <w:t>、公司的融资计划及再融资方式是怎样的？</w:t>
            </w:r>
          </w:p>
          <w:p w14:paraId="643EAC2B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答：公司目前经营状况良好，账面资金充足，现金流稳定，能够充分保障公司日常生产经营和业务拓展的资金需求。公司募投项目正按计划有序推进，实施周期将持续至2027年，现阶段募投项目资金能够足额保障项目建设。基于当前的资金状况和业务发展规划，公司未来两年内暂无再融资计划，后续若有融资需求，将根据市场情况和公司发展需要，选择合适的再融资方式，并严格按照相关规定履行信息披露义务。</w:t>
            </w:r>
          </w:p>
          <w:p w14:paraId="20D367BD">
            <w:pPr>
              <w:spacing w:line="360" w:lineRule="auto"/>
              <w:ind w:firstLine="482" w:firstLineChars="200"/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</w:pPr>
          </w:p>
          <w:p w14:paraId="2268B498">
            <w:pPr>
              <w:spacing w:line="360" w:lineRule="auto"/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iCs/>
                <w:color w:val="000000"/>
                <w:sz w:val="24"/>
                <w:szCs w:val="24"/>
              </w:rPr>
              <w:t>问题</w:t>
            </w:r>
            <w:r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b/>
                <w:iCs/>
                <w:color w:val="000000"/>
                <w:sz w:val="24"/>
                <w:szCs w:val="24"/>
              </w:rPr>
              <w:t>、公司承接项目的设计费收取进度是怎样的？</w:t>
            </w:r>
          </w:p>
          <w:p w14:paraId="260FCD9B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答：公司设计费采用按项目节点分阶段收取的行业通用模式，具体项目设计费支付节点主要分为预收、可研、初步设计、施工图设计、竣工验收五个阶段，各阶段根据项目进度和合同约定收取相应比例的设计费。其中初步设计和施工图设计阶段是设计服务的核心环节，对应收取的设计费占比最高。</w:t>
            </w:r>
          </w:p>
          <w:p w14:paraId="3ABDE0E7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  <w:p w14:paraId="06767CD9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iCs/>
                <w:color w:val="000000"/>
                <w:sz w:val="24"/>
                <w:szCs w:val="24"/>
              </w:rPr>
              <w:t>问题</w:t>
            </w:r>
            <w:r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b/>
                <w:iCs/>
                <w:color w:val="000000"/>
                <w:sz w:val="24"/>
                <w:szCs w:val="24"/>
              </w:rPr>
              <w:t>、公司在人才梯队和组织架构方面有何规划与调整？</w:t>
            </w:r>
          </w:p>
          <w:p w14:paraId="20444E15">
            <w:pPr>
              <w:spacing w:line="360" w:lineRule="auto"/>
              <w:ind w:firstLine="480" w:firstLineChars="200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答：为适配公司产业链延伸和国际化发展的战略布局，构建面向未来、敏捷高效的新型组织形态，公司正深入推进组织和业务变革，组建和调整了大部分事业部和职能、研发部门，其中包括新增了数智化事业部、投资部、国际拓展部、创新研究院等部门。人才梯队建设方面，公司根据各业务板块的发展需求，重点引进和培养三类核心人才：一是既懂工艺又懂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IT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的交叉型人才，适配数智化事业部的发展需求；二是专业的投融资人才，支撑公司投资业务的开展；三是熟悉海外市场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eastAsia="zh-CN"/>
              </w:rPr>
              <w:t>，具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有国际化视野的专业人才，适配公司国际化战略。</w:t>
            </w:r>
          </w:p>
          <w:p w14:paraId="1B8EDD40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19"/>
                <w:szCs w:val="19"/>
                <w:lang w:bidi="ar"/>
              </w:rPr>
            </w:pPr>
          </w:p>
        </w:tc>
      </w:tr>
      <w:tr w14:paraId="7F4AD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4DECC40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6614" w:type="dxa"/>
            <w:tcBorders>
              <w:tl2br w:val="nil"/>
              <w:tr2bl w:val="nil"/>
            </w:tcBorders>
            <w:vAlign w:val="center"/>
          </w:tcPr>
          <w:p w14:paraId="347E8476">
            <w:pPr>
              <w:pStyle w:val="8"/>
              <w:autoSpaceDE w:val="0"/>
              <w:autoSpaceDN w:val="0"/>
              <w:spacing w:before="100" w:beforeAutospacing="1" w:line="360" w:lineRule="auto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本次活动不涉及未公开披露的重大信息。</w:t>
            </w:r>
          </w:p>
        </w:tc>
      </w:tr>
      <w:tr w14:paraId="0CC88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6475AF91">
            <w:pPr>
              <w:spacing w:line="360" w:lineRule="auto"/>
              <w:jc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附件清单</w:t>
            </w:r>
          </w:p>
        </w:tc>
        <w:tc>
          <w:tcPr>
            <w:tcW w:w="6614" w:type="dxa"/>
            <w:tcBorders>
              <w:tl2br w:val="nil"/>
              <w:tr2bl w:val="nil"/>
            </w:tcBorders>
            <w:vAlign w:val="center"/>
          </w:tcPr>
          <w:p w14:paraId="5C193D32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14:paraId="18D33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l2br w:val="nil"/>
              <w:tr2bl w:val="nil"/>
            </w:tcBorders>
            <w:vAlign w:val="center"/>
          </w:tcPr>
          <w:p w14:paraId="3DE0727A">
            <w:pPr>
              <w:spacing w:line="360" w:lineRule="auto"/>
              <w:jc w:val="center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l2br w:val="nil"/>
              <w:tr2bl w:val="nil"/>
            </w:tcBorders>
            <w:vAlign w:val="center"/>
          </w:tcPr>
          <w:p w14:paraId="204EE0A8">
            <w:pPr>
              <w:spacing w:line="360" w:lineRule="auto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2026年3月</w:t>
            </w:r>
            <w:r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14:paraId="45E60CD2"/>
    <w:p w14:paraId="60BBD897"/>
    <w:p w14:paraId="36B85344"/>
    <w:p w14:paraId="3706FB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75D48"/>
    <w:multiLevelType w:val="multilevel"/>
    <w:tmpl w:val="0C775D48"/>
    <w:lvl w:ilvl="0" w:tentative="0">
      <w:start w:val="1"/>
      <w:numFmt w:val="decimal"/>
      <w:pStyle w:val="7"/>
      <w:suff w:val="nothing"/>
      <w:lvlText w:val="%1）"/>
      <w:lvlJc w:val="left"/>
      <w:pPr>
        <w:ind w:left="3261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2683" w:hanging="420"/>
      </w:pPr>
    </w:lvl>
    <w:lvl w:ilvl="2" w:tentative="0">
      <w:start w:val="1"/>
      <w:numFmt w:val="lowerRoman"/>
      <w:lvlText w:val="%3."/>
      <w:lvlJc w:val="right"/>
      <w:pPr>
        <w:ind w:left="3103" w:hanging="420"/>
      </w:pPr>
    </w:lvl>
    <w:lvl w:ilvl="3" w:tentative="0">
      <w:start w:val="1"/>
      <w:numFmt w:val="decimal"/>
      <w:lvlText w:val="%4."/>
      <w:lvlJc w:val="left"/>
      <w:pPr>
        <w:ind w:left="3523" w:hanging="420"/>
      </w:pPr>
    </w:lvl>
    <w:lvl w:ilvl="4" w:tentative="0">
      <w:start w:val="1"/>
      <w:numFmt w:val="lowerLetter"/>
      <w:lvlText w:val="%5)"/>
      <w:lvlJc w:val="left"/>
      <w:pPr>
        <w:ind w:left="3943" w:hanging="420"/>
      </w:pPr>
    </w:lvl>
    <w:lvl w:ilvl="5" w:tentative="0">
      <w:start w:val="1"/>
      <w:numFmt w:val="lowerRoman"/>
      <w:lvlText w:val="%6."/>
      <w:lvlJc w:val="right"/>
      <w:pPr>
        <w:ind w:left="4363" w:hanging="420"/>
      </w:pPr>
    </w:lvl>
    <w:lvl w:ilvl="6" w:tentative="0">
      <w:start w:val="1"/>
      <w:numFmt w:val="decimal"/>
      <w:lvlText w:val="%7."/>
      <w:lvlJc w:val="left"/>
      <w:pPr>
        <w:ind w:left="4783" w:hanging="420"/>
      </w:pPr>
    </w:lvl>
    <w:lvl w:ilvl="7" w:tentative="0">
      <w:start w:val="1"/>
      <w:numFmt w:val="lowerLetter"/>
      <w:lvlText w:val="%8)"/>
      <w:lvlJc w:val="left"/>
      <w:pPr>
        <w:ind w:left="5203" w:hanging="420"/>
      </w:pPr>
    </w:lvl>
    <w:lvl w:ilvl="8" w:tentative="0">
      <w:start w:val="1"/>
      <w:numFmt w:val="lowerRoman"/>
      <w:lvlText w:val="%9."/>
      <w:lvlJc w:val="right"/>
      <w:pPr>
        <w:ind w:left="56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D51AC"/>
    <w:rsid w:val="00011E54"/>
    <w:rsid w:val="00062BBB"/>
    <w:rsid w:val="00093D64"/>
    <w:rsid w:val="000C720A"/>
    <w:rsid w:val="000C7D4F"/>
    <w:rsid w:val="001279A9"/>
    <w:rsid w:val="0013190D"/>
    <w:rsid w:val="00184341"/>
    <w:rsid w:val="00211DB1"/>
    <w:rsid w:val="00241785"/>
    <w:rsid w:val="00243DDF"/>
    <w:rsid w:val="00267B57"/>
    <w:rsid w:val="002843EA"/>
    <w:rsid w:val="002B7850"/>
    <w:rsid w:val="002D064A"/>
    <w:rsid w:val="002E6E28"/>
    <w:rsid w:val="003B370B"/>
    <w:rsid w:val="003C6153"/>
    <w:rsid w:val="00454EFA"/>
    <w:rsid w:val="005424CE"/>
    <w:rsid w:val="0059039D"/>
    <w:rsid w:val="005930FF"/>
    <w:rsid w:val="005F5970"/>
    <w:rsid w:val="00626F11"/>
    <w:rsid w:val="00693C41"/>
    <w:rsid w:val="007A617F"/>
    <w:rsid w:val="007B0A5B"/>
    <w:rsid w:val="008F61F3"/>
    <w:rsid w:val="009018A8"/>
    <w:rsid w:val="00935EF2"/>
    <w:rsid w:val="009D495C"/>
    <w:rsid w:val="009D666D"/>
    <w:rsid w:val="009F14B7"/>
    <w:rsid w:val="009F3764"/>
    <w:rsid w:val="00A5447D"/>
    <w:rsid w:val="00A6251A"/>
    <w:rsid w:val="00AD145C"/>
    <w:rsid w:val="00AD7515"/>
    <w:rsid w:val="00B3076B"/>
    <w:rsid w:val="00B8663C"/>
    <w:rsid w:val="00BE4970"/>
    <w:rsid w:val="00C11318"/>
    <w:rsid w:val="00C656BF"/>
    <w:rsid w:val="00C83994"/>
    <w:rsid w:val="00CA5AAD"/>
    <w:rsid w:val="00CB3FC2"/>
    <w:rsid w:val="00CD052E"/>
    <w:rsid w:val="00D4146C"/>
    <w:rsid w:val="00E15E18"/>
    <w:rsid w:val="00E47267"/>
    <w:rsid w:val="00EF04A7"/>
    <w:rsid w:val="00F42500"/>
    <w:rsid w:val="00F65211"/>
    <w:rsid w:val="00F7479E"/>
    <w:rsid w:val="00FA55A5"/>
    <w:rsid w:val="00FF4F06"/>
    <w:rsid w:val="0141379C"/>
    <w:rsid w:val="01572489"/>
    <w:rsid w:val="023A29C7"/>
    <w:rsid w:val="02586C7C"/>
    <w:rsid w:val="035B7317"/>
    <w:rsid w:val="03903984"/>
    <w:rsid w:val="04A537A1"/>
    <w:rsid w:val="04D628B2"/>
    <w:rsid w:val="04D6437B"/>
    <w:rsid w:val="0507192F"/>
    <w:rsid w:val="053B226F"/>
    <w:rsid w:val="054602C9"/>
    <w:rsid w:val="06002C43"/>
    <w:rsid w:val="07015C02"/>
    <w:rsid w:val="07B332B2"/>
    <w:rsid w:val="07C02163"/>
    <w:rsid w:val="08101412"/>
    <w:rsid w:val="08527448"/>
    <w:rsid w:val="087C2200"/>
    <w:rsid w:val="08A31447"/>
    <w:rsid w:val="09CA542C"/>
    <w:rsid w:val="09F84688"/>
    <w:rsid w:val="0A290A0E"/>
    <w:rsid w:val="0AE628F6"/>
    <w:rsid w:val="0B354D92"/>
    <w:rsid w:val="0C17723B"/>
    <w:rsid w:val="0C264A9F"/>
    <w:rsid w:val="0C7638EA"/>
    <w:rsid w:val="0CE13C0E"/>
    <w:rsid w:val="0CEC79F0"/>
    <w:rsid w:val="0D346115"/>
    <w:rsid w:val="0DA27E6B"/>
    <w:rsid w:val="0DAC0666"/>
    <w:rsid w:val="0DCB0C13"/>
    <w:rsid w:val="0DDF54A4"/>
    <w:rsid w:val="0E0777DA"/>
    <w:rsid w:val="0E2D6AAB"/>
    <w:rsid w:val="0E370198"/>
    <w:rsid w:val="0E762342"/>
    <w:rsid w:val="0E823D71"/>
    <w:rsid w:val="0EE64C56"/>
    <w:rsid w:val="0F164D87"/>
    <w:rsid w:val="0FAD2359"/>
    <w:rsid w:val="0FE70750"/>
    <w:rsid w:val="0FFF2AE3"/>
    <w:rsid w:val="106A3771"/>
    <w:rsid w:val="10BC128B"/>
    <w:rsid w:val="1165566D"/>
    <w:rsid w:val="117A0A25"/>
    <w:rsid w:val="1184546F"/>
    <w:rsid w:val="11907962"/>
    <w:rsid w:val="11EA448B"/>
    <w:rsid w:val="12065A22"/>
    <w:rsid w:val="121D5045"/>
    <w:rsid w:val="125C4427"/>
    <w:rsid w:val="126352F8"/>
    <w:rsid w:val="12FB6D38"/>
    <w:rsid w:val="13702473"/>
    <w:rsid w:val="13951D37"/>
    <w:rsid w:val="139C0FA5"/>
    <w:rsid w:val="14C447BC"/>
    <w:rsid w:val="14CC37B9"/>
    <w:rsid w:val="14CD3C5A"/>
    <w:rsid w:val="157A6306"/>
    <w:rsid w:val="15834682"/>
    <w:rsid w:val="15C37AEB"/>
    <w:rsid w:val="16054376"/>
    <w:rsid w:val="16F914E3"/>
    <w:rsid w:val="17297A1F"/>
    <w:rsid w:val="178C31AD"/>
    <w:rsid w:val="189D14D9"/>
    <w:rsid w:val="18C075F4"/>
    <w:rsid w:val="18ED3755"/>
    <w:rsid w:val="193E5A6E"/>
    <w:rsid w:val="19537669"/>
    <w:rsid w:val="1960677D"/>
    <w:rsid w:val="1984458E"/>
    <w:rsid w:val="19DE4BD8"/>
    <w:rsid w:val="1A156D76"/>
    <w:rsid w:val="1A4F3845"/>
    <w:rsid w:val="1A6B3007"/>
    <w:rsid w:val="1AAD4BDA"/>
    <w:rsid w:val="1AB53871"/>
    <w:rsid w:val="1AB944B2"/>
    <w:rsid w:val="1AF00CE9"/>
    <w:rsid w:val="1B3E79EE"/>
    <w:rsid w:val="1C0549E3"/>
    <w:rsid w:val="1CD9194C"/>
    <w:rsid w:val="1CDC6B86"/>
    <w:rsid w:val="1CE60476"/>
    <w:rsid w:val="1D2357B3"/>
    <w:rsid w:val="1D8978EE"/>
    <w:rsid w:val="1DA0254C"/>
    <w:rsid w:val="1E3D43B5"/>
    <w:rsid w:val="1E646784"/>
    <w:rsid w:val="1E844E24"/>
    <w:rsid w:val="1EFA59D3"/>
    <w:rsid w:val="1F037C33"/>
    <w:rsid w:val="1F8A1B98"/>
    <w:rsid w:val="1FAE0808"/>
    <w:rsid w:val="1FBA06F9"/>
    <w:rsid w:val="1FC0452C"/>
    <w:rsid w:val="1FC3112A"/>
    <w:rsid w:val="1FDC7965"/>
    <w:rsid w:val="202B5C03"/>
    <w:rsid w:val="204443F3"/>
    <w:rsid w:val="20E54640"/>
    <w:rsid w:val="21000E6D"/>
    <w:rsid w:val="2123688F"/>
    <w:rsid w:val="21255B34"/>
    <w:rsid w:val="2175526C"/>
    <w:rsid w:val="21AE6EAD"/>
    <w:rsid w:val="220636C9"/>
    <w:rsid w:val="22114E93"/>
    <w:rsid w:val="2269434D"/>
    <w:rsid w:val="22A6579B"/>
    <w:rsid w:val="22B24B09"/>
    <w:rsid w:val="22BF68FE"/>
    <w:rsid w:val="23CC0F44"/>
    <w:rsid w:val="245F2BBD"/>
    <w:rsid w:val="24E345A6"/>
    <w:rsid w:val="24FD081C"/>
    <w:rsid w:val="25452C1C"/>
    <w:rsid w:val="254775BE"/>
    <w:rsid w:val="258A5E35"/>
    <w:rsid w:val="25D86CE3"/>
    <w:rsid w:val="261C37E8"/>
    <w:rsid w:val="262B67EB"/>
    <w:rsid w:val="269F0287"/>
    <w:rsid w:val="26FF282D"/>
    <w:rsid w:val="272071D9"/>
    <w:rsid w:val="276C16D8"/>
    <w:rsid w:val="28031DFF"/>
    <w:rsid w:val="28850DAF"/>
    <w:rsid w:val="28B223C0"/>
    <w:rsid w:val="291200C2"/>
    <w:rsid w:val="29234BFB"/>
    <w:rsid w:val="296868BE"/>
    <w:rsid w:val="29776318"/>
    <w:rsid w:val="2A8049CB"/>
    <w:rsid w:val="2BAA3C26"/>
    <w:rsid w:val="2BB4034F"/>
    <w:rsid w:val="2D582B09"/>
    <w:rsid w:val="2DC02CAD"/>
    <w:rsid w:val="2DEF2D85"/>
    <w:rsid w:val="2E2F610B"/>
    <w:rsid w:val="2E5A78F7"/>
    <w:rsid w:val="2EBE3B65"/>
    <w:rsid w:val="2F7B201C"/>
    <w:rsid w:val="2F913F62"/>
    <w:rsid w:val="310D18DE"/>
    <w:rsid w:val="31911A3C"/>
    <w:rsid w:val="31924B3E"/>
    <w:rsid w:val="32A6059B"/>
    <w:rsid w:val="32BF5675"/>
    <w:rsid w:val="32C77198"/>
    <w:rsid w:val="32C81C4A"/>
    <w:rsid w:val="333113F6"/>
    <w:rsid w:val="33B45CDD"/>
    <w:rsid w:val="33E70751"/>
    <w:rsid w:val="33F279C9"/>
    <w:rsid w:val="342A1781"/>
    <w:rsid w:val="34381F14"/>
    <w:rsid w:val="346B298C"/>
    <w:rsid w:val="34755ECE"/>
    <w:rsid w:val="349F6939"/>
    <w:rsid w:val="34C949D6"/>
    <w:rsid w:val="34F755A7"/>
    <w:rsid w:val="35293B03"/>
    <w:rsid w:val="35A16FBE"/>
    <w:rsid w:val="35BA6398"/>
    <w:rsid w:val="35EC5C63"/>
    <w:rsid w:val="36044911"/>
    <w:rsid w:val="365D3198"/>
    <w:rsid w:val="36E93054"/>
    <w:rsid w:val="373D5744"/>
    <w:rsid w:val="37866EED"/>
    <w:rsid w:val="37961EAE"/>
    <w:rsid w:val="37C1464E"/>
    <w:rsid w:val="37C32DC7"/>
    <w:rsid w:val="38311CF4"/>
    <w:rsid w:val="396C5440"/>
    <w:rsid w:val="39DC1A88"/>
    <w:rsid w:val="3A2C52F8"/>
    <w:rsid w:val="3A5030C3"/>
    <w:rsid w:val="3B5B6185"/>
    <w:rsid w:val="3B681C4A"/>
    <w:rsid w:val="3BEE6465"/>
    <w:rsid w:val="3C2506B9"/>
    <w:rsid w:val="3C481117"/>
    <w:rsid w:val="3CC5243A"/>
    <w:rsid w:val="3D2727D3"/>
    <w:rsid w:val="3D513942"/>
    <w:rsid w:val="3D5D1DBB"/>
    <w:rsid w:val="3DDD580C"/>
    <w:rsid w:val="3DE73CFA"/>
    <w:rsid w:val="3DFB38C5"/>
    <w:rsid w:val="3E606345"/>
    <w:rsid w:val="3EE1226B"/>
    <w:rsid w:val="40082355"/>
    <w:rsid w:val="408D1D04"/>
    <w:rsid w:val="40BA4DB0"/>
    <w:rsid w:val="40F01A89"/>
    <w:rsid w:val="41210059"/>
    <w:rsid w:val="41233BF4"/>
    <w:rsid w:val="415D3356"/>
    <w:rsid w:val="421B4903"/>
    <w:rsid w:val="42240F53"/>
    <w:rsid w:val="422C5BC1"/>
    <w:rsid w:val="42E113E1"/>
    <w:rsid w:val="43E0231C"/>
    <w:rsid w:val="444628B0"/>
    <w:rsid w:val="4460071A"/>
    <w:rsid w:val="44757F5F"/>
    <w:rsid w:val="449E3609"/>
    <w:rsid w:val="44CB18BA"/>
    <w:rsid w:val="44D00711"/>
    <w:rsid w:val="45D113B7"/>
    <w:rsid w:val="45D77D8A"/>
    <w:rsid w:val="46216684"/>
    <w:rsid w:val="465D526B"/>
    <w:rsid w:val="46771545"/>
    <w:rsid w:val="477E6C71"/>
    <w:rsid w:val="47A8084F"/>
    <w:rsid w:val="48D839E1"/>
    <w:rsid w:val="490001DE"/>
    <w:rsid w:val="490C7E10"/>
    <w:rsid w:val="49501E9D"/>
    <w:rsid w:val="49A6329F"/>
    <w:rsid w:val="4A4E4F5F"/>
    <w:rsid w:val="4B190AF9"/>
    <w:rsid w:val="4B295164"/>
    <w:rsid w:val="4B336E94"/>
    <w:rsid w:val="4B821212"/>
    <w:rsid w:val="4BEC6A57"/>
    <w:rsid w:val="4BFF20AD"/>
    <w:rsid w:val="4C354DB6"/>
    <w:rsid w:val="4D704701"/>
    <w:rsid w:val="4D77470D"/>
    <w:rsid w:val="4E2059FC"/>
    <w:rsid w:val="4EA00FFB"/>
    <w:rsid w:val="4EE42A91"/>
    <w:rsid w:val="4FF23AA6"/>
    <w:rsid w:val="50B21D2E"/>
    <w:rsid w:val="50C6555A"/>
    <w:rsid w:val="50F70163"/>
    <w:rsid w:val="515C5AD4"/>
    <w:rsid w:val="5197079B"/>
    <w:rsid w:val="522F746E"/>
    <w:rsid w:val="526F4C0A"/>
    <w:rsid w:val="527279F5"/>
    <w:rsid w:val="52A96F5C"/>
    <w:rsid w:val="52CE43C6"/>
    <w:rsid w:val="53000DF9"/>
    <w:rsid w:val="530F07D3"/>
    <w:rsid w:val="534E439B"/>
    <w:rsid w:val="53B35CD5"/>
    <w:rsid w:val="541170FC"/>
    <w:rsid w:val="556541E4"/>
    <w:rsid w:val="55C96210"/>
    <w:rsid w:val="55DA0800"/>
    <w:rsid w:val="55F443EF"/>
    <w:rsid w:val="562B3C05"/>
    <w:rsid w:val="565356DB"/>
    <w:rsid w:val="568F6683"/>
    <w:rsid w:val="56BC3A85"/>
    <w:rsid w:val="57E77C3F"/>
    <w:rsid w:val="58AF26A8"/>
    <w:rsid w:val="59114FB0"/>
    <w:rsid w:val="59121E45"/>
    <w:rsid w:val="593531E0"/>
    <w:rsid w:val="5A1C6E3B"/>
    <w:rsid w:val="5A7C5AB7"/>
    <w:rsid w:val="5AC24977"/>
    <w:rsid w:val="5B1B49AC"/>
    <w:rsid w:val="5BC002A7"/>
    <w:rsid w:val="5BC30EFB"/>
    <w:rsid w:val="5CFC527F"/>
    <w:rsid w:val="5D222A7F"/>
    <w:rsid w:val="5DA40DA0"/>
    <w:rsid w:val="5DEE66A3"/>
    <w:rsid w:val="5E4E4EC8"/>
    <w:rsid w:val="5E667870"/>
    <w:rsid w:val="5E926239"/>
    <w:rsid w:val="5EA50009"/>
    <w:rsid w:val="5EC732C5"/>
    <w:rsid w:val="5ED449A6"/>
    <w:rsid w:val="5F1C7419"/>
    <w:rsid w:val="5F503301"/>
    <w:rsid w:val="5FE7710F"/>
    <w:rsid w:val="602B3B36"/>
    <w:rsid w:val="60874142"/>
    <w:rsid w:val="60B573EC"/>
    <w:rsid w:val="60C761C3"/>
    <w:rsid w:val="61816F34"/>
    <w:rsid w:val="630B6BBF"/>
    <w:rsid w:val="63395122"/>
    <w:rsid w:val="63AA1991"/>
    <w:rsid w:val="63C250AF"/>
    <w:rsid w:val="63FF151B"/>
    <w:rsid w:val="640E12D6"/>
    <w:rsid w:val="652E57A8"/>
    <w:rsid w:val="653D0D6E"/>
    <w:rsid w:val="660D5DFB"/>
    <w:rsid w:val="67100319"/>
    <w:rsid w:val="687057B8"/>
    <w:rsid w:val="687F0E2B"/>
    <w:rsid w:val="691C2ED9"/>
    <w:rsid w:val="692C576A"/>
    <w:rsid w:val="69377594"/>
    <w:rsid w:val="6970393A"/>
    <w:rsid w:val="69B3797F"/>
    <w:rsid w:val="69C7507B"/>
    <w:rsid w:val="6A2C09A8"/>
    <w:rsid w:val="6AC731CC"/>
    <w:rsid w:val="6BBF44D0"/>
    <w:rsid w:val="6BFC6414"/>
    <w:rsid w:val="6C0137AE"/>
    <w:rsid w:val="6C0656FA"/>
    <w:rsid w:val="6C542DC7"/>
    <w:rsid w:val="6CD26866"/>
    <w:rsid w:val="6D1779A2"/>
    <w:rsid w:val="6E064EDC"/>
    <w:rsid w:val="6E611AA6"/>
    <w:rsid w:val="6E6209F8"/>
    <w:rsid w:val="6E917A19"/>
    <w:rsid w:val="6EB4620F"/>
    <w:rsid w:val="6EEC07E9"/>
    <w:rsid w:val="6F282E41"/>
    <w:rsid w:val="6F2D51AC"/>
    <w:rsid w:val="6F300141"/>
    <w:rsid w:val="6F3709BE"/>
    <w:rsid w:val="700437BA"/>
    <w:rsid w:val="70342DC3"/>
    <w:rsid w:val="706E7503"/>
    <w:rsid w:val="715949AF"/>
    <w:rsid w:val="71943B66"/>
    <w:rsid w:val="722E1C16"/>
    <w:rsid w:val="723B1F15"/>
    <w:rsid w:val="72867AFA"/>
    <w:rsid w:val="734E03CA"/>
    <w:rsid w:val="736B7EE9"/>
    <w:rsid w:val="737C756A"/>
    <w:rsid w:val="73997AD0"/>
    <w:rsid w:val="742E3FAD"/>
    <w:rsid w:val="74DC09BE"/>
    <w:rsid w:val="7557032F"/>
    <w:rsid w:val="75763C2B"/>
    <w:rsid w:val="757E637B"/>
    <w:rsid w:val="75AB184E"/>
    <w:rsid w:val="75D57876"/>
    <w:rsid w:val="75EF163B"/>
    <w:rsid w:val="76AF5B4C"/>
    <w:rsid w:val="76BA0529"/>
    <w:rsid w:val="76FB61DD"/>
    <w:rsid w:val="7735543C"/>
    <w:rsid w:val="77363722"/>
    <w:rsid w:val="77774A77"/>
    <w:rsid w:val="77AC4801"/>
    <w:rsid w:val="77BA3253"/>
    <w:rsid w:val="78D131BA"/>
    <w:rsid w:val="78E00D85"/>
    <w:rsid w:val="78F07A68"/>
    <w:rsid w:val="791A5957"/>
    <w:rsid w:val="79EA5423"/>
    <w:rsid w:val="79EE7D06"/>
    <w:rsid w:val="7A30262C"/>
    <w:rsid w:val="7A5E5C19"/>
    <w:rsid w:val="7A872CBC"/>
    <w:rsid w:val="7B954706"/>
    <w:rsid w:val="7C074569"/>
    <w:rsid w:val="7CA04FC7"/>
    <w:rsid w:val="7CAB26BF"/>
    <w:rsid w:val="7D2B221F"/>
    <w:rsid w:val="7D2E75B6"/>
    <w:rsid w:val="7D30238A"/>
    <w:rsid w:val="7D5712FC"/>
    <w:rsid w:val="7D700F27"/>
    <w:rsid w:val="7D861BD2"/>
    <w:rsid w:val="7E5C48DD"/>
    <w:rsid w:val="7E7D6486"/>
    <w:rsid w:val="7F91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4级标题"/>
    <w:basedOn w:val="3"/>
    <w:next w:val="1"/>
    <w:qFormat/>
    <w:uiPriority w:val="0"/>
    <w:pPr>
      <w:numPr>
        <w:ilvl w:val="0"/>
        <w:numId w:val="1"/>
      </w:numPr>
      <w:spacing w:before="0" w:after="50" w:line="360" w:lineRule="auto"/>
      <w:jc w:val="left"/>
    </w:pPr>
    <w:rPr>
      <w:rFonts w:eastAsia="宋体"/>
      <w:sz w:val="21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2628</Words>
  <Characters>2700</Characters>
  <Lines>20</Lines>
  <Paragraphs>5</Paragraphs>
  <TotalTime>6</TotalTime>
  <ScaleCrop>false</ScaleCrop>
  <LinksUpToDate>false</LinksUpToDate>
  <CharactersWithSpaces>2779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2026-03-04T07:26:00Z</dcterms:created>
  <dc:creator>Hanlu</dc:creator>
  <cp:lastModifiedBy>Hanlu</cp:lastModifiedBy>
  <dcterms:modified xsi:type="dcterms:W3CDTF">2026-03-11T07:39:46Z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70A762289CAF4913B092A0C41E533B1D_13</vt:lpwstr>
  </property>
  <property fmtid="{D5CDD505-2E9C-101B-9397-08002B2CF9AE}" pid="4" name="KSOTemplateDocerSaveRecord">
    <vt:lpwstr>eyJoZGlkIjoiODkzYjA3MzJiYTRhZWY0YjljYTkzNzY0YjhmM2MyMjkiLCJ1c2VySWQiOiIxMjgzNzcxMTQ4In0=</vt:lpwstr>
  </property>
</Properties>
</file>