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20" w:line="259" w:lineRule="auto"/>
        <w:jc w:val="left"/>
        <w:rPr>
          <w:rFonts w:ascii="Calibri" w:hAnsi="Calibri" w:eastAsia="Times New Roman" w:cs="Calibri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4"/>
        </w:rPr>
        <w:t>证券代码：</w:t>
      </w:r>
      <w:r>
        <w:rPr>
          <w:rFonts w:ascii="宋体" w:hAnsi="宋体" w:eastAsia="宋体" w:cs="宋体"/>
          <w:color w:val="000000"/>
          <w:sz w:val="24"/>
        </w:rPr>
        <w:t xml:space="preserve">688328                                    </w:t>
      </w:r>
      <w:r>
        <w:rPr>
          <w:rFonts w:hint="eastAsia" w:ascii="宋体" w:hAnsi="宋体" w:eastAsia="宋体" w:cs="宋体"/>
          <w:color w:val="000000"/>
          <w:sz w:val="24"/>
        </w:rPr>
        <w:t>证券简称：深科达</w:t>
      </w:r>
      <w:r>
        <w:rPr>
          <w:rFonts w:ascii="宋体" w:hAnsi="宋体" w:eastAsia="宋体" w:cs="宋体"/>
          <w:color w:val="000000"/>
          <w:sz w:val="24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251" w:beforeLines="80" w:after="0" w:line="260" w:lineRule="auto"/>
        <w:ind w:firstLine="1606" w:firstLineChars="500"/>
        <w:jc w:val="left"/>
        <w:textAlignment w:val="auto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深圳市深科达智能装备股份有限公司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firstLine="2570" w:firstLineChars="800"/>
        <w:jc w:val="left"/>
        <w:textAlignment w:val="auto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投资者关系活动记录表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0"/>
        <w:jc w:val="right"/>
        <w:textAlignment w:val="auto"/>
        <w:rPr>
          <w:rFonts w:ascii="Calibri" w:hAnsi="Calibri" w:eastAsia="Times New Roman" w:cs="Calibri"/>
          <w:color w:val="000000"/>
          <w:sz w:val="20"/>
          <w:szCs w:val="20"/>
        </w:rPr>
      </w:pPr>
    </w:p>
    <w:tbl>
      <w:tblPr>
        <w:tblStyle w:val="10"/>
        <w:tblW w:w="9976" w:type="dxa"/>
        <w:tblInd w:w="-743" w:type="dxa"/>
        <w:tblLayout w:type="fixed"/>
        <w:tblCellMar>
          <w:top w:w="0" w:type="dxa"/>
          <w:left w:w="108" w:type="dxa"/>
          <w:bottom w:w="41" w:type="dxa"/>
          <w:right w:w="0" w:type="dxa"/>
        </w:tblCellMar>
      </w:tblPr>
      <w:tblGrid>
        <w:gridCol w:w="2039"/>
        <w:gridCol w:w="7937"/>
      </w:tblGrid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413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right="105" w:rightChars="50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投资者关系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0" w:leftChars="0" w:right="105" w:rightChars="50"/>
              <w:jc w:val="center"/>
              <w:textAlignment w:val="auto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分析师会议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□业绩说明会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■路演活动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■现场参观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一对一沟通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1417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 w:right="105" w:right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bookmarkStart w:id="0" w:name="OLE_LINK6"/>
            <w:r>
              <w:rPr>
                <w:rFonts w:ascii="宋体" w:hAnsi="宋体" w:eastAsia="宋体" w:cs="宋体"/>
                <w:sz w:val="24"/>
                <w:szCs w:val="24"/>
              </w:rPr>
              <w:t>华福证券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华创证券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财信证券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平安基金  鹏华基金  </w:t>
            </w:r>
            <w:bookmarkStart w:id="1" w:name="OLE_LINK7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永赢基金</w:t>
            </w:r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浦银安盛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基金  前海开源基金  </w:t>
            </w:r>
            <w:r>
              <w:rPr>
                <w:rFonts w:ascii="宋体" w:hAnsi="宋体" w:eastAsia="宋体" w:cs="宋体"/>
                <w:sz w:val="24"/>
                <w:szCs w:val="24"/>
              </w:rPr>
              <w:t>民生加银基金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诺安基金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bookmarkStart w:id="2" w:name="OLE_LINK1"/>
            <w:r>
              <w:rPr>
                <w:rFonts w:ascii="宋体" w:hAnsi="宋体" w:eastAsia="宋体" w:cs="宋体"/>
                <w:sz w:val="24"/>
                <w:szCs w:val="24"/>
              </w:rPr>
              <w:t>融通基金</w:t>
            </w:r>
            <w:bookmarkEnd w:id="2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安信基金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宝盈基金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中融基金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宏利基金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德</w:t>
            </w:r>
            <w:r>
              <w:rPr>
                <w:rFonts w:ascii="宋体" w:hAnsi="宋体" w:eastAsia="宋体" w:cs="宋体"/>
                <w:sz w:val="24"/>
                <w:szCs w:val="24"/>
              </w:rPr>
              <w:t>邦基金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bookmarkStart w:id="3" w:name="OLE_LINK8"/>
            <w:r>
              <w:rPr>
                <w:rFonts w:ascii="宋体" w:hAnsi="宋体" w:eastAsia="宋体" w:cs="宋体"/>
                <w:sz w:val="24"/>
                <w:szCs w:val="24"/>
              </w:rPr>
              <w:t>招商汇金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bookmarkEnd w:id="3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创华投资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和信投资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54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 w:right="0" w:rightChars="0"/>
              <w:jc w:val="center"/>
              <w:textAlignment w:val="auto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 w:right="0" w:rightChars="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 w:cs="Calibri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6年3月1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-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ascii="宋体" w:hAnsi="宋体" w:eastAsia="宋体" w:cs="Calibri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3</w:t>
            </w:r>
            <w:r>
              <w:rPr>
                <w:rFonts w:ascii="宋体" w:hAnsi="宋体" w:eastAsia="宋体" w:cs="Calibri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宋体" w:cs="Calibri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54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 w:right="0" w:rightChars="0"/>
              <w:jc w:val="center"/>
              <w:textAlignment w:val="auto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 w:right="0" w:rightChars="0"/>
              <w:textAlignment w:val="auto"/>
              <w:rPr>
                <w:rFonts w:hint="default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公司会议室、长城证券策略会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54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 w:right="0" w:rightChars="0"/>
              <w:jc w:val="center"/>
              <w:textAlignment w:val="auto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 w:right="0" w:rightChars="0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董事会秘书：郑亦平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80" w:line="360" w:lineRule="auto"/>
              <w:ind w:right="105" w:rightChars="5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1、公司主要业务都有哪些？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80" w:line="360" w:lineRule="auto"/>
              <w:ind w:right="105" w:rightChars="5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答：公司是一家专业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智能装备及核心部件制造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商，拥有科学完整的研发、生产和销售运营体系，能够为客户提供相关自动化设备的整体解决方案。公司主要从事半导体类设备、平板显示模组类设备、以及智能装备关键零部件的研发、生产和销售。公司产品广泛应用于半导体封测、平板显示器件（显示模组、触控模组、指纹识别模组）的自动化组装和智能化检测，并向智能装备关键零部件等领域进行延伸。​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80" w:line="360" w:lineRule="auto"/>
              <w:ind w:right="105" w:rightChars="5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公司目前半导体设备业务的进展？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</w:t>
            </w:r>
            <w:r>
              <w:rPr>
                <w:rFonts w:ascii="宋体" w:hAnsi="宋体" w:eastAsia="宋体" w:cs="宋体"/>
                <w:sz w:val="24"/>
                <w:szCs w:val="24"/>
              </w:rPr>
              <w:t>：随着AI算力需求的提升，半导体设备行业景气度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持续</w:t>
            </w:r>
            <w:r>
              <w:rPr>
                <w:rFonts w:ascii="宋体" w:hAnsi="宋体" w:eastAsia="宋体" w:cs="宋体"/>
                <w:sz w:val="24"/>
                <w:szCs w:val="24"/>
              </w:rPr>
              <w:t>恢复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公司产品方面，转塔式分选机不断升级提高产品综合竞争力，持续保持与国内外半导体封测厂商以及IDM企业的良好合作；同时，平移分选机去年也取得了良好的市场开拓进展，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得到</w:t>
            </w:r>
            <w:r>
              <w:rPr>
                <w:rFonts w:ascii="宋体" w:hAnsi="宋体" w:eastAsia="宋体" w:cs="宋体"/>
                <w:sz w:val="24"/>
                <w:szCs w:val="24"/>
              </w:rPr>
              <w:t>客户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的</w:t>
            </w:r>
            <w:r>
              <w:rPr>
                <w:rFonts w:ascii="宋体" w:hAnsi="宋体" w:eastAsia="宋体" w:cs="宋体"/>
                <w:sz w:val="24"/>
                <w:szCs w:val="24"/>
              </w:rPr>
              <w:t>认可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并获得</w:t>
            </w:r>
            <w:r>
              <w:rPr>
                <w:rFonts w:ascii="宋体" w:hAnsi="宋体" w:eastAsia="宋体" w:cs="宋体"/>
                <w:sz w:val="24"/>
                <w:szCs w:val="24"/>
              </w:rPr>
              <w:t>批量订单。</w:t>
            </w:r>
            <w:bookmarkStart w:id="4" w:name="OLE_LINK3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80" w:line="360" w:lineRule="auto"/>
              <w:ind w:right="105" w:rightChars="5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sz w:val="24"/>
                <w:szCs w:val="24"/>
              </w:rPr>
              <w:t>、</w:t>
            </w:r>
            <w:bookmarkStart w:id="5" w:name="OLE_LINK2"/>
            <w:r>
              <w:rPr>
                <w:rFonts w:ascii="宋体" w:hAnsi="宋体" w:eastAsia="宋体" w:cs="宋体"/>
                <w:sz w:val="24"/>
                <w:szCs w:val="24"/>
              </w:rPr>
              <w:t>公司在存储设备市场有布局吗？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</w:t>
            </w:r>
            <w:r>
              <w:rPr>
                <w:rFonts w:ascii="宋体" w:hAnsi="宋体" w:eastAsia="宋体" w:cs="宋体"/>
                <w:sz w:val="24"/>
                <w:szCs w:val="24"/>
              </w:rPr>
              <w:t>：公司在存储设备市场已有明确布局。目前公司已与北美知名存储厂商建立合作，为其提供存储 AOI 检测设备、高精度芯片贴合设备、磁头测试产线自动化设备等多款设备</w:t>
            </w:r>
            <w:bookmarkEnd w:id="5"/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目前订单金额相对公司整体的营收金额占比较小。</w:t>
            </w:r>
            <w:r>
              <w:rPr>
                <w:rFonts w:ascii="宋体" w:hAnsi="宋体" w:eastAsia="宋体" w:cs="宋体"/>
                <w:sz w:val="24"/>
                <w:szCs w:val="24"/>
              </w:rPr>
              <w:t>AI是推动存储市场需求增长的核心动力，未来存储生产线扩产需求将持续提升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公司将结合自身在精密贴合及半导体设备领域的技术积累，紧抓存储市场的发展机遇。</w:t>
            </w:r>
            <w:bookmarkEnd w:id="4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80" w:line="360" w:lineRule="auto"/>
              <w:ind w:right="105" w:right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2025年整体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的经营情况？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80" w:line="360" w:lineRule="auto"/>
              <w:ind w:right="105" w:rightChars="50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根据公司2026年2月28日披露的业绩快报数据：2025年公司实现营业收入67,268.71万元，与上年同期相比增长32.14%；实现营业利润4,037.90万元，实现利润总额3,939.94万元，实现归属于母公司所有者的净利润2,502.01万元，实现归属于母公司所有者的扣除非经常性损益的净利润2,223.50万元，与上年同期相比，实现扭亏为盈。以上数据为公司财务初步核算结果，具体以经审计的2025年年报为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80" w:line="360" w:lineRule="auto"/>
              <w:ind w:right="105" w:right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6" w:name="OLE_LINK4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5、公司2025年实现扭亏为盈的原因？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80" w:line="360" w:lineRule="auto"/>
              <w:ind w:right="105" w:rightChars="5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：公司2025年实现扭亏为盈，主要得益于行业需求回暖与经营质量提升。随着半导体及消费电子行业逐步回暖，公司紧抓市场机遇，积极开拓市场，订单及营业收入实现增长；同时，公司深化与优质客户合作，产品毛利率较上年有所改善；此外，</w:t>
            </w:r>
            <w:bookmarkStart w:id="7" w:name="OLE_LINK9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公司加强对应收账款管理，</w:t>
            </w:r>
            <w:bookmarkEnd w:id="7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回款情况好转，信用减值损失计提相应减少，多重因素共同推动公司2025年度实现扭亏为盈。</w:t>
            </w:r>
            <w:bookmarkEnd w:id="6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80" w:line="360" w:lineRule="auto"/>
              <w:ind w:right="105" w:rightChars="50"/>
              <w:jc w:val="left"/>
              <w:textAlignment w:val="auto"/>
              <w:rPr>
                <w:rFonts w:ascii="宋体" w:hAnsi="宋体" w:eastAsia="宋体" w:cs="宋体"/>
                <w:sz w:val="24"/>
                <w:szCs w:val="24"/>
              </w:rPr>
            </w:pPr>
            <w:bookmarkStart w:id="8" w:name="OLE_LINK5"/>
            <w:bookmarkStart w:id="9" w:name="_GoBack"/>
            <w:bookmarkEnd w:id="9"/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6、公司近期</w:t>
            </w:r>
            <w:r>
              <w:rPr>
                <w:rFonts w:ascii="宋体" w:hAnsi="宋体" w:eastAsia="宋体" w:cs="宋体"/>
                <w:sz w:val="24"/>
                <w:szCs w:val="24"/>
              </w:rPr>
              <w:t>有再融资需求吗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</w:t>
            </w:r>
            <w:r>
              <w:rPr>
                <w:rFonts w:ascii="宋体" w:hAnsi="宋体" w:eastAsia="宋体" w:cs="宋体"/>
                <w:sz w:val="24"/>
                <w:szCs w:val="24"/>
              </w:rPr>
              <w:t>：公司始终关注产能利用率并及时持续了解下游客户需求，不断提高智能装备国产替代化水平，未来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公司</w:t>
            </w:r>
            <w:r>
              <w:rPr>
                <w:rFonts w:ascii="宋体" w:hAnsi="宋体" w:eastAsia="宋体" w:cs="宋体"/>
                <w:sz w:val="24"/>
                <w:szCs w:val="24"/>
              </w:rPr>
              <w:t>将根据实际经营发展情况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审慎</w:t>
            </w:r>
            <w:r>
              <w:rPr>
                <w:rFonts w:ascii="宋体" w:hAnsi="宋体" w:eastAsia="宋体" w:cs="宋体"/>
                <w:sz w:val="24"/>
                <w:szCs w:val="24"/>
              </w:rPr>
              <w:t>判定是否进行再融资，目前暂无相关计划。</w:t>
            </w:r>
            <w:bookmarkEnd w:id="8"/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105" w:leftChars="50" w:right="105" w:rightChars="50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宋体" w:hAnsi="宋体" w:eastAsia="宋体" w:cs="宋体"/>
        <w:sz w:val="22"/>
        <w:szCs w:val="22"/>
        <w:lang w:val="en-US" w:eastAsia="zh-CN"/>
      </w:rPr>
    </w:pPr>
    <w:r>
      <w:rPr>
        <w:rFonts w:hint="eastAsia" w:ascii="宋体" w:hAnsi="宋体" w:eastAsia="宋体" w:cs="宋体"/>
        <w:sz w:val="22"/>
        <w:szCs w:val="22"/>
      </w:rPr>
      <w:t>投资者关系调研记录表2026年3月</w:t>
    </w:r>
    <w:r>
      <w:rPr>
        <w:rFonts w:hint="eastAsia" w:ascii="宋体" w:hAnsi="宋体" w:eastAsia="宋体" w:cs="宋体"/>
        <w:sz w:val="22"/>
        <w:szCs w:val="22"/>
        <w:lang w:val="en-US" w:eastAsia="zh-CN"/>
      </w:rPr>
      <w:t>11日-3月12日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238BC"/>
    <w:multiLevelType w:val="singleLevel"/>
    <w:tmpl w:val="23E238BC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3A"/>
    <w:rsid w:val="00007BB1"/>
    <w:rsid w:val="00024DA0"/>
    <w:rsid w:val="0003789B"/>
    <w:rsid w:val="00045150"/>
    <w:rsid w:val="0005228C"/>
    <w:rsid w:val="00066488"/>
    <w:rsid w:val="000674BC"/>
    <w:rsid w:val="000911B1"/>
    <w:rsid w:val="000B022D"/>
    <w:rsid w:val="000B4407"/>
    <w:rsid w:val="000C66AC"/>
    <w:rsid w:val="000C7ECB"/>
    <w:rsid w:val="000E3444"/>
    <w:rsid w:val="000F2088"/>
    <w:rsid w:val="000F68A3"/>
    <w:rsid w:val="000F7B15"/>
    <w:rsid w:val="00111A9F"/>
    <w:rsid w:val="001218C5"/>
    <w:rsid w:val="001268B5"/>
    <w:rsid w:val="00127CFF"/>
    <w:rsid w:val="00141788"/>
    <w:rsid w:val="001618D4"/>
    <w:rsid w:val="00172897"/>
    <w:rsid w:val="00174135"/>
    <w:rsid w:val="001762DD"/>
    <w:rsid w:val="001770C5"/>
    <w:rsid w:val="001B4BAE"/>
    <w:rsid w:val="002149F8"/>
    <w:rsid w:val="002153C4"/>
    <w:rsid w:val="00215CCC"/>
    <w:rsid w:val="002169BA"/>
    <w:rsid w:val="00227609"/>
    <w:rsid w:val="002313D0"/>
    <w:rsid w:val="00234889"/>
    <w:rsid w:val="00240C20"/>
    <w:rsid w:val="002542FB"/>
    <w:rsid w:val="00260363"/>
    <w:rsid w:val="002641F9"/>
    <w:rsid w:val="002735E9"/>
    <w:rsid w:val="002A78AB"/>
    <w:rsid w:val="002E03FF"/>
    <w:rsid w:val="002E25DA"/>
    <w:rsid w:val="002E593A"/>
    <w:rsid w:val="002E6F1D"/>
    <w:rsid w:val="002F2186"/>
    <w:rsid w:val="002F5B4F"/>
    <w:rsid w:val="002F60BE"/>
    <w:rsid w:val="003036D7"/>
    <w:rsid w:val="003244D1"/>
    <w:rsid w:val="00341321"/>
    <w:rsid w:val="00343140"/>
    <w:rsid w:val="00365D58"/>
    <w:rsid w:val="0039175E"/>
    <w:rsid w:val="0039424D"/>
    <w:rsid w:val="003A7B13"/>
    <w:rsid w:val="003D33FB"/>
    <w:rsid w:val="003D68CE"/>
    <w:rsid w:val="00431189"/>
    <w:rsid w:val="00441FB0"/>
    <w:rsid w:val="004645B3"/>
    <w:rsid w:val="00486001"/>
    <w:rsid w:val="004916E5"/>
    <w:rsid w:val="0049390B"/>
    <w:rsid w:val="00495744"/>
    <w:rsid w:val="004B283F"/>
    <w:rsid w:val="004B42CE"/>
    <w:rsid w:val="004B7A64"/>
    <w:rsid w:val="004E2779"/>
    <w:rsid w:val="004F6DDF"/>
    <w:rsid w:val="00540F5E"/>
    <w:rsid w:val="00543E0D"/>
    <w:rsid w:val="00550A02"/>
    <w:rsid w:val="005631F4"/>
    <w:rsid w:val="00571C96"/>
    <w:rsid w:val="005B6EDB"/>
    <w:rsid w:val="005E4214"/>
    <w:rsid w:val="005F75DD"/>
    <w:rsid w:val="00601B64"/>
    <w:rsid w:val="006215DB"/>
    <w:rsid w:val="00626B1E"/>
    <w:rsid w:val="00636A0A"/>
    <w:rsid w:val="0067019D"/>
    <w:rsid w:val="00676756"/>
    <w:rsid w:val="00680FF1"/>
    <w:rsid w:val="00684A28"/>
    <w:rsid w:val="00697E06"/>
    <w:rsid w:val="006A13AE"/>
    <w:rsid w:val="006A7ED1"/>
    <w:rsid w:val="00715EA3"/>
    <w:rsid w:val="00727C4E"/>
    <w:rsid w:val="00745BBF"/>
    <w:rsid w:val="00767398"/>
    <w:rsid w:val="00795411"/>
    <w:rsid w:val="007C3DC5"/>
    <w:rsid w:val="007C50C8"/>
    <w:rsid w:val="007E0A19"/>
    <w:rsid w:val="007E0A94"/>
    <w:rsid w:val="00802E87"/>
    <w:rsid w:val="00812C38"/>
    <w:rsid w:val="0083205D"/>
    <w:rsid w:val="00887839"/>
    <w:rsid w:val="008A2209"/>
    <w:rsid w:val="008A4F1F"/>
    <w:rsid w:val="008A7678"/>
    <w:rsid w:val="008C5CF2"/>
    <w:rsid w:val="009018B3"/>
    <w:rsid w:val="009314BC"/>
    <w:rsid w:val="0093153E"/>
    <w:rsid w:val="00947AB4"/>
    <w:rsid w:val="009709F1"/>
    <w:rsid w:val="009824CC"/>
    <w:rsid w:val="009868E8"/>
    <w:rsid w:val="00993534"/>
    <w:rsid w:val="009B4D09"/>
    <w:rsid w:val="009B60F4"/>
    <w:rsid w:val="009D3469"/>
    <w:rsid w:val="009D6447"/>
    <w:rsid w:val="009E6F6B"/>
    <w:rsid w:val="00A13212"/>
    <w:rsid w:val="00A24ADD"/>
    <w:rsid w:val="00A46D6F"/>
    <w:rsid w:val="00A47956"/>
    <w:rsid w:val="00A706F0"/>
    <w:rsid w:val="00A77639"/>
    <w:rsid w:val="00A94AA5"/>
    <w:rsid w:val="00AA3F47"/>
    <w:rsid w:val="00AB058C"/>
    <w:rsid w:val="00AB3988"/>
    <w:rsid w:val="00AB3C08"/>
    <w:rsid w:val="00AD5482"/>
    <w:rsid w:val="00B13D78"/>
    <w:rsid w:val="00B47FFC"/>
    <w:rsid w:val="00B55D98"/>
    <w:rsid w:val="00B64F28"/>
    <w:rsid w:val="00B65EEF"/>
    <w:rsid w:val="00B91208"/>
    <w:rsid w:val="00BB6EA5"/>
    <w:rsid w:val="00BC6542"/>
    <w:rsid w:val="00BE70D1"/>
    <w:rsid w:val="00C107F4"/>
    <w:rsid w:val="00C128FA"/>
    <w:rsid w:val="00C17808"/>
    <w:rsid w:val="00C63707"/>
    <w:rsid w:val="00C77C49"/>
    <w:rsid w:val="00C81511"/>
    <w:rsid w:val="00C96B6A"/>
    <w:rsid w:val="00CA1F21"/>
    <w:rsid w:val="00CA7C41"/>
    <w:rsid w:val="00CB6E74"/>
    <w:rsid w:val="00CC6EB0"/>
    <w:rsid w:val="00CD73E6"/>
    <w:rsid w:val="00D24A99"/>
    <w:rsid w:val="00D37291"/>
    <w:rsid w:val="00D52FCE"/>
    <w:rsid w:val="00D5453C"/>
    <w:rsid w:val="00D56F6B"/>
    <w:rsid w:val="00D621D0"/>
    <w:rsid w:val="00D77A3C"/>
    <w:rsid w:val="00D805F2"/>
    <w:rsid w:val="00D85CDB"/>
    <w:rsid w:val="00DA135F"/>
    <w:rsid w:val="00DC7844"/>
    <w:rsid w:val="00DE774C"/>
    <w:rsid w:val="00E00937"/>
    <w:rsid w:val="00E01D3A"/>
    <w:rsid w:val="00E14517"/>
    <w:rsid w:val="00E2458D"/>
    <w:rsid w:val="00E51CC7"/>
    <w:rsid w:val="00E54EED"/>
    <w:rsid w:val="00E86C58"/>
    <w:rsid w:val="00EA1183"/>
    <w:rsid w:val="00EA3843"/>
    <w:rsid w:val="00EA6014"/>
    <w:rsid w:val="00EA62D7"/>
    <w:rsid w:val="00EA7E01"/>
    <w:rsid w:val="00EB08A9"/>
    <w:rsid w:val="00EC3F83"/>
    <w:rsid w:val="00EF5ED5"/>
    <w:rsid w:val="00F021A1"/>
    <w:rsid w:val="00F05203"/>
    <w:rsid w:val="00F2068D"/>
    <w:rsid w:val="00F33166"/>
    <w:rsid w:val="00F5285A"/>
    <w:rsid w:val="00F53094"/>
    <w:rsid w:val="00F646A1"/>
    <w:rsid w:val="00F83D1C"/>
    <w:rsid w:val="00FA2E3A"/>
    <w:rsid w:val="00FA2EE7"/>
    <w:rsid w:val="00FB1548"/>
    <w:rsid w:val="00FB4B62"/>
    <w:rsid w:val="00FB7A77"/>
    <w:rsid w:val="00FD032E"/>
    <w:rsid w:val="00FD4A7B"/>
    <w:rsid w:val="00FD5EE0"/>
    <w:rsid w:val="00FE5B9D"/>
    <w:rsid w:val="00FF2F64"/>
    <w:rsid w:val="00FF5EA0"/>
    <w:rsid w:val="01DE7BD1"/>
    <w:rsid w:val="03532CC7"/>
    <w:rsid w:val="070519D5"/>
    <w:rsid w:val="07C97CC4"/>
    <w:rsid w:val="07DC36FC"/>
    <w:rsid w:val="09E65888"/>
    <w:rsid w:val="0A323E60"/>
    <w:rsid w:val="0A461515"/>
    <w:rsid w:val="0A73683D"/>
    <w:rsid w:val="0AA54EA7"/>
    <w:rsid w:val="0ABC594D"/>
    <w:rsid w:val="0AE35C9F"/>
    <w:rsid w:val="0B3E2AFA"/>
    <w:rsid w:val="0CF40F9C"/>
    <w:rsid w:val="10414B64"/>
    <w:rsid w:val="105C374C"/>
    <w:rsid w:val="113119E4"/>
    <w:rsid w:val="113C7F4E"/>
    <w:rsid w:val="127A176A"/>
    <w:rsid w:val="13C6161B"/>
    <w:rsid w:val="17223C2E"/>
    <w:rsid w:val="1771657F"/>
    <w:rsid w:val="181C5855"/>
    <w:rsid w:val="19F8608D"/>
    <w:rsid w:val="1B0F08B9"/>
    <w:rsid w:val="1B8D78ED"/>
    <w:rsid w:val="1E317660"/>
    <w:rsid w:val="1E8A448B"/>
    <w:rsid w:val="1EFC317A"/>
    <w:rsid w:val="1F18241F"/>
    <w:rsid w:val="1FD1227A"/>
    <w:rsid w:val="20973CCB"/>
    <w:rsid w:val="21712768"/>
    <w:rsid w:val="22272BB6"/>
    <w:rsid w:val="22FB7EE6"/>
    <w:rsid w:val="23E74C33"/>
    <w:rsid w:val="2708489C"/>
    <w:rsid w:val="27274D6D"/>
    <w:rsid w:val="287A257C"/>
    <w:rsid w:val="290F0F12"/>
    <w:rsid w:val="296A7C00"/>
    <w:rsid w:val="2B6447C0"/>
    <w:rsid w:val="2C19452D"/>
    <w:rsid w:val="2CA82B03"/>
    <w:rsid w:val="2D042D03"/>
    <w:rsid w:val="2E8C4480"/>
    <w:rsid w:val="2EED3F38"/>
    <w:rsid w:val="2F120648"/>
    <w:rsid w:val="307964C9"/>
    <w:rsid w:val="31B760B7"/>
    <w:rsid w:val="32174E8C"/>
    <w:rsid w:val="33081492"/>
    <w:rsid w:val="34AC20C7"/>
    <w:rsid w:val="37D509E5"/>
    <w:rsid w:val="38E07FB3"/>
    <w:rsid w:val="39845B8C"/>
    <w:rsid w:val="39FA2F00"/>
    <w:rsid w:val="3AF95225"/>
    <w:rsid w:val="3B586951"/>
    <w:rsid w:val="3CB5713E"/>
    <w:rsid w:val="3E83599B"/>
    <w:rsid w:val="3F5C661A"/>
    <w:rsid w:val="3F944C68"/>
    <w:rsid w:val="3FEB3EB8"/>
    <w:rsid w:val="412B5053"/>
    <w:rsid w:val="41AF7E19"/>
    <w:rsid w:val="421D1590"/>
    <w:rsid w:val="425012F0"/>
    <w:rsid w:val="42E44775"/>
    <w:rsid w:val="43EE4273"/>
    <w:rsid w:val="43FE323E"/>
    <w:rsid w:val="45475D7C"/>
    <w:rsid w:val="49302B72"/>
    <w:rsid w:val="499D0DF5"/>
    <w:rsid w:val="4B2A24D6"/>
    <w:rsid w:val="4B8F3130"/>
    <w:rsid w:val="4BF556C1"/>
    <w:rsid w:val="4F8B5508"/>
    <w:rsid w:val="4FAB7C23"/>
    <w:rsid w:val="4FFD29D5"/>
    <w:rsid w:val="504B4F3C"/>
    <w:rsid w:val="50546DA2"/>
    <w:rsid w:val="51391C87"/>
    <w:rsid w:val="55D3319D"/>
    <w:rsid w:val="57C90C4B"/>
    <w:rsid w:val="5B367A53"/>
    <w:rsid w:val="5C727963"/>
    <w:rsid w:val="5D9439C8"/>
    <w:rsid w:val="5E4B3769"/>
    <w:rsid w:val="5EDE519C"/>
    <w:rsid w:val="5FE95136"/>
    <w:rsid w:val="611B2D5E"/>
    <w:rsid w:val="614C4551"/>
    <w:rsid w:val="62376964"/>
    <w:rsid w:val="623F48B3"/>
    <w:rsid w:val="687718DB"/>
    <w:rsid w:val="6D3A1C18"/>
    <w:rsid w:val="6E8D4B68"/>
    <w:rsid w:val="6F8E3132"/>
    <w:rsid w:val="70394C4A"/>
    <w:rsid w:val="71BF1D9E"/>
    <w:rsid w:val="728A2CBC"/>
    <w:rsid w:val="7291323F"/>
    <w:rsid w:val="734D6F59"/>
    <w:rsid w:val="73921408"/>
    <w:rsid w:val="73EE5FD1"/>
    <w:rsid w:val="742025F2"/>
    <w:rsid w:val="74B356D7"/>
    <w:rsid w:val="77790EFF"/>
    <w:rsid w:val="778F528C"/>
    <w:rsid w:val="7A137D5C"/>
    <w:rsid w:val="7A7144E8"/>
    <w:rsid w:val="7C5C3D72"/>
    <w:rsid w:val="7CA74AD0"/>
    <w:rsid w:val="7D721F81"/>
    <w:rsid w:val="7D7F7E81"/>
    <w:rsid w:val="7E88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Strong"/>
    <w:basedOn w:val="7"/>
    <w:qFormat/>
    <w:uiPriority w:val="22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table" w:customStyle="1" w:styleId="10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QN</Company>
  <Pages>4</Pages>
  <Words>199</Words>
  <Characters>1136</Characters>
  <Lines>9</Lines>
  <Paragraphs>2</Paragraphs>
  <TotalTime>1</TotalTime>
  <ScaleCrop>false</ScaleCrop>
  <LinksUpToDate>false</LinksUpToDate>
  <CharactersWithSpaces>1333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2025-06-20T09:06:00Z</dcterms:created>
  <dc:creator>HYC_财务部_任艺男</dc:creator>
  <cp:lastModifiedBy>skd</cp:lastModifiedBy>
  <cp:lastPrinted>2025-10-17T05:50:00Z</cp:lastPrinted>
  <dcterms:modified xsi:type="dcterms:W3CDTF">2026-03-12T07:53:34Z</dcterms:modified>
  <dc:title>证券代码：688328                                    证券简称：深科达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