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CCEB" w14:textId="77777777" w:rsidR="001F37FE" w:rsidRDefault="00000000">
      <w:pPr>
        <w:spacing w:line="360" w:lineRule="auto"/>
        <w:jc w:val="center"/>
        <w:rPr>
          <w:rFonts w:ascii="黑体" w:eastAsia="黑体" w:hAnsi="黑体" w:cs="黑体" w:hint="eastAsia"/>
          <w:b/>
          <w:sz w:val="32"/>
          <w:szCs w:val="32"/>
        </w:rPr>
      </w:pPr>
      <w:r>
        <w:rPr>
          <w:rFonts w:ascii="黑体" w:eastAsia="黑体" w:hAnsi="黑体" w:cs="黑体" w:hint="eastAsia"/>
          <w:b/>
          <w:sz w:val="32"/>
          <w:szCs w:val="32"/>
        </w:rPr>
        <w:t>北京富吉瑞光电科技股份有限公司</w:t>
      </w:r>
    </w:p>
    <w:p w14:paraId="54E5F58F" w14:textId="77777777" w:rsidR="001F37FE" w:rsidRDefault="00000000">
      <w:pPr>
        <w:spacing w:line="360" w:lineRule="auto"/>
        <w:jc w:val="center"/>
        <w:rPr>
          <w:rFonts w:ascii="黑体" w:eastAsia="黑体" w:hAnsi="黑体" w:cs="黑体" w:hint="eastAsia"/>
          <w:b/>
          <w:sz w:val="32"/>
          <w:szCs w:val="32"/>
        </w:rPr>
      </w:pPr>
      <w:r>
        <w:rPr>
          <w:rFonts w:ascii="黑体" w:eastAsia="黑体" w:hAnsi="黑体" w:cs="黑体" w:hint="eastAsia"/>
          <w:b/>
          <w:sz w:val="32"/>
          <w:szCs w:val="32"/>
        </w:rPr>
        <w:t>投资者关系活动记录表</w:t>
      </w:r>
    </w:p>
    <w:p w14:paraId="41091663" w14:textId="77777777" w:rsidR="001F37FE" w:rsidRDefault="001F37FE">
      <w:pPr>
        <w:spacing w:line="360" w:lineRule="auto"/>
        <w:jc w:val="center"/>
        <w:rPr>
          <w:rFonts w:ascii="黑体" w:eastAsia="黑体" w:hAnsi="黑体" w:cs="黑体" w:hint="eastAsia"/>
          <w:b/>
          <w:sz w:val="32"/>
          <w:szCs w:val="32"/>
        </w:rPr>
      </w:pPr>
    </w:p>
    <w:p w14:paraId="0FD7B08F" w14:textId="77777777" w:rsidR="001F37FE" w:rsidRDefault="00000000">
      <w:pPr>
        <w:spacing w:line="360" w:lineRule="auto"/>
        <w:ind w:leftChars="-303" w:left="-848" w:rightChars="-273" w:right="-764"/>
        <w:jc w:val="center"/>
        <w:rPr>
          <w:rFonts w:ascii="Times New Roman" w:eastAsia="宋体"/>
          <w:bCs/>
          <w:sz w:val="24"/>
          <w:szCs w:val="24"/>
        </w:rPr>
      </w:pPr>
      <w:r>
        <w:rPr>
          <w:rFonts w:ascii="Times New Roman" w:eastAsia="宋体" w:hint="eastAsia"/>
          <w:bCs/>
          <w:sz w:val="24"/>
          <w:szCs w:val="24"/>
        </w:rPr>
        <w:t>证券代码：</w:t>
      </w:r>
      <w:r>
        <w:rPr>
          <w:rFonts w:ascii="Times New Roman" w:eastAsia="宋体" w:hint="eastAsia"/>
          <w:bCs/>
          <w:sz w:val="24"/>
          <w:szCs w:val="24"/>
        </w:rPr>
        <w:t xml:space="preserve">688272            </w:t>
      </w:r>
      <w:r>
        <w:rPr>
          <w:rFonts w:ascii="Times New Roman" w:eastAsia="宋体" w:hint="eastAsia"/>
          <w:bCs/>
          <w:sz w:val="24"/>
          <w:szCs w:val="24"/>
        </w:rPr>
        <w:t>证券简称：富吉瑞</w:t>
      </w:r>
      <w:r>
        <w:rPr>
          <w:rFonts w:ascii="Times New Roman" w:eastAsia="宋体" w:hint="eastAsia"/>
          <w:bCs/>
          <w:sz w:val="24"/>
          <w:szCs w:val="24"/>
        </w:rPr>
        <w:t xml:space="preserve">            </w:t>
      </w:r>
      <w:r>
        <w:rPr>
          <w:rFonts w:ascii="Times New Roman" w:eastAsia="宋体" w:hint="eastAsia"/>
          <w:bCs/>
          <w:sz w:val="24"/>
          <w:szCs w:val="24"/>
        </w:rPr>
        <w:t>编号：</w:t>
      </w:r>
      <w:r>
        <w:rPr>
          <w:rFonts w:ascii="Times New Roman" w:eastAsia="宋体" w:hint="eastAsia"/>
          <w:bCs/>
          <w:sz w:val="24"/>
          <w:szCs w:val="24"/>
        </w:rPr>
        <w:t>2026-001</w:t>
      </w:r>
    </w:p>
    <w:tbl>
      <w:tblPr>
        <w:tblStyle w:val="ad"/>
        <w:tblW w:w="4999" w:type="pct"/>
        <w:jc w:val="center"/>
        <w:tblLook w:val="04A0" w:firstRow="1" w:lastRow="0" w:firstColumn="1" w:lastColumn="0" w:noHBand="0" w:noVBand="1"/>
      </w:tblPr>
      <w:tblGrid>
        <w:gridCol w:w="2160"/>
        <w:gridCol w:w="6134"/>
      </w:tblGrid>
      <w:tr w:rsidR="001F37FE" w14:paraId="4F6EE74B" w14:textId="77777777">
        <w:trPr>
          <w:trHeight w:val="1906"/>
          <w:jc w:val="center"/>
        </w:trPr>
        <w:tc>
          <w:tcPr>
            <w:tcW w:w="1302" w:type="pct"/>
            <w:vAlign w:val="center"/>
          </w:tcPr>
          <w:p w14:paraId="331EE914" w14:textId="77777777" w:rsidR="007A5125" w:rsidRDefault="00000000">
            <w:pPr>
              <w:spacing w:line="360" w:lineRule="auto"/>
              <w:jc w:val="center"/>
              <w:rPr>
                <w:rFonts w:ascii="Times New Roman" w:eastAsia="宋体"/>
                <w:b/>
                <w:bCs/>
                <w:kern w:val="0"/>
                <w:sz w:val="24"/>
                <w:szCs w:val="30"/>
              </w:rPr>
            </w:pPr>
            <w:r>
              <w:rPr>
                <w:rFonts w:ascii="Times New Roman" w:eastAsia="宋体"/>
                <w:b/>
                <w:bCs/>
                <w:kern w:val="0"/>
                <w:sz w:val="24"/>
                <w:szCs w:val="30"/>
              </w:rPr>
              <w:t>投资者关系</w:t>
            </w:r>
          </w:p>
          <w:p w14:paraId="150A4891" w14:textId="38411066" w:rsidR="001F37FE" w:rsidRDefault="00000000">
            <w:pPr>
              <w:spacing w:line="360" w:lineRule="auto"/>
              <w:jc w:val="center"/>
              <w:rPr>
                <w:rFonts w:ascii="Times New Roman" w:eastAsia="宋体"/>
                <w:kern w:val="0"/>
              </w:rPr>
            </w:pPr>
            <w:r>
              <w:rPr>
                <w:rFonts w:ascii="Times New Roman" w:eastAsia="宋体"/>
                <w:b/>
                <w:bCs/>
                <w:kern w:val="0"/>
                <w:sz w:val="24"/>
                <w:szCs w:val="30"/>
              </w:rPr>
              <w:t>活动类别</w:t>
            </w:r>
          </w:p>
        </w:tc>
        <w:tc>
          <w:tcPr>
            <w:tcW w:w="3697" w:type="pct"/>
            <w:vAlign w:val="center"/>
          </w:tcPr>
          <w:p w14:paraId="468E9F71" w14:textId="77777777" w:rsidR="001F37FE" w:rsidRDefault="00000000">
            <w:pPr>
              <w:spacing w:line="360" w:lineRule="auto"/>
              <w:jc w:val="left"/>
              <w:rPr>
                <w:rFonts w:ascii="Times New Roman" w:eastAsia="宋体"/>
                <w:kern w:val="0"/>
                <w:sz w:val="24"/>
                <w:szCs w:val="24"/>
              </w:rPr>
            </w:pPr>
            <w:r>
              <w:rPr>
                <w:rFonts w:ascii="Times New Roman" w:eastAsia="宋体" w:hint="eastAsia"/>
                <w:kern w:val="0"/>
                <w:sz w:val="24"/>
                <w:szCs w:val="24"/>
              </w:rPr>
              <w:t>☑</w:t>
            </w:r>
            <w:r>
              <w:rPr>
                <w:rFonts w:ascii="Times New Roman" w:eastAsia="宋体"/>
                <w:kern w:val="0"/>
                <w:sz w:val="24"/>
                <w:szCs w:val="24"/>
              </w:rPr>
              <w:t>特定对象调研</w:t>
            </w:r>
            <w:r>
              <w:rPr>
                <w:rFonts w:ascii="Times New Roman" w:eastAsia="宋体"/>
                <w:kern w:val="0"/>
                <w:sz w:val="24"/>
                <w:szCs w:val="24"/>
              </w:rPr>
              <w:t xml:space="preserve">       </w:t>
            </w:r>
            <w:r>
              <w:rPr>
                <w:rFonts w:ascii="Times New Roman" w:eastAsia="宋体" w:hint="eastAsia"/>
                <w:kern w:val="0"/>
                <w:sz w:val="24"/>
                <w:szCs w:val="24"/>
              </w:rPr>
              <w:t>□</w:t>
            </w:r>
            <w:r>
              <w:rPr>
                <w:rFonts w:ascii="Times New Roman" w:eastAsia="宋体"/>
                <w:kern w:val="0"/>
                <w:sz w:val="24"/>
                <w:szCs w:val="24"/>
              </w:rPr>
              <w:t>分析师会议</w:t>
            </w:r>
          </w:p>
          <w:p w14:paraId="688797CD" w14:textId="77777777" w:rsidR="001F37FE" w:rsidRDefault="00000000">
            <w:pPr>
              <w:spacing w:line="360" w:lineRule="auto"/>
              <w:jc w:val="left"/>
              <w:rPr>
                <w:rFonts w:ascii="Times New Roman" w:eastAsia="宋体"/>
                <w:kern w:val="0"/>
                <w:sz w:val="24"/>
                <w:szCs w:val="24"/>
              </w:rPr>
            </w:pPr>
            <w:r>
              <w:rPr>
                <w:rFonts w:ascii="Times New Roman" w:eastAsia="宋体" w:hint="eastAsia"/>
                <w:kern w:val="0"/>
                <w:sz w:val="24"/>
                <w:szCs w:val="24"/>
              </w:rPr>
              <w:t>□</w:t>
            </w:r>
            <w:r>
              <w:rPr>
                <w:rFonts w:ascii="Times New Roman" w:eastAsia="宋体"/>
                <w:kern w:val="0"/>
                <w:sz w:val="24"/>
                <w:szCs w:val="24"/>
              </w:rPr>
              <w:t>媒体采访</w:t>
            </w:r>
            <w:r>
              <w:rPr>
                <w:rFonts w:ascii="Times New Roman" w:eastAsia="宋体"/>
                <w:kern w:val="0"/>
                <w:sz w:val="24"/>
                <w:szCs w:val="24"/>
              </w:rPr>
              <w:t xml:space="preserve">           </w:t>
            </w:r>
            <w:r>
              <w:rPr>
                <w:rFonts w:ascii="Times New Roman" w:eastAsia="宋体" w:hint="eastAsia"/>
                <w:kern w:val="0"/>
                <w:sz w:val="24"/>
                <w:szCs w:val="24"/>
              </w:rPr>
              <w:t>□</w:t>
            </w:r>
            <w:r>
              <w:rPr>
                <w:rFonts w:ascii="Times New Roman" w:eastAsia="宋体"/>
                <w:kern w:val="0"/>
                <w:sz w:val="24"/>
                <w:szCs w:val="24"/>
              </w:rPr>
              <w:t>业绩说明会</w:t>
            </w:r>
          </w:p>
          <w:p w14:paraId="34D786F0" w14:textId="77777777" w:rsidR="001F37FE" w:rsidRDefault="00000000">
            <w:pPr>
              <w:spacing w:line="360" w:lineRule="auto"/>
              <w:jc w:val="left"/>
              <w:rPr>
                <w:rFonts w:ascii="Times New Roman" w:eastAsia="宋体"/>
                <w:kern w:val="0"/>
                <w:sz w:val="24"/>
                <w:szCs w:val="24"/>
              </w:rPr>
            </w:pPr>
            <w:r>
              <w:rPr>
                <w:rFonts w:ascii="Times New Roman" w:eastAsia="宋体" w:hint="eastAsia"/>
                <w:kern w:val="0"/>
                <w:sz w:val="24"/>
                <w:szCs w:val="24"/>
              </w:rPr>
              <w:t>□</w:t>
            </w:r>
            <w:r>
              <w:rPr>
                <w:rFonts w:ascii="Times New Roman" w:eastAsia="宋体"/>
                <w:kern w:val="0"/>
                <w:sz w:val="24"/>
                <w:szCs w:val="24"/>
              </w:rPr>
              <w:t>新闻发布会</w:t>
            </w:r>
            <w:r>
              <w:rPr>
                <w:rFonts w:ascii="Times New Roman" w:eastAsia="宋体"/>
                <w:kern w:val="0"/>
                <w:sz w:val="24"/>
                <w:szCs w:val="24"/>
              </w:rPr>
              <w:t xml:space="preserve">         </w:t>
            </w:r>
            <w:r>
              <w:rPr>
                <w:rFonts w:ascii="Times New Roman" w:eastAsia="宋体" w:hint="eastAsia"/>
                <w:kern w:val="0"/>
                <w:sz w:val="24"/>
                <w:szCs w:val="24"/>
              </w:rPr>
              <w:t>□</w:t>
            </w:r>
            <w:r>
              <w:rPr>
                <w:rFonts w:ascii="Times New Roman" w:eastAsia="宋体"/>
                <w:kern w:val="0"/>
                <w:sz w:val="24"/>
                <w:szCs w:val="24"/>
              </w:rPr>
              <w:t>路演活动</w:t>
            </w:r>
          </w:p>
          <w:p w14:paraId="4B607B81" w14:textId="77777777" w:rsidR="001F37FE" w:rsidRDefault="00000000">
            <w:pPr>
              <w:spacing w:line="360" w:lineRule="auto"/>
              <w:rPr>
                <w:rFonts w:ascii="Times New Roman" w:eastAsia="宋体"/>
                <w:kern w:val="0"/>
              </w:rPr>
            </w:pPr>
            <w:r>
              <w:rPr>
                <w:rFonts w:ascii="Times New Roman" w:eastAsia="宋体" w:hint="eastAsia"/>
                <w:kern w:val="0"/>
                <w:sz w:val="24"/>
                <w:szCs w:val="24"/>
              </w:rPr>
              <w:t>☑</w:t>
            </w:r>
            <w:r>
              <w:rPr>
                <w:rFonts w:ascii="Times New Roman" w:eastAsia="宋体"/>
                <w:kern w:val="0"/>
                <w:sz w:val="24"/>
                <w:szCs w:val="24"/>
              </w:rPr>
              <w:t>现场参观</w:t>
            </w:r>
            <w:r>
              <w:rPr>
                <w:rFonts w:ascii="Times New Roman" w:eastAsia="宋体"/>
                <w:kern w:val="0"/>
                <w:sz w:val="24"/>
                <w:szCs w:val="24"/>
              </w:rPr>
              <w:t xml:space="preserve">           </w:t>
            </w:r>
            <w:r>
              <w:rPr>
                <w:rFonts w:ascii="Times New Roman" w:eastAsia="宋体" w:hint="eastAsia"/>
                <w:kern w:val="0"/>
                <w:sz w:val="24"/>
                <w:szCs w:val="24"/>
              </w:rPr>
              <w:t>□</w:t>
            </w:r>
            <w:r>
              <w:rPr>
                <w:rFonts w:ascii="Times New Roman" w:eastAsia="宋体"/>
                <w:kern w:val="0"/>
                <w:sz w:val="24"/>
                <w:szCs w:val="24"/>
              </w:rPr>
              <w:t>其他</w:t>
            </w:r>
          </w:p>
        </w:tc>
      </w:tr>
      <w:tr w:rsidR="001F37FE" w14:paraId="10FA941A" w14:textId="77777777">
        <w:trPr>
          <w:jc w:val="center"/>
        </w:trPr>
        <w:tc>
          <w:tcPr>
            <w:tcW w:w="1302" w:type="pct"/>
            <w:vAlign w:val="center"/>
          </w:tcPr>
          <w:p w14:paraId="6CAC0382" w14:textId="77777777" w:rsidR="001F37FE" w:rsidRDefault="00000000">
            <w:pPr>
              <w:spacing w:line="360" w:lineRule="auto"/>
              <w:jc w:val="center"/>
              <w:rPr>
                <w:rFonts w:ascii="Times New Roman" w:eastAsia="宋体"/>
                <w:kern w:val="0"/>
              </w:rPr>
            </w:pPr>
            <w:r>
              <w:rPr>
                <w:rFonts w:ascii="Times New Roman" w:eastAsia="宋体"/>
                <w:b/>
                <w:bCs/>
                <w:kern w:val="0"/>
                <w:sz w:val="24"/>
                <w:szCs w:val="30"/>
              </w:rPr>
              <w:t>参与单位名称</w:t>
            </w:r>
          </w:p>
        </w:tc>
        <w:tc>
          <w:tcPr>
            <w:tcW w:w="3697" w:type="pct"/>
            <w:vAlign w:val="center"/>
          </w:tcPr>
          <w:p w14:paraId="16E958A6" w14:textId="51F45C5C" w:rsidR="001F37FE" w:rsidRDefault="00000000">
            <w:pPr>
              <w:spacing w:line="360" w:lineRule="auto"/>
              <w:jc w:val="left"/>
              <w:rPr>
                <w:rFonts w:ascii="Times New Roman" w:eastAsia="宋体"/>
                <w:sz w:val="24"/>
                <w:szCs w:val="24"/>
              </w:rPr>
            </w:pPr>
            <w:r>
              <w:rPr>
                <w:rFonts w:ascii="Times New Roman" w:eastAsia="宋体" w:hint="eastAsia"/>
                <w:sz w:val="24"/>
                <w:szCs w:val="24"/>
              </w:rPr>
              <w:t>中国长城资产管理股份有限公司、上海东方证券创新投资有限公司、</w:t>
            </w:r>
            <w:proofErr w:type="gramStart"/>
            <w:r w:rsidR="007A5125" w:rsidRPr="007A5125">
              <w:rPr>
                <w:rFonts w:ascii="Times New Roman" w:eastAsia="宋体" w:hint="eastAsia"/>
                <w:sz w:val="24"/>
                <w:szCs w:val="24"/>
              </w:rPr>
              <w:t>颐</w:t>
            </w:r>
            <w:proofErr w:type="gramEnd"/>
            <w:r w:rsidR="007A5125" w:rsidRPr="007A5125">
              <w:rPr>
                <w:rFonts w:ascii="Times New Roman" w:eastAsia="宋体" w:hint="eastAsia"/>
                <w:sz w:val="24"/>
                <w:szCs w:val="24"/>
              </w:rPr>
              <w:t>和银丰天元（天津）集团有限公司</w:t>
            </w:r>
            <w:r>
              <w:rPr>
                <w:rFonts w:ascii="Times New Roman" w:eastAsia="宋体" w:hint="eastAsia"/>
                <w:sz w:val="24"/>
                <w:szCs w:val="24"/>
              </w:rPr>
              <w:t>、北京丰汇投资管理有限公司、北京盛开资产管理有限公司、前海</w:t>
            </w:r>
            <w:proofErr w:type="gramStart"/>
            <w:r>
              <w:rPr>
                <w:rFonts w:ascii="Times New Roman" w:eastAsia="宋体" w:hint="eastAsia"/>
                <w:sz w:val="24"/>
                <w:szCs w:val="24"/>
              </w:rPr>
              <w:t>股交投资</w:t>
            </w:r>
            <w:proofErr w:type="gramEnd"/>
            <w:r>
              <w:rPr>
                <w:rFonts w:ascii="Times New Roman" w:eastAsia="宋体" w:hint="eastAsia"/>
                <w:sz w:val="24"/>
                <w:szCs w:val="24"/>
              </w:rPr>
              <w:t>控股（深圳）有限公司、四川璞信产融投资有限责任公司、</w:t>
            </w:r>
            <w:proofErr w:type="gramStart"/>
            <w:r>
              <w:rPr>
                <w:rFonts w:ascii="Times New Roman" w:eastAsia="宋体" w:hint="eastAsia"/>
                <w:sz w:val="24"/>
                <w:szCs w:val="24"/>
              </w:rPr>
              <w:t>广发乾和</w:t>
            </w:r>
            <w:proofErr w:type="gramEnd"/>
            <w:r>
              <w:rPr>
                <w:rFonts w:ascii="Times New Roman" w:eastAsia="宋体" w:hint="eastAsia"/>
                <w:sz w:val="24"/>
                <w:szCs w:val="24"/>
              </w:rPr>
              <w:t>投资有限公司、北京经韬私募基金管理有限公司、海南团结私募基金管理有限公司、广州资产管理有限公司、重庆国际信托股份有限公司、金圆统一证券有限公司（以上排名不分先后）</w:t>
            </w:r>
          </w:p>
        </w:tc>
      </w:tr>
      <w:tr w:rsidR="001F37FE" w14:paraId="47DB46F0" w14:textId="77777777">
        <w:trPr>
          <w:trHeight w:val="692"/>
          <w:jc w:val="center"/>
        </w:trPr>
        <w:tc>
          <w:tcPr>
            <w:tcW w:w="1302" w:type="pct"/>
            <w:vAlign w:val="center"/>
          </w:tcPr>
          <w:p w14:paraId="41D5CF47" w14:textId="77777777" w:rsidR="00654E1A" w:rsidRDefault="00000000">
            <w:pPr>
              <w:spacing w:line="360" w:lineRule="auto"/>
              <w:jc w:val="center"/>
              <w:rPr>
                <w:rFonts w:ascii="Times New Roman" w:eastAsia="宋体"/>
                <w:b/>
                <w:bCs/>
                <w:kern w:val="0"/>
                <w:sz w:val="24"/>
                <w:szCs w:val="30"/>
              </w:rPr>
            </w:pPr>
            <w:r>
              <w:rPr>
                <w:rFonts w:ascii="Times New Roman" w:eastAsia="宋体" w:hint="eastAsia"/>
                <w:b/>
                <w:bCs/>
                <w:kern w:val="0"/>
                <w:sz w:val="24"/>
                <w:szCs w:val="30"/>
              </w:rPr>
              <w:t>会议时间及</w:t>
            </w:r>
          </w:p>
          <w:p w14:paraId="78105AF8" w14:textId="74B794D6" w:rsidR="001F37FE" w:rsidRDefault="00000000">
            <w:pPr>
              <w:spacing w:line="360" w:lineRule="auto"/>
              <w:jc w:val="center"/>
              <w:rPr>
                <w:rFonts w:ascii="Times New Roman" w:eastAsia="宋体"/>
                <w:kern w:val="0"/>
              </w:rPr>
            </w:pPr>
            <w:r>
              <w:rPr>
                <w:rFonts w:ascii="Times New Roman" w:eastAsia="宋体" w:hint="eastAsia"/>
                <w:b/>
                <w:bCs/>
                <w:kern w:val="0"/>
                <w:sz w:val="24"/>
                <w:szCs w:val="30"/>
              </w:rPr>
              <w:t>会议方式</w:t>
            </w:r>
          </w:p>
        </w:tc>
        <w:tc>
          <w:tcPr>
            <w:tcW w:w="3697" w:type="pct"/>
            <w:vAlign w:val="center"/>
          </w:tcPr>
          <w:p w14:paraId="6C34FD03" w14:textId="77777777" w:rsidR="001F37FE" w:rsidRDefault="00000000">
            <w:pPr>
              <w:spacing w:line="360" w:lineRule="auto"/>
              <w:jc w:val="left"/>
              <w:rPr>
                <w:rFonts w:ascii="Times New Roman" w:eastAsia="宋体"/>
                <w:kern w:val="0"/>
                <w:sz w:val="24"/>
                <w:szCs w:val="24"/>
              </w:rPr>
            </w:pPr>
            <w:r>
              <w:rPr>
                <w:rFonts w:ascii="Times New Roman" w:eastAsia="宋体" w:hint="eastAsia"/>
                <w:sz w:val="24"/>
                <w:szCs w:val="24"/>
              </w:rPr>
              <w:t>2026</w:t>
            </w:r>
            <w:r>
              <w:rPr>
                <w:rFonts w:ascii="Times New Roman" w:eastAsia="宋体" w:hint="eastAsia"/>
                <w:sz w:val="24"/>
                <w:szCs w:val="24"/>
              </w:rPr>
              <w:t>年</w:t>
            </w:r>
            <w:r>
              <w:rPr>
                <w:rFonts w:ascii="Times New Roman" w:eastAsia="宋体" w:hint="eastAsia"/>
                <w:sz w:val="24"/>
                <w:szCs w:val="24"/>
              </w:rPr>
              <w:t>3</w:t>
            </w:r>
            <w:r>
              <w:rPr>
                <w:rFonts w:ascii="Times New Roman" w:eastAsia="宋体" w:hint="eastAsia"/>
                <w:sz w:val="24"/>
                <w:szCs w:val="24"/>
              </w:rPr>
              <w:t>月</w:t>
            </w:r>
            <w:r>
              <w:rPr>
                <w:rFonts w:ascii="Times New Roman" w:eastAsia="宋体" w:hint="eastAsia"/>
                <w:sz w:val="24"/>
                <w:szCs w:val="24"/>
              </w:rPr>
              <w:t>13</w:t>
            </w:r>
            <w:r>
              <w:rPr>
                <w:rFonts w:ascii="Times New Roman" w:eastAsia="宋体" w:hint="eastAsia"/>
                <w:sz w:val="24"/>
                <w:szCs w:val="24"/>
              </w:rPr>
              <w:t>日</w:t>
            </w:r>
            <w:r>
              <w:rPr>
                <w:rFonts w:ascii="Times New Roman" w:eastAsia="宋体" w:hint="eastAsia"/>
                <w:sz w:val="24"/>
                <w:szCs w:val="24"/>
              </w:rPr>
              <w:t xml:space="preserve"> </w:t>
            </w:r>
            <w:r>
              <w:rPr>
                <w:rFonts w:ascii="Times New Roman" w:eastAsia="宋体" w:hint="eastAsia"/>
                <w:sz w:val="24"/>
                <w:szCs w:val="24"/>
              </w:rPr>
              <w:t>上午</w:t>
            </w:r>
            <w:r>
              <w:rPr>
                <w:rFonts w:ascii="Times New Roman" w:eastAsia="宋体" w:hint="eastAsia"/>
                <w:sz w:val="24"/>
                <w:szCs w:val="24"/>
              </w:rPr>
              <w:t xml:space="preserve">10:00-12:00 </w:t>
            </w:r>
            <w:r>
              <w:rPr>
                <w:rFonts w:ascii="Times New Roman" w:eastAsia="宋体" w:hint="eastAsia"/>
                <w:sz w:val="24"/>
                <w:szCs w:val="24"/>
              </w:rPr>
              <w:t>现场调研</w:t>
            </w:r>
          </w:p>
        </w:tc>
      </w:tr>
      <w:tr w:rsidR="001F37FE" w14:paraId="349AACD7" w14:textId="77777777">
        <w:trPr>
          <w:trHeight w:val="1171"/>
          <w:jc w:val="center"/>
        </w:trPr>
        <w:tc>
          <w:tcPr>
            <w:tcW w:w="1302" w:type="pct"/>
            <w:vAlign w:val="center"/>
          </w:tcPr>
          <w:p w14:paraId="423D3FED" w14:textId="77777777" w:rsidR="001F37FE" w:rsidRDefault="00000000">
            <w:pPr>
              <w:spacing w:line="360" w:lineRule="auto"/>
              <w:jc w:val="center"/>
              <w:rPr>
                <w:rFonts w:ascii="Times New Roman" w:eastAsia="宋体"/>
                <w:b/>
                <w:bCs/>
                <w:kern w:val="0"/>
                <w:sz w:val="24"/>
                <w:szCs w:val="30"/>
              </w:rPr>
            </w:pPr>
            <w:r>
              <w:rPr>
                <w:rFonts w:ascii="Times New Roman" w:eastAsia="宋体"/>
                <w:b/>
                <w:bCs/>
                <w:kern w:val="0"/>
                <w:sz w:val="24"/>
                <w:szCs w:val="30"/>
              </w:rPr>
              <w:t>公司接待人员姓名</w:t>
            </w:r>
          </w:p>
        </w:tc>
        <w:tc>
          <w:tcPr>
            <w:tcW w:w="3697" w:type="pct"/>
            <w:vAlign w:val="center"/>
          </w:tcPr>
          <w:p w14:paraId="17D029DE" w14:textId="77777777" w:rsidR="001F37FE" w:rsidRDefault="00000000">
            <w:pPr>
              <w:spacing w:line="360" w:lineRule="auto"/>
              <w:jc w:val="left"/>
              <w:rPr>
                <w:rFonts w:ascii="Times New Roman" w:eastAsia="宋体"/>
                <w:kern w:val="0"/>
                <w:sz w:val="24"/>
                <w:szCs w:val="24"/>
              </w:rPr>
            </w:pPr>
            <w:r>
              <w:rPr>
                <w:rFonts w:ascii="Times New Roman" w:eastAsia="宋体" w:hint="eastAsia"/>
                <w:kern w:val="0"/>
                <w:sz w:val="24"/>
                <w:szCs w:val="24"/>
              </w:rPr>
              <w:t>董事会秘书：张大为先生</w:t>
            </w:r>
          </w:p>
        </w:tc>
      </w:tr>
      <w:tr w:rsidR="001F37FE" w14:paraId="646D16E6" w14:textId="77777777">
        <w:trPr>
          <w:jc w:val="center"/>
        </w:trPr>
        <w:tc>
          <w:tcPr>
            <w:tcW w:w="1302" w:type="pct"/>
            <w:vAlign w:val="center"/>
          </w:tcPr>
          <w:p w14:paraId="76633174" w14:textId="77777777" w:rsidR="001F37FE" w:rsidRDefault="00000000">
            <w:pPr>
              <w:spacing w:line="360" w:lineRule="auto"/>
              <w:jc w:val="center"/>
              <w:rPr>
                <w:rFonts w:ascii="Times New Roman" w:eastAsia="宋体"/>
                <w:b/>
                <w:bCs/>
                <w:kern w:val="0"/>
                <w:sz w:val="24"/>
                <w:szCs w:val="30"/>
              </w:rPr>
            </w:pPr>
            <w:r>
              <w:rPr>
                <w:rFonts w:ascii="Times New Roman" w:eastAsia="宋体"/>
                <w:b/>
                <w:bCs/>
                <w:kern w:val="0"/>
                <w:sz w:val="24"/>
                <w:szCs w:val="30"/>
              </w:rPr>
              <w:t>投资者关系活动</w:t>
            </w:r>
          </w:p>
          <w:p w14:paraId="2CE5955D" w14:textId="77777777" w:rsidR="001F37FE" w:rsidRDefault="00000000">
            <w:pPr>
              <w:spacing w:line="360" w:lineRule="auto"/>
              <w:jc w:val="center"/>
              <w:rPr>
                <w:rFonts w:ascii="Times New Roman" w:eastAsia="宋体"/>
                <w:b/>
                <w:bCs/>
                <w:kern w:val="0"/>
                <w:sz w:val="24"/>
                <w:szCs w:val="30"/>
              </w:rPr>
            </w:pPr>
            <w:r>
              <w:rPr>
                <w:rFonts w:ascii="Times New Roman" w:eastAsia="宋体"/>
                <w:b/>
                <w:bCs/>
                <w:kern w:val="0"/>
                <w:sz w:val="24"/>
                <w:szCs w:val="30"/>
              </w:rPr>
              <w:t>主要内容介绍</w:t>
            </w:r>
          </w:p>
        </w:tc>
        <w:tc>
          <w:tcPr>
            <w:tcW w:w="3697" w:type="pct"/>
            <w:vAlign w:val="center"/>
          </w:tcPr>
          <w:p w14:paraId="3C13C0E8" w14:textId="77777777" w:rsidR="001F37FE" w:rsidRDefault="00000000">
            <w:pPr>
              <w:spacing w:line="360" w:lineRule="auto"/>
              <w:ind w:firstLineChars="200" w:firstLine="482"/>
              <w:rPr>
                <w:rFonts w:ascii="Times New Roman" w:eastAsia="宋体"/>
                <w:b/>
                <w:sz w:val="24"/>
                <w:szCs w:val="24"/>
              </w:rPr>
            </w:pPr>
            <w:r>
              <w:rPr>
                <w:rFonts w:ascii="Times New Roman" w:eastAsia="宋体" w:hint="eastAsia"/>
                <w:b/>
                <w:sz w:val="24"/>
                <w:szCs w:val="24"/>
              </w:rPr>
              <w:t>1</w:t>
            </w:r>
            <w:r>
              <w:rPr>
                <w:rFonts w:ascii="Times New Roman" w:eastAsia="宋体" w:hint="eastAsia"/>
                <w:b/>
                <w:sz w:val="24"/>
                <w:szCs w:val="24"/>
              </w:rPr>
              <w:t>、问题：公司目前非制冷红外探测器是否实现自供？该产品未来的发展方向如何规划？</w:t>
            </w:r>
          </w:p>
          <w:p w14:paraId="7F4AFD22" w14:textId="77777777" w:rsidR="001F37FE" w:rsidRDefault="00000000">
            <w:pPr>
              <w:spacing w:line="360" w:lineRule="auto"/>
              <w:ind w:firstLineChars="200" w:firstLine="480"/>
              <w:rPr>
                <w:rFonts w:ascii="Times New Roman" w:eastAsia="宋体"/>
                <w:bCs/>
                <w:sz w:val="24"/>
                <w:szCs w:val="24"/>
              </w:rPr>
            </w:pPr>
            <w:r>
              <w:rPr>
                <w:rFonts w:ascii="Times New Roman" w:eastAsia="宋体" w:hint="eastAsia"/>
                <w:bCs/>
                <w:sz w:val="24"/>
                <w:szCs w:val="24"/>
              </w:rPr>
              <w:t>回复：公司深耕红外领域核心技术研发与工艺优化，主营终端产品涵盖机芯、热像仪、光电系统三大品类。非制冷红外探测器作为非制冷红外热成像产品的核心器件，随着公司</w:t>
            </w:r>
            <w:proofErr w:type="gramStart"/>
            <w:r>
              <w:rPr>
                <w:rFonts w:ascii="Times New Roman" w:eastAsia="宋体" w:hint="eastAsia"/>
                <w:bCs/>
                <w:sz w:val="24"/>
                <w:szCs w:val="24"/>
              </w:rPr>
              <w:t>募投项目</w:t>
            </w:r>
            <w:proofErr w:type="gramEnd"/>
            <w:r>
              <w:rPr>
                <w:rFonts w:ascii="Times New Roman" w:eastAsia="宋体" w:hint="eastAsia"/>
                <w:bCs/>
                <w:sz w:val="24"/>
                <w:szCs w:val="24"/>
              </w:rPr>
              <w:t>顺利投产，已实现部分自主供应，</w:t>
            </w:r>
            <w:r>
              <w:rPr>
                <w:rFonts w:asciiTheme="majorBidi" w:eastAsia="宋体" w:hAnsiTheme="majorBidi" w:cstheme="majorBidi" w:hint="eastAsia"/>
                <w:sz w:val="24"/>
                <w:szCs w:val="24"/>
              </w:rPr>
              <w:t>显著提高公司非制冷红外机芯产品的性能并降低成本，公司非</w:t>
            </w:r>
            <w:r>
              <w:rPr>
                <w:rFonts w:asciiTheme="majorBidi" w:eastAsia="宋体" w:hAnsiTheme="majorBidi" w:cstheme="majorBidi" w:hint="eastAsia"/>
                <w:sz w:val="24"/>
                <w:szCs w:val="24"/>
              </w:rPr>
              <w:lastRenderedPageBreak/>
              <w:t>制冷产品的市场竞争力得到提升</w:t>
            </w:r>
            <w:r>
              <w:rPr>
                <w:rFonts w:ascii="Times New Roman" w:eastAsia="宋体" w:hint="eastAsia"/>
                <w:bCs/>
                <w:sz w:val="24"/>
                <w:szCs w:val="24"/>
              </w:rPr>
              <w:t>。</w:t>
            </w:r>
          </w:p>
          <w:p w14:paraId="26AC698B" w14:textId="77777777" w:rsidR="001F37FE" w:rsidRDefault="00000000">
            <w:pPr>
              <w:spacing w:line="360" w:lineRule="auto"/>
              <w:ind w:firstLineChars="200" w:firstLine="480"/>
              <w:rPr>
                <w:rFonts w:ascii="Times New Roman" w:eastAsia="宋体"/>
                <w:bCs/>
                <w:sz w:val="24"/>
                <w:szCs w:val="24"/>
              </w:rPr>
            </w:pPr>
            <w:r>
              <w:rPr>
                <w:rFonts w:ascii="Times New Roman" w:eastAsia="宋体" w:hint="eastAsia"/>
                <w:bCs/>
                <w:sz w:val="24"/>
                <w:szCs w:val="24"/>
              </w:rPr>
              <w:t>未来，公司将进一步提升非制冷红外探测器良率水平，进一步降低产品成本；同时，公司将聚焦非制冷红外产品体系，持续推进大面阵、小像元探测器的研发攻关，同步扩大产能规模以匹配日益增长的市场需求，稳步提升在行业产业链中的地位与影响力。</w:t>
            </w:r>
          </w:p>
          <w:p w14:paraId="083F0712" w14:textId="77777777" w:rsidR="001F37FE" w:rsidRDefault="001F37FE">
            <w:pPr>
              <w:spacing w:line="360" w:lineRule="auto"/>
              <w:ind w:firstLineChars="200" w:firstLine="480"/>
              <w:rPr>
                <w:rFonts w:ascii="Times New Roman" w:eastAsia="宋体"/>
                <w:bCs/>
                <w:sz w:val="24"/>
                <w:szCs w:val="24"/>
              </w:rPr>
            </w:pPr>
          </w:p>
          <w:p w14:paraId="732821F9" w14:textId="77777777" w:rsidR="001F37FE" w:rsidRDefault="00000000">
            <w:pPr>
              <w:spacing w:line="360" w:lineRule="auto"/>
              <w:ind w:firstLineChars="200" w:firstLine="482"/>
              <w:rPr>
                <w:rFonts w:ascii="Times New Roman" w:eastAsia="宋体"/>
                <w:b/>
                <w:sz w:val="24"/>
                <w:szCs w:val="24"/>
              </w:rPr>
            </w:pPr>
            <w:r>
              <w:rPr>
                <w:rFonts w:ascii="Times New Roman" w:eastAsia="宋体" w:hint="eastAsia"/>
                <w:b/>
                <w:sz w:val="24"/>
                <w:szCs w:val="24"/>
              </w:rPr>
              <w:t>2</w:t>
            </w:r>
            <w:r>
              <w:rPr>
                <w:rFonts w:ascii="Times New Roman" w:eastAsia="宋体" w:hint="eastAsia"/>
                <w:b/>
                <w:sz w:val="24"/>
                <w:szCs w:val="24"/>
              </w:rPr>
              <w:t>、问题：公司制冷红外探测器研发及产业化项目的目前进展情况如何？</w:t>
            </w:r>
          </w:p>
          <w:p w14:paraId="208E95BF" w14:textId="2EFAA96E" w:rsidR="001F37FE" w:rsidRDefault="00000000">
            <w:pPr>
              <w:spacing w:line="360" w:lineRule="auto"/>
              <w:ind w:firstLineChars="200" w:firstLine="480"/>
              <w:rPr>
                <w:rFonts w:ascii="Times New Roman" w:eastAsia="宋体"/>
                <w:bCs/>
                <w:sz w:val="24"/>
                <w:szCs w:val="24"/>
              </w:rPr>
            </w:pPr>
            <w:r>
              <w:rPr>
                <w:rFonts w:ascii="Times New Roman" w:eastAsia="宋体" w:hint="eastAsia"/>
                <w:bCs/>
                <w:sz w:val="24"/>
                <w:szCs w:val="24"/>
              </w:rPr>
              <w:t>回复：根据公司战略布局，控股子公司成都视朗瑞光电有限公司为实施制冷红外探测器研发及产业化项目的实施主体，目前正按照计划</w:t>
            </w:r>
            <w:proofErr w:type="gramStart"/>
            <w:r>
              <w:rPr>
                <w:rFonts w:ascii="Times New Roman" w:eastAsia="宋体" w:hint="eastAsia"/>
                <w:bCs/>
                <w:sz w:val="24"/>
                <w:szCs w:val="24"/>
              </w:rPr>
              <w:t>进行产线建设</w:t>
            </w:r>
            <w:proofErr w:type="gramEnd"/>
            <w:r>
              <w:rPr>
                <w:rFonts w:ascii="Times New Roman" w:eastAsia="宋体" w:hint="eastAsia"/>
                <w:bCs/>
                <w:sz w:val="24"/>
                <w:szCs w:val="24"/>
              </w:rPr>
              <w:t>。项目将实现年产</w:t>
            </w:r>
            <w:r>
              <w:rPr>
                <w:rFonts w:ascii="Times New Roman" w:eastAsia="宋体" w:hint="eastAsia"/>
                <w:bCs/>
                <w:sz w:val="24"/>
                <w:szCs w:val="24"/>
              </w:rPr>
              <w:t>2,000</w:t>
            </w:r>
            <w:r>
              <w:rPr>
                <w:rFonts w:ascii="Times New Roman" w:eastAsia="宋体" w:hint="eastAsia"/>
                <w:bCs/>
                <w:sz w:val="24"/>
                <w:szCs w:val="24"/>
              </w:rPr>
              <w:t>套制冷红外探测器的产能，</w:t>
            </w:r>
            <w:r w:rsidR="00EF6E0C" w:rsidRPr="00EF6E0C">
              <w:rPr>
                <w:rFonts w:ascii="Times New Roman" w:eastAsia="宋体" w:hint="eastAsia"/>
                <w:bCs/>
                <w:sz w:val="24"/>
                <w:szCs w:val="24"/>
              </w:rPr>
              <w:t>投资财务内部收益率所得税后为</w:t>
            </w:r>
            <w:r>
              <w:rPr>
                <w:rFonts w:ascii="Times New Roman" w:eastAsia="宋体" w:hint="eastAsia"/>
                <w:bCs/>
                <w:sz w:val="24"/>
                <w:szCs w:val="24"/>
              </w:rPr>
              <w:t>14.25%</w:t>
            </w:r>
            <w:r>
              <w:rPr>
                <w:rFonts w:ascii="Times New Roman" w:eastAsia="宋体" w:hint="eastAsia"/>
                <w:bCs/>
                <w:sz w:val="24"/>
                <w:szCs w:val="24"/>
              </w:rPr>
              <w:t>，有望成为公司未来重要利润增长点。</w:t>
            </w:r>
          </w:p>
          <w:p w14:paraId="55E21EE8" w14:textId="77777777" w:rsidR="001F37FE" w:rsidRDefault="00000000">
            <w:pPr>
              <w:spacing w:line="360" w:lineRule="auto"/>
              <w:ind w:firstLineChars="200" w:firstLine="480"/>
              <w:rPr>
                <w:rFonts w:ascii="Times New Roman" w:eastAsia="宋体"/>
                <w:bCs/>
                <w:sz w:val="24"/>
                <w:szCs w:val="24"/>
              </w:rPr>
            </w:pPr>
            <w:r>
              <w:rPr>
                <w:rFonts w:ascii="Times New Roman" w:eastAsia="宋体" w:hint="eastAsia"/>
                <w:bCs/>
                <w:sz w:val="24"/>
                <w:szCs w:val="24"/>
              </w:rPr>
              <w:t>公司在非制冷红外探测器领域已有积累，制冷型红外探测器在特定场景具备不可替代优势，项目落地可形成制冷与非制冷产品协同发展格局，丰富产品矩阵；另一方面，当前公司制冷红外探测器依赖外购，存在成本高、受供应商制约、质量管控难度大等痛点，自</w:t>
            </w:r>
            <w:proofErr w:type="gramStart"/>
            <w:r>
              <w:rPr>
                <w:rFonts w:ascii="Times New Roman" w:eastAsia="宋体" w:hint="eastAsia"/>
                <w:bCs/>
                <w:sz w:val="24"/>
                <w:szCs w:val="24"/>
              </w:rPr>
              <w:t>研</w:t>
            </w:r>
            <w:proofErr w:type="gramEnd"/>
            <w:r>
              <w:rPr>
                <w:rFonts w:ascii="Times New Roman" w:eastAsia="宋体" w:hint="eastAsia"/>
                <w:bCs/>
                <w:sz w:val="24"/>
                <w:szCs w:val="24"/>
              </w:rPr>
              <w:t>自产可有效降本增效，提升技术创新与市场响应效率。此外，制冷红外探测器是军事侦察、导弹制导等装备的核心部件，欧美长期实施技术封锁，项目产业化将打破国外垄断，助力军事装备国产化进程，提升产业链自主可控能力。</w:t>
            </w:r>
          </w:p>
          <w:p w14:paraId="66396B6F" w14:textId="77777777" w:rsidR="001F37FE" w:rsidRDefault="001F37FE">
            <w:pPr>
              <w:spacing w:line="360" w:lineRule="auto"/>
              <w:rPr>
                <w:rFonts w:ascii="Times New Roman" w:eastAsia="宋体"/>
                <w:bCs/>
                <w:sz w:val="24"/>
                <w:szCs w:val="24"/>
              </w:rPr>
            </w:pPr>
          </w:p>
          <w:p w14:paraId="54A6D93B" w14:textId="77777777" w:rsidR="001F37FE" w:rsidRDefault="00000000">
            <w:pPr>
              <w:spacing w:line="360" w:lineRule="auto"/>
              <w:ind w:firstLineChars="200" w:firstLine="482"/>
              <w:rPr>
                <w:rFonts w:ascii="Times New Roman" w:eastAsia="宋体"/>
                <w:b/>
                <w:sz w:val="24"/>
                <w:szCs w:val="24"/>
              </w:rPr>
            </w:pPr>
            <w:r>
              <w:rPr>
                <w:rFonts w:ascii="Times New Roman" w:eastAsia="宋体" w:hint="eastAsia"/>
                <w:b/>
                <w:sz w:val="24"/>
                <w:szCs w:val="24"/>
              </w:rPr>
              <w:t>3</w:t>
            </w:r>
            <w:r>
              <w:rPr>
                <w:rFonts w:ascii="Times New Roman" w:eastAsia="宋体" w:hint="eastAsia"/>
                <w:b/>
                <w:sz w:val="24"/>
                <w:szCs w:val="24"/>
              </w:rPr>
              <w:t>、问题：公司的非制冷红外探测器的芯片设计、制造、</w:t>
            </w:r>
            <w:proofErr w:type="gramStart"/>
            <w:r>
              <w:rPr>
                <w:rFonts w:ascii="Times New Roman" w:eastAsia="宋体" w:hint="eastAsia"/>
                <w:b/>
                <w:sz w:val="24"/>
                <w:szCs w:val="24"/>
              </w:rPr>
              <w:t>封测等</w:t>
            </w:r>
            <w:proofErr w:type="gramEnd"/>
            <w:r>
              <w:rPr>
                <w:rFonts w:ascii="Times New Roman" w:eastAsia="宋体" w:hint="eastAsia"/>
                <w:b/>
                <w:sz w:val="24"/>
                <w:szCs w:val="24"/>
              </w:rPr>
              <w:t>流程，哪些环节是公司自主设计、生产？哪些环节是代工或外采？</w:t>
            </w:r>
          </w:p>
          <w:p w14:paraId="2EF5E5E1" w14:textId="77777777" w:rsidR="001F37FE" w:rsidRDefault="00000000">
            <w:pPr>
              <w:spacing w:line="360" w:lineRule="auto"/>
              <w:ind w:firstLineChars="200" w:firstLine="480"/>
              <w:rPr>
                <w:rFonts w:ascii="Times New Roman" w:eastAsia="宋体"/>
                <w:bCs/>
                <w:sz w:val="24"/>
                <w:szCs w:val="24"/>
              </w:rPr>
            </w:pPr>
            <w:r>
              <w:rPr>
                <w:rFonts w:ascii="Times New Roman" w:eastAsia="宋体" w:hint="eastAsia"/>
                <w:bCs/>
                <w:sz w:val="24"/>
                <w:szCs w:val="24"/>
              </w:rPr>
              <w:t>回复：公司非制冷红外探测器的读出电路芯片为公司自主设计，其制造环节由国内厂商代工；在读出电路芯片</w:t>
            </w:r>
            <w:r>
              <w:rPr>
                <w:rFonts w:ascii="Times New Roman" w:eastAsia="宋体" w:hint="eastAsia"/>
                <w:bCs/>
                <w:sz w:val="24"/>
                <w:szCs w:val="24"/>
              </w:rPr>
              <w:lastRenderedPageBreak/>
              <w:t>基础上生长的</w:t>
            </w:r>
            <w:r>
              <w:rPr>
                <w:rFonts w:ascii="Times New Roman" w:eastAsia="宋体" w:hint="eastAsia"/>
                <w:bCs/>
                <w:sz w:val="24"/>
                <w:szCs w:val="24"/>
              </w:rPr>
              <w:t>MEMS</w:t>
            </w:r>
            <w:r>
              <w:rPr>
                <w:rFonts w:ascii="Times New Roman" w:eastAsia="宋体" w:hint="eastAsia"/>
                <w:bCs/>
                <w:sz w:val="24"/>
                <w:szCs w:val="24"/>
              </w:rPr>
              <w:t>热敏层为公司自主设计，其制造环节由国内厂商代工；非制冷红外探测器的</w:t>
            </w:r>
            <w:proofErr w:type="gramStart"/>
            <w:r>
              <w:rPr>
                <w:rFonts w:ascii="Times New Roman" w:eastAsia="宋体" w:hint="eastAsia"/>
                <w:bCs/>
                <w:sz w:val="24"/>
                <w:szCs w:val="24"/>
              </w:rPr>
              <w:t>封测由</w:t>
            </w:r>
            <w:proofErr w:type="gramEnd"/>
            <w:r>
              <w:rPr>
                <w:rFonts w:ascii="Times New Roman" w:eastAsia="宋体" w:hint="eastAsia"/>
                <w:bCs/>
                <w:sz w:val="24"/>
                <w:szCs w:val="24"/>
              </w:rPr>
              <w:t>公司自主完成。</w:t>
            </w:r>
          </w:p>
          <w:p w14:paraId="24632BF7" w14:textId="77777777" w:rsidR="001F37FE" w:rsidRDefault="001F37FE">
            <w:pPr>
              <w:spacing w:line="360" w:lineRule="auto"/>
              <w:rPr>
                <w:rFonts w:ascii="Times New Roman" w:eastAsia="宋体"/>
                <w:bCs/>
                <w:sz w:val="24"/>
                <w:szCs w:val="24"/>
              </w:rPr>
            </w:pPr>
          </w:p>
          <w:p w14:paraId="3158E200" w14:textId="77777777" w:rsidR="001F37FE" w:rsidRDefault="00000000">
            <w:pPr>
              <w:spacing w:line="360" w:lineRule="auto"/>
              <w:ind w:firstLineChars="200" w:firstLine="482"/>
              <w:rPr>
                <w:rFonts w:ascii="Times New Roman" w:eastAsia="宋体"/>
                <w:b/>
                <w:sz w:val="24"/>
                <w:szCs w:val="24"/>
              </w:rPr>
            </w:pPr>
            <w:r>
              <w:rPr>
                <w:rFonts w:ascii="Times New Roman" w:eastAsia="宋体" w:hint="eastAsia"/>
                <w:b/>
                <w:sz w:val="24"/>
                <w:szCs w:val="24"/>
              </w:rPr>
              <w:t>4</w:t>
            </w:r>
            <w:r>
              <w:rPr>
                <w:rFonts w:ascii="Times New Roman" w:eastAsia="宋体" w:hint="eastAsia"/>
                <w:b/>
                <w:sz w:val="24"/>
                <w:szCs w:val="24"/>
              </w:rPr>
              <w:t>、问题：公司上游采购主要是哪些原材料和部件？</w:t>
            </w:r>
          </w:p>
          <w:p w14:paraId="245FEB5C" w14:textId="77777777" w:rsidR="001F37FE" w:rsidRDefault="00000000">
            <w:pPr>
              <w:spacing w:line="360" w:lineRule="auto"/>
              <w:ind w:firstLineChars="200" w:firstLine="480"/>
              <w:rPr>
                <w:rFonts w:ascii="Times New Roman" w:eastAsia="宋体"/>
                <w:b/>
                <w:sz w:val="24"/>
                <w:szCs w:val="24"/>
              </w:rPr>
            </w:pPr>
            <w:r>
              <w:rPr>
                <w:rFonts w:ascii="Times New Roman" w:eastAsia="宋体" w:hint="eastAsia"/>
                <w:bCs/>
                <w:sz w:val="24"/>
                <w:szCs w:val="24"/>
              </w:rPr>
              <w:t>回复：公司采购的主要原材料和部件为探测器、红外光学镜片、红外镜头、电子元器件、结构件等。</w:t>
            </w:r>
          </w:p>
          <w:p w14:paraId="33AE3AC6" w14:textId="77777777" w:rsidR="001F37FE" w:rsidRDefault="001F37FE">
            <w:pPr>
              <w:spacing w:line="360" w:lineRule="auto"/>
              <w:rPr>
                <w:rFonts w:ascii="Times New Roman" w:eastAsia="宋体"/>
                <w:bCs/>
                <w:sz w:val="24"/>
                <w:szCs w:val="24"/>
              </w:rPr>
            </w:pPr>
          </w:p>
          <w:p w14:paraId="0F1CC7F7" w14:textId="77777777" w:rsidR="001F37FE" w:rsidRDefault="00000000">
            <w:pPr>
              <w:spacing w:line="360" w:lineRule="auto"/>
              <w:ind w:firstLineChars="200" w:firstLine="482"/>
              <w:rPr>
                <w:rFonts w:ascii="Times New Roman" w:eastAsia="宋体"/>
                <w:b/>
                <w:sz w:val="24"/>
                <w:szCs w:val="24"/>
              </w:rPr>
            </w:pPr>
            <w:r>
              <w:rPr>
                <w:rFonts w:ascii="Times New Roman" w:eastAsia="宋体" w:hint="eastAsia"/>
                <w:b/>
                <w:sz w:val="24"/>
                <w:szCs w:val="24"/>
              </w:rPr>
              <w:t>5</w:t>
            </w:r>
            <w:r>
              <w:rPr>
                <w:rFonts w:ascii="Times New Roman" w:eastAsia="宋体" w:hint="eastAsia"/>
                <w:b/>
                <w:sz w:val="24"/>
                <w:szCs w:val="24"/>
              </w:rPr>
              <w:t>、问题：公司的量子加密摄像机产品，公司对于量子通信加密技术有何储备？</w:t>
            </w:r>
          </w:p>
          <w:p w14:paraId="3B4E193F" w14:textId="77777777" w:rsidR="001F37FE" w:rsidRDefault="00000000">
            <w:pPr>
              <w:spacing w:line="360" w:lineRule="auto"/>
              <w:ind w:firstLineChars="200" w:firstLine="480"/>
              <w:rPr>
                <w:rFonts w:ascii="Times New Roman" w:eastAsia="宋体"/>
                <w:bCs/>
                <w:sz w:val="24"/>
                <w:szCs w:val="24"/>
              </w:rPr>
            </w:pPr>
            <w:r>
              <w:rPr>
                <w:rFonts w:ascii="Times New Roman" w:eastAsia="宋体" w:hint="eastAsia"/>
                <w:bCs/>
                <w:sz w:val="24"/>
                <w:szCs w:val="24"/>
              </w:rPr>
              <w:t>回复：公司量子加密摄像机产品，属于量子加密技术的应用。其中，产品核心部件之一的量子加密芯片为外采。该产品依托公司光学、图像处理、算法优势，融合了新的安防监控视频编码标准和量子加密技术。</w:t>
            </w:r>
          </w:p>
          <w:p w14:paraId="7DDE7738" w14:textId="77777777" w:rsidR="001F37FE" w:rsidRDefault="001F37FE">
            <w:pPr>
              <w:spacing w:line="360" w:lineRule="auto"/>
              <w:rPr>
                <w:rFonts w:ascii="Times New Roman" w:eastAsia="宋体"/>
                <w:bCs/>
                <w:sz w:val="24"/>
                <w:szCs w:val="24"/>
              </w:rPr>
            </w:pPr>
          </w:p>
          <w:p w14:paraId="2955F3EA" w14:textId="77777777" w:rsidR="001F37FE" w:rsidRDefault="00000000">
            <w:pPr>
              <w:spacing w:line="360" w:lineRule="auto"/>
              <w:ind w:firstLineChars="200" w:firstLine="482"/>
              <w:rPr>
                <w:rFonts w:ascii="Times New Roman" w:eastAsia="宋体"/>
                <w:b/>
                <w:sz w:val="24"/>
                <w:szCs w:val="24"/>
              </w:rPr>
            </w:pPr>
            <w:r>
              <w:rPr>
                <w:rFonts w:ascii="Times New Roman" w:eastAsia="宋体" w:hint="eastAsia"/>
                <w:b/>
                <w:sz w:val="24"/>
                <w:szCs w:val="24"/>
              </w:rPr>
              <w:t>6</w:t>
            </w:r>
            <w:r>
              <w:rPr>
                <w:rFonts w:ascii="Times New Roman" w:eastAsia="宋体" w:hint="eastAsia"/>
                <w:b/>
                <w:sz w:val="24"/>
                <w:szCs w:val="24"/>
              </w:rPr>
              <w:t>、问题：请问公司是否有其他业务拓展规划？</w:t>
            </w:r>
          </w:p>
          <w:p w14:paraId="6FDDA9C6" w14:textId="77777777" w:rsidR="001F37FE" w:rsidRDefault="00000000">
            <w:pPr>
              <w:pStyle w:val="af"/>
              <w:spacing w:line="360" w:lineRule="auto"/>
              <w:ind w:firstLine="480"/>
              <w:rPr>
                <w:rFonts w:ascii="Times New Roman" w:eastAsia="宋体"/>
                <w:bCs/>
                <w:sz w:val="24"/>
                <w:szCs w:val="24"/>
              </w:rPr>
            </w:pPr>
            <w:r>
              <w:rPr>
                <w:rFonts w:ascii="Times New Roman" w:eastAsia="宋体" w:hint="eastAsia"/>
                <w:bCs/>
                <w:sz w:val="24"/>
                <w:szCs w:val="24"/>
              </w:rPr>
              <w:t>回复：公司未来业务发展基于红外及光电技术的积累。一方面，公司将持续深耕红外领域，布局上游核心部件，包括非制冷红外探测器、制冷红外探测器、低温制冷机等；另一方面，公司将努力拓展红外和光电技术的应用产品，比如量子加密摄像机等产品；最后，公司将积极拓展产品销售市场。</w:t>
            </w:r>
          </w:p>
        </w:tc>
      </w:tr>
      <w:tr w:rsidR="001F37FE" w14:paraId="17A16E53" w14:textId="77777777">
        <w:trPr>
          <w:jc w:val="center"/>
        </w:trPr>
        <w:tc>
          <w:tcPr>
            <w:tcW w:w="1302" w:type="pct"/>
            <w:vAlign w:val="center"/>
          </w:tcPr>
          <w:p w14:paraId="48145A42" w14:textId="77777777" w:rsidR="001F37FE" w:rsidRDefault="00000000">
            <w:pPr>
              <w:spacing w:line="360" w:lineRule="auto"/>
              <w:jc w:val="center"/>
              <w:rPr>
                <w:rFonts w:ascii="Times New Roman" w:eastAsia="宋体"/>
                <w:b/>
                <w:bCs/>
                <w:kern w:val="0"/>
                <w:sz w:val="24"/>
                <w:szCs w:val="30"/>
              </w:rPr>
            </w:pPr>
            <w:r>
              <w:rPr>
                <w:rFonts w:ascii="Times New Roman" w:eastAsia="宋体"/>
                <w:b/>
                <w:bCs/>
                <w:kern w:val="0"/>
                <w:sz w:val="24"/>
                <w:szCs w:val="30"/>
              </w:rPr>
              <w:lastRenderedPageBreak/>
              <w:t>附件清单</w:t>
            </w:r>
            <w:r>
              <w:rPr>
                <w:rFonts w:ascii="Times New Roman" w:eastAsia="宋体" w:hint="eastAsia"/>
                <w:b/>
                <w:bCs/>
                <w:kern w:val="0"/>
                <w:sz w:val="24"/>
                <w:szCs w:val="30"/>
              </w:rPr>
              <w:t>（如有）</w:t>
            </w:r>
          </w:p>
        </w:tc>
        <w:tc>
          <w:tcPr>
            <w:tcW w:w="3697" w:type="pct"/>
            <w:vAlign w:val="center"/>
          </w:tcPr>
          <w:p w14:paraId="4FD7749C" w14:textId="77777777" w:rsidR="001F37FE" w:rsidRDefault="00000000">
            <w:pPr>
              <w:spacing w:line="360" w:lineRule="auto"/>
              <w:rPr>
                <w:rFonts w:ascii="Times New Roman" w:eastAsia="宋体"/>
                <w:b/>
                <w:kern w:val="0"/>
                <w:sz w:val="24"/>
                <w:szCs w:val="24"/>
              </w:rPr>
            </w:pPr>
            <w:r>
              <w:rPr>
                <w:rFonts w:ascii="Times New Roman" w:eastAsia="宋体" w:hint="eastAsia"/>
                <w:kern w:val="0"/>
                <w:sz w:val="24"/>
                <w:szCs w:val="24"/>
              </w:rPr>
              <w:t>无</w:t>
            </w:r>
          </w:p>
        </w:tc>
      </w:tr>
    </w:tbl>
    <w:p w14:paraId="6B7EAD69" w14:textId="77777777" w:rsidR="001F37FE" w:rsidRDefault="001F37FE"/>
    <w:sectPr w:rsidR="001F3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zNjBlMWIxYmUwNjAyZTZjMDM4NGU0NmM3YWI0OTEifQ=="/>
  </w:docVars>
  <w:rsids>
    <w:rsidRoot w:val="00A53BD3"/>
    <w:rsid w:val="00003809"/>
    <w:rsid w:val="00004338"/>
    <w:rsid w:val="00012D32"/>
    <w:rsid w:val="00020434"/>
    <w:rsid w:val="000474CA"/>
    <w:rsid w:val="00070F04"/>
    <w:rsid w:val="000C1948"/>
    <w:rsid w:val="000F4740"/>
    <w:rsid w:val="00143EFF"/>
    <w:rsid w:val="001A59D9"/>
    <w:rsid w:val="001B2071"/>
    <w:rsid w:val="001C6019"/>
    <w:rsid w:val="001F37FE"/>
    <w:rsid w:val="00240339"/>
    <w:rsid w:val="0025063C"/>
    <w:rsid w:val="0026531B"/>
    <w:rsid w:val="00293B3B"/>
    <w:rsid w:val="002A5891"/>
    <w:rsid w:val="002C566A"/>
    <w:rsid w:val="002E1945"/>
    <w:rsid w:val="0032285E"/>
    <w:rsid w:val="003809A3"/>
    <w:rsid w:val="003E0647"/>
    <w:rsid w:val="003F4B02"/>
    <w:rsid w:val="003F5573"/>
    <w:rsid w:val="003F6553"/>
    <w:rsid w:val="004077E0"/>
    <w:rsid w:val="00411909"/>
    <w:rsid w:val="00416F27"/>
    <w:rsid w:val="00444C0F"/>
    <w:rsid w:val="004635CC"/>
    <w:rsid w:val="004654CA"/>
    <w:rsid w:val="004704B2"/>
    <w:rsid w:val="0047142A"/>
    <w:rsid w:val="00473F8C"/>
    <w:rsid w:val="004A06CA"/>
    <w:rsid w:val="004A489F"/>
    <w:rsid w:val="004B0AB8"/>
    <w:rsid w:val="004B0E40"/>
    <w:rsid w:val="004C402E"/>
    <w:rsid w:val="005278BA"/>
    <w:rsid w:val="00531F2F"/>
    <w:rsid w:val="00533480"/>
    <w:rsid w:val="005335D2"/>
    <w:rsid w:val="00590DB1"/>
    <w:rsid w:val="005A6ADB"/>
    <w:rsid w:val="005B12BF"/>
    <w:rsid w:val="005B6D5D"/>
    <w:rsid w:val="005D4CD6"/>
    <w:rsid w:val="005E628F"/>
    <w:rsid w:val="00654E1A"/>
    <w:rsid w:val="00660943"/>
    <w:rsid w:val="00670EF3"/>
    <w:rsid w:val="00673EF5"/>
    <w:rsid w:val="006B4392"/>
    <w:rsid w:val="006F3200"/>
    <w:rsid w:val="00713DE6"/>
    <w:rsid w:val="0071666B"/>
    <w:rsid w:val="007425F2"/>
    <w:rsid w:val="007A5125"/>
    <w:rsid w:val="007D0AAD"/>
    <w:rsid w:val="007D3037"/>
    <w:rsid w:val="007D50FF"/>
    <w:rsid w:val="007E15C2"/>
    <w:rsid w:val="007F73E8"/>
    <w:rsid w:val="0082653C"/>
    <w:rsid w:val="00846CA7"/>
    <w:rsid w:val="00891453"/>
    <w:rsid w:val="008B1A1D"/>
    <w:rsid w:val="008E25A7"/>
    <w:rsid w:val="008F170F"/>
    <w:rsid w:val="0090427E"/>
    <w:rsid w:val="00927D8D"/>
    <w:rsid w:val="00953D6A"/>
    <w:rsid w:val="009562E1"/>
    <w:rsid w:val="009633F2"/>
    <w:rsid w:val="009908E8"/>
    <w:rsid w:val="00994931"/>
    <w:rsid w:val="009A10A8"/>
    <w:rsid w:val="009C2485"/>
    <w:rsid w:val="00A05BBB"/>
    <w:rsid w:val="00A4445D"/>
    <w:rsid w:val="00A53BD3"/>
    <w:rsid w:val="00A57100"/>
    <w:rsid w:val="00A753AC"/>
    <w:rsid w:val="00A8286A"/>
    <w:rsid w:val="00A906E1"/>
    <w:rsid w:val="00A92637"/>
    <w:rsid w:val="00AA725B"/>
    <w:rsid w:val="00AB35FE"/>
    <w:rsid w:val="00AC424B"/>
    <w:rsid w:val="00B03CB5"/>
    <w:rsid w:val="00B264A7"/>
    <w:rsid w:val="00B41A56"/>
    <w:rsid w:val="00B45C5D"/>
    <w:rsid w:val="00B63169"/>
    <w:rsid w:val="00B74946"/>
    <w:rsid w:val="00B805E2"/>
    <w:rsid w:val="00B84536"/>
    <w:rsid w:val="00B871B0"/>
    <w:rsid w:val="00B877CE"/>
    <w:rsid w:val="00B90AC9"/>
    <w:rsid w:val="00BA244C"/>
    <w:rsid w:val="00BA2F95"/>
    <w:rsid w:val="00BA6A7A"/>
    <w:rsid w:val="00BC1756"/>
    <w:rsid w:val="00BE0602"/>
    <w:rsid w:val="00C2379A"/>
    <w:rsid w:val="00C34D22"/>
    <w:rsid w:val="00C40E3C"/>
    <w:rsid w:val="00C5079D"/>
    <w:rsid w:val="00C80E02"/>
    <w:rsid w:val="00C85150"/>
    <w:rsid w:val="00C93100"/>
    <w:rsid w:val="00CA6803"/>
    <w:rsid w:val="00CE1C78"/>
    <w:rsid w:val="00CF4F1A"/>
    <w:rsid w:val="00CF538C"/>
    <w:rsid w:val="00D00C14"/>
    <w:rsid w:val="00D00C43"/>
    <w:rsid w:val="00D02843"/>
    <w:rsid w:val="00D15B78"/>
    <w:rsid w:val="00D16D8E"/>
    <w:rsid w:val="00D7127F"/>
    <w:rsid w:val="00D7226E"/>
    <w:rsid w:val="00D9090C"/>
    <w:rsid w:val="00D91738"/>
    <w:rsid w:val="00D94986"/>
    <w:rsid w:val="00D95998"/>
    <w:rsid w:val="00DB7408"/>
    <w:rsid w:val="00DC16B6"/>
    <w:rsid w:val="00DC55F8"/>
    <w:rsid w:val="00DD3D22"/>
    <w:rsid w:val="00DD7C31"/>
    <w:rsid w:val="00E55CCA"/>
    <w:rsid w:val="00E708F3"/>
    <w:rsid w:val="00E7595B"/>
    <w:rsid w:val="00E8215C"/>
    <w:rsid w:val="00E92298"/>
    <w:rsid w:val="00E951AD"/>
    <w:rsid w:val="00E960EA"/>
    <w:rsid w:val="00E97EDA"/>
    <w:rsid w:val="00EB6882"/>
    <w:rsid w:val="00EF6E0C"/>
    <w:rsid w:val="00F01B8B"/>
    <w:rsid w:val="00F0600F"/>
    <w:rsid w:val="00F568DC"/>
    <w:rsid w:val="00F60A26"/>
    <w:rsid w:val="00F6286B"/>
    <w:rsid w:val="00F77B53"/>
    <w:rsid w:val="00F82604"/>
    <w:rsid w:val="00F913E6"/>
    <w:rsid w:val="00F97C80"/>
    <w:rsid w:val="00FF5B56"/>
    <w:rsid w:val="026B28A3"/>
    <w:rsid w:val="0FA137E8"/>
    <w:rsid w:val="1EB56DD9"/>
    <w:rsid w:val="298F70A2"/>
    <w:rsid w:val="57276705"/>
    <w:rsid w:val="58B60729"/>
    <w:rsid w:val="5A0B41CA"/>
    <w:rsid w:val="74923700"/>
    <w:rsid w:val="74EC7572"/>
    <w:rsid w:val="7D092E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CCC7C"/>
  <w15:docId w15:val="{4E114FB9-A89B-4B7A-B12E-9143AD30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rFonts w:ascii="仿宋_GB2312" w:eastAsia="仿宋_GB2312" w:hAnsi="Times New Roman" w:cs="Times New Roman"/>
      <w:sz w:val="18"/>
      <w:szCs w:val="18"/>
    </w:rPr>
  </w:style>
  <w:style w:type="character" w:customStyle="1" w:styleId="a8">
    <w:name w:val="页脚 字符"/>
    <w:basedOn w:val="a0"/>
    <w:link w:val="a7"/>
    <w:uiPriority w:val="99"/>
    <w:qFormat/>
    <w:rPr>
      <w:rFonts w:ascii="仿宋_GB2312" w:eastAsia="仿宋_GB2312" w:hAnsi="Times New Roman" w:cs="Times New Roman"/>
      <w:sz w:val="18"/>
      <w:szCs w:val="18"/>
    </w:rPr>
  </w:style>
  <w:style w:type="character" w:customStyle="1" w:styleId="005Char">
    <w:name w:val="005正文 Char"/>
    <w:link w:val="005"/>
    <w:qFormat/>
    <w:rPr>
      <w:rFonts w:ascii="Times New Roman" w:hAnsi="Times New Roman" w:cs="Times New Roman"/>
      <w:sz w:val="24"/>
    </w:rPr>
  </w:style>
  <w:style w:type="paragraph" w:customStyle="1" w:styleId="005">
    <w:name w:val="005正文"/>
    <w:basedOn w:val="a"/>
    <w:link w:val="005Char"/>
    <w:qFormat/>
    <w:pPr>
      <w:spacing w:beforeLines="50" w:before="50" w:line="360" w:lineRule="auto"/>
      <w:ind w:firstLineChars="200" w:firstLine="200"/>
    </w:pPr>
    <w:rPr>
      <w:rFonts w:ascii="Times New Roman" w:eastAsiaTheme="minorEastAsia"/>
      <w:sz w:val="24"/>
      <w:szCs w:val="22"/>
    </w:rPr>
  </w:style>
  <w:style w:type="character" w:customStyle="1" w:styleId="a4">
    <w:name w:val="批注文字 字符"/>
    <w:basedOn w:val="a0"/>
    <w:link w:val="a3"/>
    <w:uiPriority w:val="99"/>
    <w:semiHidden/>
    <w:qFormat/>
    <w:rPr>
      <w:rFonts w:ascii="仿宋_GB2312" w:eastAsia="仿宋_GB2312" w:hAnsi="Times New Roman" w:cs="Times New Roman"/>
      <w:kern w:val="2"/>
      <w:sz w:val="28"/>
      <w:szCs w:val="28"/>
    </w:rPr>
  </w:style>
  <w:style w:type="character" w:customStyle="1" w:styleId="ac">
    <w:name w:val="批注主题 字符"/>
    <w:basedOn w:val="a4"/>
    <w:link w:val="ab"/>
    <w:uiPriority w:val="99"/>
    <w:semiHidden/>
    <w:qFormat/>
    <w:rPr>
      <w:rFonts w:ascii="仿宋_GB2312" w:eastAsia="仿宋_GB2312" w:hAnsi="Times New Roman" w:cs="Times New Roman"/>
      <w:b/>
      <w:bCs/>
      <w:kern w:val="2"/>
      <w:sz w:val="28"/>
      <w:szCs w:val="28"/>
    </w:rPr>
  </w:style>
  <w:style w:type="character" w:customStyle="1" w:styleId="a6">
    <w:name w:val="批注框文本 字符"/>
    <w:basedOn w:val="a0"/>
    <w:link w:val="a5"/>
    <w:uiPriority w:val="99"/>
    <w:semiHidden/>
    <w:qFormat/>
    <w:rPr>
      <w:rFonts w:ascii="仿宋_GB2312" w:eastAsia="仿宋_GB2312" w:hAnsi="Times New Roman" w:cs="Times New Roman"/>
      <w:kern w:val="2"/>
      <w:sz w:val="18"/>
      <w:szCs w:val="18"/>
    </w:rPr>
  </w:style>
  <w:style w:type="paragraph" w:customStyle="1" w:styleId="1">
    <w:name w:val="修订1"/>
    <w:hidden/>
    <w:uiPriority w:val="99"/>
    <w:semiHidden/>
    <w:qFormat/>
    <w:rPr>
      <w:rFonts w:ascii="仿宋_GB2312" w:eastAsia="仿宋_GB2312" w:hAnsi="Times New Roman" w:cs="Times New Roman"/>
      <w:kern w:val="2"/>
      <w:sz w:val="28"/>
      <w:szCs w:val="28"/>
    </w:rPr>
  </w:style>
  <w:style w:type="paragraph" w:customStyle="1" w:styleId="2">
    <w:name w:val="修订2"/>
    <w:hidden/>
    <w:uiPriority w:val="99"/>
    <w:unhideWhenUsed/>
    <w:qFormat/>
    <w:rPr>
      <w:rFonts w:ascii="仿宋_GB2312" w:eastAsia="仿宋_GB2312" w:hAnsi="Times New Roman" w:cs="Times New Roman"/>
      <w:kern w:val="2"/>
      <w:sz w:val="28"/>
      <w:szCs w:val="28"/>
    </w:rPr>
  </w:style>
  <w:style w:type="paragraph" w:customStyle="1" w:styleId="3">
    <w:name w:val="修订3"/>
    <w:hidden/>
    <w:uiPriority w:val="99"/>
    <w:unhideWhenUsed/>
    <w:qFormat/>
    <w:rPr>
      <w:rFonts w:ascii="仿宋_GB2312" w:eastAsia="仿宋_GB2312" w:hAnsi="Times New Roman" w:cs="Times New Roman"/>
      <w:kern w:val="2"/>
      <w:sz w:val="28"/>
      <w:szCs w:val="28"/>
    </w:rPr>
  </w:style>
  <w:style w:type="paragraph" w:styleId="af0">
    <w:name w:val="Revision"/>
    <w:hidden/>
    <w:uiPriority w:val="99"/>
    <w:unhideWhenUsed/>
    <w:rsid w:val="00EF6E0C"/>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821</Words>
  <Characters>838</Characters>
  <Application>Microsoft Office Word</Application>
  <DocSecurity>0</DocSecurity>
  <Lines>49</Lines>
  <Paragraphs>33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欣</dc:creator>
  <cp:lastModifiedBy>尼尔 苏</cp:lastModifiedBy>
  <cp:revision>31</cp:revision>
  <cp:lastPrinted>2022-06-07T08:04:00Z</cp:lastPrinted>
  <dcterms:created xsi:type="dcterms:W3CDTF">2023-02-28T06:54:00Z</dcterms:created>
  <dcterms:modified xsi:type="dcterms:W3CDTF">2026-03-16T09:35:00Z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339874A5101A477AB1C4D02CBE1C2CB5_13</vt:lpwstr>
  </property>
</Properties>
</file>