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sz w:val="24"/>
          <w:szCs w:val="24"/>
          <w:lang w:val="en-US" w:eastAsia="zh-CN"/>
        </w:rPr>
      </w:pPr>
      <w:r>
        <w:rPr>
          <w:rFonts w:hint="eastAsia" w:ascii="仿宋" w:hAnsi="仿宋" w:eastAsia="仿宋" w:cs="仿宋"/>
          <w:sz w:val="24"/>
          <w:szCs w:val="24"/>
        </w:rPr>
        <w:t xml:space="preserve">股票代码：600010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股票简称：包钢股份</w:t>
      </w:r>
      <w:r>
        <w:rPr>
          <w:rFonts w:hint="eastAsia" w:ascii="仿宋" w:hAnsi="仿宋" w:eastAsia="仿宋" w:cs="仿宋"/>
          <w:sz w:val="24"/>
          <w:szCs w:val="24"/>
          <w:lang w:val="en-US" w:eastAsia="zh-CN"/>
        </w:rPr>
        <w:t xml:space="preserve">         </w:t>
      </w:r>
      <w:r>
        <w:rPr>
          <w:rFonts w:hint="eastAsia" w:ascii="华文中宋" w:hAnsi="华文中宋" w:eastAsia="华文中宋"/>
          <w:sz w:val="24"/>
          <w:szCs w:val="24"/>
          <w:lang w:val="en-US" w:eastAsia="zh-CN"/>
        </w:rPr>
        <w:t xml:space="preserve"> </w:t>
      </w:r>
      <w:r>
        <w:rPr>
          <w:rFonts w:hint="eastAsia" w:ascii="仿宋" w:hAnsi="仿宋" w:eastAsia="仿宋" w:cs="仿宋"/>
          <w:sz w:val="24"/>
          <w:szCs w:val="24"/>
          <w:lang w:val="en-US" w:eastAsia="zh-CN"/>
        </w:rPr>
        <w:t>编号：2026-001</w:t>
      </w:r>
    </w:p>
    <w:p>
      <w:pPr>
        <w:jc w:val="center"/>
        <w:rPr>
          <w:rFonts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内蒙古包钢钢联股份有限公司投资者关系活动记录表</w:t>
      </w:r>
    </w:p>
    <w:p>
      <w:pPr>
        <w:jc w:val="center"/>
        <w:rPr>
          <w:rFonts w:hint="default" w:ascii="仿宋" w:hAnsi="仿宋" w:eastAsia="仿宋" w:cs="仿宋"/>
          <w:sz w:val="28"/>
          <w:szCs w:val="28"/>
          <w:lang w:val="en-US" w:eastAsia="zh-CN"/>
        </w:rPr>
      </w:pPr>
      <w:r>
        <w:rPr>
          <w:rFonts w:hint="eastAsia" w:ascii="华文中宋" w:hAnsi="华文中宋" w:eastAsia="华文中宋"/>
          <w:sz w:val="32"/>
          <w:szCs w:val="32"/>
          <w:lang w:val="en-US" w:eastAsia="zh-CN"/>
        </w:rPr>
        <w:t xml:space="preserve">                                                                          </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2490" w:type="dxa"/>
            <w:vAlign w:val="center"/>
          </w:tcPr>
          <w:p>
            <w:pPr>
              <w:spacing w:line="420" w:lineRule="exact"/>
              <w:jc w:val="center"/>
              <w:rPr>
                <w:rFonts w:asciiTheme="minorEastAsia" w:hAnsiTheme="minorEastAsia"/>
                <w:b/>
                <w:sz w:val="24"/>
                <w:szCs w:val="24"/>
              </w:rPr>
            </w:pPr>
            <w:r>
              <w:rPr>
                <w:rFonts w:hint="eastAsia" w:asciiTheme="minorEastAsia" w:hAnsiTheme="minorEastAsia"/>
                <w:b/>
                <w:sz w:val="24"/>
                <w:szCs w:val="24"/>
              </w:rPr>
              <w:t>投资者关系活动类型</w:t>
            </w:r>
          </w:p>
        </w:tc>
        <w:tc>
          <w:tcPr>
            <w:tcW w:w="7204" w:type="dxa"/>
          </w:tcPr>
          <w:p>
            <w:pPr>
              <w:spacing w:line="420" w:lineRule="exact"/>
              <w:ind w:right="278"/>
              <w:rPr>
                <w:rFonts w:cs="Times New Roman" w:asciiTheme="minorEastAsia" w:hAnsiTheme="minorEastAsia"/>
                <w:color w:val="000000"/>
                <w:spacing w:val="-6"/>
                <w:kern w:val="0"/>
                <w:sz w:val="24"/>
                <w:szCs w:val="24"/>
              </w:rPr>
            </w:pPr>
            <w:r>
              <w:rPr>
                <w:rFonts w:hint="eastAsia" w:cs="Times New Roman" w:asciiTheme="minorEastAsia" w:hAnsiTheme="minorEastAsia"/>
                <w:color w:val="000000"/>
                <w:spacing w:val="-6"/>
                <w:kern w:val="0"/>
                <w:sz w:val="24"/>
                <w:szCs w:val="24"/>
              </w:rPr>
              <w:sym w:font="Wingdings 2" w:char="0052"/>
            </w:r>
            <w:r>
              <w:rPr>
                <w:rFonts w:hint="eastAsia" w:cs="Times New Roman" w:asciiTheme="minorEastAsia" w:hAnsiTheme="minorEastAsia"/>
                <w:color w:val="000000"/>
                <w:spacing w:val="-6"/>
                <w:kern w:val="0"/>
                <w:sz w:val="24"/>
                <w:szCs w:val="24"/>
              </w:rPr>
              <w:t xml:space="preserve">特定对象调研 </w:t>
            </w:r>
            <w:r>
              <w:rPr>
                <w:rFonts w:cs="Times New Roman" w:asciiTheme="minorEastAsia" w:hAnsiTheme="minorEastAsia"/>
                <w:color w:val="000000"/>
                <w:spacing w:val="-6"/>
                <w:kern w:val="0"/>
                <w:sz w:val="24"/>
                <w:szCs w:val="24"/>
              </w:rPr>
              <w:t xml:space="preserve">    </w:t>
            </w:r>
            <w:r>
              <w:rPr>
                <w:rFonts w:hint="eastAsia" w:cs="Times New Roman" w:asciiTheme="minorEastAsia" w:hAnsiTheme="minorEastAsia"/>
                <w:color w:val="000000"/>
                <w:spacing w:val="-6"/>
                <w:kern w:val="0"/>
                <w:sz w:val="24"/>
                <w:szCs w:val="24"/>
              </w:rPr>
              <w:t>□分析师会议</w:t>
            </w:r>
          </w:p>
          <w:p>
            <w:pPr>
              <w:spacing w:line="420" w:lineRule="exact"/>
              <w:ind w:right="278"/>
              <w:rPr>
                <w:rFonts w:cs="Times New Roman" w:asciiTheme="minorEastAsia" w:hAnsiTheme="minorEastAsia"/>
                <w:color w:val="000000"/>
                <w:spacing w:val="-6"/>
                <w:kern w:val="0"/>
                <w:sz w:val="24"/>
                <w:szCs w:val="24"/>
              </w:rPr>
            </w:pPr>
            <w:r>
              <w:rPr>
                <w:rFonts w:hint="eastAsia" w:cs="Times New Roman" w:asciiTheme="minorEastAsia" w:hAnsiTheme="minorEastAsia"/>
                <w:color w:val="000000"/>
                <w:spacing w:val="-6"/>
                <w:kern w:val="0"/>
                <w:sz w:val="24"/>
                <w:szCs w:val="24"/>
              </w:rPr>
              <w:t xml:space="preserve">□媒体采访 </w:t>
            </w:r>
            <w:r>
              <w:rPr>
                <w:rFonts w:cs="Times New Roman" w:asciiTheme="minorEastAsia" w:hAnsiTheme="minorEastAsia"/>
                <w:color w:val="000000"/>
                <w:spacing w:val="-6"/>
                <w:kern w:val="0"/>
                <w:sz w:val="24"/>
                <w:szCs w:val="24"/>
              </w:rPr>
              <w:t xml:space="preserve">         </w:t>
            </w:r>
            <w:r>
              <w:rPr>
                <w:rFonts w:hint="eastAsia" w:cs="Times New Roman" w:asciiTheme="minorEastAsia" w:hAnsiTheme="minorEastAsia"/>
                <w:color w:val="000000"/>
                <w:spacing w:val="-6"/>
                <w:kern w:val="0"/>
                <w:sz w:val="24"/>
                <w:szCs w:val="24"/>
              </w:rPr>
              <w:sym w:font="Wingdings 2" w:char="00A3"/>
            </w:r>
            <w:r>
              <w:rPr>
                <w:rFonts w:hint="eastAsia" w:cs="Times New Roman" w:asciiTheme="minorEastAsia" w:hAnsiTheme="minorEastAsia"/>
                <w:color w:val="000000"/>
                <w:spacing w:val="-6"/>
                <w:kern w:val="0"/>
                <w:sz w:val="24"/>
                <w:szCs w:val="24"/>
              </w:rPr>
              <w:t>路演活动</w:t>
            </w:r>
          </w:p>
          <w:p>
            <w:pPr>
              <w:spacing w:line="420" w:lineRule="exact"/>
              <w:ind w:right="278"/>
              <w:rPr>
                <w:rFonts w:cs="Times New Roman" w:asciiTheme="minorEastAsia" w:hAnsiTheme="minorEastAsia"/>
                <w:color w:val="000000"/>
                <w:spacing w:val="-6"/>
                <w:kern w:val="0"/>
                <w:sz w:val="24"/>
                <w:szCs w:val="24"/>
              </w:rPr>
            </w:pPr>
            <w:r>
              <w:rPr>
                <w:rFonts w:hint="eastAsia" w:cs="Times New Roman" w:asciiTheme="minorEastAsia" w:hAnsiTheme="minorEastAsia"/>
                <w:color w:val="000000"/>
                <w:spacing w:val="-6"/>
                <w:kern w:val="0"/>
                <w:sz w:val="24"/>
                <w:szCs w:val="24"/>
              </w:rPr>
              <w:t xml:space="preserve">□新闻发布会 </w:t>
            </w:r>
            <w:r>
              <w:rPr>
                <w:rFonts w:cs="Times New Roman" w:asciiTheme="minorEastAsia" w:hAnsiTheme="minorEastAsia"/>
                <w:color w:val="000000"/>
                <w:spacing w:val="-6"/>
                <w:kern w:val="0"/>
                <w:sz w:val="24"/>
                <w:szCs w:val="24"/>
              </w:rPr>
              <w:t xml:space="preserve">       </w:t>
            </w:r>
            <w:r>
              <w:rPr>
                <w:rFonts w:hint="eastAsia" w:cs="Times New Roman" w:asciiTheme="minorEastAsia" w:hAnsiTheme="minorEastAsia"/>
                <w:color w:val="000000"/>
                <w:spacing w:val="-6"/>
                <w:kern w:val="0"/>
                <w:sz w:val="24"/>
                <w:szCs w:val="24"/>
              </w:rPr>
              <w:sym w:font="Wingdings 2" w:char="0052"/>
            </w:r>
            <w:r>
              <w:rPr>
                <w:rFonts w:hint="eastAsia" w:cs="Times New Roman" w:asciiTheme="minorEastAsia" w:hAnsiTheme="minorEastAsia"/>
                <w:color w:val="000000"/>
                <w:spacing w:val="-6"/>
                <w:kern w:val="0"/>
                <w:sz w:val="24"/>
                <w:szCs w:val="24"/>
              </w:rPr>
              <w:t xml:space="preserve">现场参观 </w:t>
            </w:r>
            <w:r>
              <w:rPr>
                <w:rFonts w:cs="Times New Roman" w:asciiTheme="minorEastAsia" w:hAnsiTheme="minorEastAsia"/>
                <w:color w:val="000000"/>
                <w:spacing w:val="-6"/>
                <w:kern w:val="0"/>
                <w:sz w:val="24"/>
                <w:szCs w:val="24"/>
              </w:rPr>
              <w:t xml:space="preserve"> </w:t>
            </w:r>
          </w:p>
          <w:p>
            <w:pPr>
              <w:spacing w:line="420" w:lineRule="exact"/>
              <w:ind w:right="278"/>
              <w:rPr>
                <w:rFonts w:hint="default" w:cs="Times New Roman" w:asciiTheme="minorEastAsia" w:hAnsiTheme="minorEastAsia" w:eastAsiaTheme="minorEastAsia"/>
                <w:color w:val="000000"/>
                <w:spacing w:val="-6"/>
                <w:kern w:val="0"/>
                <w:sz w:val="24"/>
                <w:szCs w:val="24"/>
                <w:lang w:val="en-US" w:eastAsia="zh-CN"/>
              </w:rPr>
            </w:pPr>
            <w:r>
              <w:rPr>
                <w:rFonts w:hint="eastAsia" w:cs="Times New Roman" w:asciiTheme="minorEastAsia" w:hAnsiTheme="minorEastAsia"/>
                <w:color w:val="000000"/>
                <w:spacing w:val="-6"/>
                <w:kern w:val="0"/>
                <w:sz w:val="24"/>
                <w:szCs w:val="24"/>
              </w:rPr>
              <w:sym w:font="Wingdings 2" w:char="0052"/>
            </w:r>
            <w:r>
              <w:rPr>
                <w:rFonts w:hint="eastAsia" w:cs="Times New Roman" w:asciiTheme="minorEastAsia" w:hAnsiTheme="minorEastAsia"/>
                <w:color w:val="000000"/>
                <w:spacing w:val="-6"/>
                <w:kern w:val="0"/>
                <w:sz w:val="24"/>
                <w:szCs w:val="24"/>
              </w:rPr>
              <w:t>其他：</w:t>
            </w:r>
            <w:r>
              <w:rPr>
                <w:rFonts w:hint="eastAsia" w:cs="Times New Roman" w:asciiTheme="minorEastAsia" w:hAnsiTheme="minorEastAsia"/>
                <w:color w:val="000000"/>
                <w:spacing w:val="-6"/>
                <w:kern w:val="0"/>
                <w:sz w:val="24"/>
                <w:szCs w:val="24"/>
                <w:lang w:val="en-US" w:eastAsia="zh-CN"/>
              </w:rPr>
              <w:t>线上路演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5" w:hRule="atLeast"/>
          <w:jc w:val="center"/>
        </w:trPr>
        <w:tc>
          <w:tcPr>
            <w:tcW w:w="2490" w:type="dxa"/>
            <w:vAlign w:val="center"/>
          </w:tcPr>
          <w:p>
            <w:pPr>
              <w:spacing w:line="420" w:lineRule="exact"/>
              <w:jc w:val="center"/>
              <w:rPr>
                <w:rFonts w:asciiTheme="minorEastAsia" w:hAnsiTheme="minorEastAsia"/>
                <w:b/>
                <w:sz w:val="24"/>
                <w:szCs w:val="24"/>
              </w:rPr>
            </w:pPr>
            <w:r>
              <w:rPr>
                <w:rFonts w:hint="eastAsia" w:asciiTheme="minorEastAsia" w:hAnsiTheme="minorEastAsia"/>
                <w:b/>
                <w:sz w:val="24"/>
                <w:szCs w:val="24"/>
              </w:rPr>
              <w:t>来访时间、参与单位名称</w:t>
            </w:r>
          </w:p>
        </w:tc>
        <w:tc>
          <w:tcPr>
            <w:tcW w:w="7204" w:type="dxa"/>
          </w:tcPr>
          <w:p>
            <w:pPr>
              <w:spacing w:line="540" w:lineRule="exact"/>
              <w:rPr>
                <w:rFonts w:asciiTheme="minorEastAsia" w:hAnsiTheme="minorEastAsia"/>
                <w:sz w:val="24"/>
                <w:szCs w:val="24"/>
              </w:rPr>
            </w:pPr>
            <w:r>
              <w:rPr>
                <w:rFonts w:hint="eastAsia" w:asciiTheme="minorEastAsia" w:hAnsiTheme="minorEastAsia"/>
                <w:sz w:val="24"/>
                <w:szCs w:val="24"/>
              </w:rPr>
              <w:t>1月6日1</w:t>
            </w:r>
            <w:r>
              <w:rPr>
                <w:rFonts w:asciiTheme="minorEastAsia" w:hAnsiTheme="minorEastAsia"/>
                <w:sz w:val="24"/>
                <w:szCs w:val="24"/>
              </w:rPr>
              <w:t>0</w:t>
            </w:r>
            <w:r>
              <w:rPr>
                <w:rFonts w:hint="eastAsia" w:asciiTheme="minorEastAsia" w:hAnsiTheme="minorEastAsia"/>
                <w:sz w:val="24"/>
                <w:szCs w:val="24"/>
              </w:rPr>
              <w:t>:0</w:t>
            </w:r>
            <w:r>
              <w:rPr>
                <w:rFonts w:asciiTheme="minorEastAsia" w:hAnsiTheme="minorEastAsia"/>
                <w:sz w:val="24"/>
                <w:szCs w:val="24"/>
              </w:rPr>
              <w:t>0</w:t>
            </w:r>
          </w:p>
          <w:p>
            <w:pPr>
              <w:spacing w:line="540" w:lineRule="exact"/>
              <w:rPr>
                <w:rFonts w:asciiTheme="minorEastAsia" w:hAnsiTheme="minorEastAsia"/>
                <w:sz w:val="24"/>
                <w:szCs w:val="24"/>
              </w:rPr>
            </w:pPr>
            <w:r>
              <w:rPr>
                <w:rFonts w:hint="eastAsia" w:asciiTheme="minorEastAsia" w:hAnsiTheme="minorEastAsia"/>
                <w:sz w:val="24"/>
                <w:szCs w:val="24"/>
              </w:rPr>
              <w:t>中金公司分析师等1人</w:t>
            </w:r>
          </w:p>
          <w:p>
            <w:pPr>
              <w:spacing w:line="540" w:lineRule="exact"/>
              <w:rPr>
                <w:rFonts w:asciiTheme="minorEastAsia" w:hAnsiTheme="minorEastAsia"/>
                <w:sz w:val="24"/>
                <w:szCs w:val="24"/>
              </w:rPr>
            </w:pPr>
            <w:r>
              <w:rPr>
                <w:rFonts w:hint="eastAsia" w:asciiTheme="minorEastAsia" w:hAnsiTheme="minorEastAsia"/>
                <w:sz w:val="24"/>
                <w:szCs w:val="24"/>
              </w:rPr>
              <w:t>2月1</w:t>
            </w:r>
            <w:r>
              <w:rPr>
                <w:rFonts w:asciiTheme="minorEastAsia" w:hAnsiTheme="minorEastAsia"/>
                <w:sz w:val="24"/>
                <w:szCs w:val="24"/>
              </w:rPr>
              <w:t>2</w:t>
            </w:r>
            <w:r>
              <w:rPr>
                <w:rFonts w:hint="eastAsia" w:asciiTheme="minorEastAsia" w:hAnsiTheme="minorEastAsia"/>
                <w:sz w:val="24"/>
                <w:szCs w:val="24"/>
              </w:rPr>
              <w:t>日1</w:t>
            </w:r>
            <w:r>
              <w:rPr>
                <w:rFonts w:asciiTheme="minorEastAsia" w:hAnsiTheme="minorEastAsia"/>
                <w:sz w:val="24"/>
                <w:szCs w:val="24"/>
              </w:rPr>
              <w:t>4</w:t>
            </w:r>
            <w:r>
              <w:rPr>
                <w:rFonts w:hint="eastAsia" w:asciiTheme="minorEastAsia" w:hAnsiTheme="minorEastAsia"/>
                <w:sz w:val="24"/>
                <w:szCs w:val="24"/>
              </w:rPr>
              <w:t>:0</w:t>
            </w:r>
            <w:r>
              <w:rPr>
                <w:rFonts w:asciiTheme="minorEastAsia" w:hAnsiTheme="minorEastAsia"/>
                <w:sz w:val="24"/>
                <w:szCs w:val="24"/>
              </w:rPr>
              <w:t>0</w:t>
            </w:r>
          </w:p>
          <w:p>
            <w:pPr>
              <w:spacing w:line="540" w:lineRule="exact"/>
              <w:rPr>
                <w:rFonts w:asciiTheme="minorEastAsia" w:hAnsiTheme="minorEastAsia"/>
                <w:sz w:val="24"/>
                <w:szCs w:val="24"/>
              </w:rPr>
            </w:pPr>
            <w:r>
              <w:rPr>
                <w:rFonts w:hint="eastAsia" w:asciiTheme="minorEastAsia" w:hAnsiTheme="minorEastAsia"/>
                <w:sz w:val="24"/>
                <w:szCs w:val="24"/>
              </w:rPr>
              <w:t>银河证券、南方基金等机构投资者和分析师4人</w:t>
            </w:r>
          </w:p>
          <w:p>
            <w:pPr>
              <w:spacing w:line="540" w:lineRule="exact"/>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月</w:t>
            </w:r>
            <w:r>
              <w:rPr>
                <w:rFonts w:hint="default" w:asciiTheme="minorEastAsia" w:hAnsiTheme="minorEastAsia"/>
                <w:sz w:val="24"/>
                <w:szCs w:val="24"/>
                <w:lang w:val="en-US"/>
              </w:rPr>
              <w:t xml:space="preserve"> </w:t>
            </w:r>
            <w:r>
              <w:rPr>
                <w:rFonts w:hint="eastAsia" w:asciiTheme="minorEastAsia" w:hAnsiTheme="minorEastAsia"/>
                <w:sz w:val="24"/>
                <w:szCs w:val="24"/>
              </w:rPr>
              <w:t>3日1</w:t>
            </w:r>
            <w:r>
              <w:rPr>
                <w:rFonts w:asciiTheme="minorEastAsia" w:hAnsiTheme="minorEastAsia"/>
                <w:sz w:val="24"/>
                <w:szCs w:val="24"/>
              </w:rPr>
              <w:t>0</w:t>
            </w:r>
            <w:r>
              <w:rPr>
                <w:rFonts w:hint="eastAsia" w:asciiTheme="minorEastAsia" w:hAnsiTheme="minorEastAsia"/>
                <w:sz w:val="24"/>
                <w:szCs w:val="24"/>
              </w:rPr>
              <w:t>:0</w:t>
            </w:r>
            <w:r>
              <w:rPr>
                <w:rFonts w:asciiTheme="minorEastAsia" w:hAnsiTheme="minorEastAsia"/>
                <w:sz w:val="24"/>
                <w:szCs w:val="24"/>
              </w:rPr>
              <w:t>0</w:t>
            </w:r>
          </w:p>
          <w:p>
            <w:pPr>
              <w:spacing w:line="540" w:lineRule="exact"/>
              <w:rPr>
                <w:rFonts w:asciiTheme="minorEastAsia" w:hAnsiTheme="minorEastAsia"/>
                <w:sz w:val="24"/>
                <w:szCs w:val="24"/>
              </w:rPr>
            </w:pPr>
            <w:r>
              <w:rPr>
                <w:rFonts w:hint="eastAsia" w:asciiTheme="minorEastAsia" w:hAnsiTheme="minorEastAsia"/>
                <w:sz w:val="24"/>
                <w:szCs w:val="24"/>
              </w:rPr>
              <w:t>中信证券、富国基金等机构投资者和分析师1</w:t>
            </w:r>
            <w:r>
              <w:rPr>
                <w:rFonts w:asciiTheme="minorEastAsia" w:hAnsiTheme="minorEastAsia"/>
                <w:sz w:val="24"/>
                <w:szCs w:val="24"/>
              </w:rPr>
              <w:t>1</w:t>
            </w:r>
            <w:r>
              <w:rPr>
                <w:rFonts w:hint="eastAsia" w:asciiTheme="minorEastAsia" w:hAnsiTheme="minorEastAsia"/>
                <w:sz w:val="24"/>
                <w:szCs w:val="24"/>
              </w:rPr>
              <w:t>人</w:t>
            </w:r>
          </w:p>
          <w:p>
            <w:pPr>
              <w:spacing w:line="540" w:lineRule="exact"/>
              <w:rPr>
                <w:rFonts w:asciiTheme="minorEastAsia" w:hAnsiTheme="minorEastAsia"/>
                <w:sz w:val="24"/>
                <w:szCs w:val="24"/>
              </w:rPr>
            </w:pPr>
            <w:r>
              <w:rPr>
                <w:rFonts w:hint="eastAsia" w:asciiTheme="minorEastAsia" w:hAnsiTheme="minorEastAsia"/>
                <w:sz w:val="24"/>
                <w:szCs w:val="24"/>
              </w:rPr>
              <w:t>3月1</w:t>
            </w:r>
            <w:r>
              <w:rPr>
                <w:rFonts w:asciiTheme="minorEastAsia" w:hAnsiTheme="minorEastAsia"/>
                <w:sz w:val="24"/>
                <w:szCs w:val="24"/>
              </w:rPr>
              <w:t>1</w:t>
            </w:r>
            <w:r>
              <w:rPr>
                <w:rFonts w:hint="eastAsia" w:asciiTheme="minorEastAsia" w:hAnsiTheme="minorEastAsia"/>
                <w:sz w:val="24"/>
                <w:szCs w:val="24"/>
              </w:rPr>
              <w:t>日1</w:t>
            </w:r>
            <w:r>
              <w:rPr>
                <w:rFonts w:asciiTheme="minorEastAsia" w:hAnsiTheme="minorEastAsia"/>
                <w:sz w:val="24"/>
                <w:szCs w:val="24"/>
              </w:rPr>
              <w:t>0</w:t>
            </w:r>
            <w:r>
              <w:rPr>
                <w:rFonts w:hint="eastAsia" w:asciiTheme="minorEastAsia" w:hAnsiTheme="minorEastAsia"/>
                <w:sz w:val="24"/>
                <w:szCs w:val="24"/>
              </w:rPr>
              <w:t>:0</w:t>
            </w:r>
            <w:r>
              <w:rPr>
                <w:rFonts w:asciiTheme="minorEastAsia" w:hAnsiTheme="minorEastAsia"/>
                <w:sz w:val="24"/>
                <w:szCs w:val="24"/>
              </w:rPr>
              <w:t>0</w:t>
            </w:r>
          </w:p>
          <w:p>
            <w:pPr>
              <w:spacing w:line="540" w:lineRule="exact"/>
              <w:rPr>
                <w:rFonts w:hint="eastAsia" w:asciiTheme="minorEastAsia" w:hAnsiTheme="minorEastAsia"/>
                <w:sz w:val="24"/>
                <w:szCs w:val="24"/>
              </w:rPr>
            </w:pPr>
            <w:r>
              <w:rPr>
                <w:rFonts w:hint="eastAsia" w:asciiTheme="minorEastAsia" w:hAnsiTheme="minorEastAsia"/>
                <w:sz w:val="24"/>
                <w:szCs w:val="24"/>
              </w:rPr>
              <w:t>国泰海通证券、富国基金等机构投资者和分析师</w:t>
            </w:r>
            <w:r>
              <w:rPr>
                <w:rFonts w:asciiTheme="minorEastAsia" w:hAnsiTheme="minorEastAsia"/>
                <w:sz w:val="24"/>
                <w:szCs w:val="24"/>
              </w:rPr>
              <w:t>6</w:t>
            </w:r>
            <w:r>
              <w:rPr>
                <w:rFonts w:hint="eastAsia" w:asciiTheme="minorEastAsia"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90" w:type="dxa"/>
          </w:tcPr>
          <w:p>
            <w:pPr>
              <w:spacing w:line="420" w:lineRule="exact"/>
              <w:jc w:val="center"/>
              <w:rPr>
                <w:rFonts w:asciiTheme="minorEastAsia" w:hAnsiTheme="minorEastAsia"/>
                <w:b/>
                <w:sz w:val="24"/>
                <w:szCs w:val="24"/>
              </w:rPr>
            </w:pPr>
            <w:r>
              <w:rPr>
                <w:rFonts w:hint="eastAsia" w:asciiTheme="minorEastAsia" w:hAnsiTheme="minorEastAsia"/>
                <w:b/>
                <w:sz w:val="24"/>
                <w:szCs w:val="24"/>
              </w:rPr>
              <w:t>地点及形式</w:t>
            </w:r>
          </w:p>
        </w:tc>
        <w:tc>
          <w:tcPr>
            <w:tcW w:w="7204" w:type="dxa"/>
          </w:tcPr>
          <w:p>
            <w:pPr>
              <w:spacing w:line="420" w:lineRule="exac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公司办公楼会议室，现场调研座谈</w:t>
            </w:r>
            <w:r>
              <w:rPr>
                <w:rFonts w:hint="eastAsia" w:asciiTheme="minorEastAsia" w:hAnsiTheme="minorEastAsia"/>
                <w:sz w:val="24"/>
                <w:szCs w:val="24"/>
                <w:lang w:val="en-US" w:eastAsia="zh-CN"/>
              </w:rPr>
              <w:t>及</w:t>
            </w:r>
            <w:r>
              <w:rPr>
                <w:rFonts w:hint="eastAsia" w:asciiTheme="minorEastAsia" w:hAnsiTheme="minorEastAsia"/>
                <w:sz w:val="24"/>
                <w:szCs w:val="24"/>
              </w:rPr>
              <w:t>参观</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线上路演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tcPr>
          <w:p>
            <w:pPr>
              <w:spacing w:line="420" w:lineRule="exact"/>
              <w:jc w:val="center"/>
              <w:rPr>
                <w:rFonts w:asciiTheme="minorEastAsia" w:hAnsiTheme="minorEastAsia"/>
                <w:b/>
                <w:sz w:val="24"/>
                <w:szCs w:val="24"/>
              </w:rPr>
            </w:pPr>
            <w:r>
              <w:rPr>
                <w:rFonts w:hint="eastAsia" w:asciiTheme="minorEastAsia" w:hAnsiTheme="minorEastAsia"/>
                <w:b/>
                <w:sz w:val="24"/>
                <w:szCs w:val="24"/>
              </w:rPr>
              <w:t>上市公司接待</w:t>
            </w:r>
          </w:p>
          <w:p>
            <w:pPr>
              <w:spacing w:line="420" w:lineRule="exact"/>
              <w:jc w:val="center"/>
              <w:rPr>
                <w:rFonts w:asciiTheme="minorEastAsia" w:hAnsiTheme="minorEastAsia"/>
                <w:b/>
                <w:sz w:val="24"/>
                <w:szCs w:val="24"/>
              </w:rPr>
            </w:pPr>
            <w:r>
              <w:rPr>
                <w:rFonts w:hint="eastAsia" w:asciiTheme="minorEastAsia" w:hAnsiTheme="minorEastAsia"/>
                <w:b/>
                <w:sz w:val="24"/>
                <w:szCs w:val="24"/>
              </w:rPr>
              <w:t>人员</w:t>
            </w:r>
          </w:p>
        </w:tc>
        <w:tc>
          <w:tcPr>
            <w:tcW w:w="7204" w:type="dxa"/>
          </w:tcPr>
          <w:p>
            <w:pPr>
              <w:spacing w:line="420" w:lineRule="exact"/>
              <w:rPr>
                <w:rFonts w:asciiTheme="minorEastAsia" w:hAnsiTheme="minorEastAsia"/>
                <w:sz w:val="24"/>
                <w:szCs w:val="24"/>
              </w:rPr>
            </w:pPr>
            <w:r>
              <w:rPr>
                <w:rFonts w:hint="eastAsia" w:asciiTheme="minorEastAsia" w:hAnsiTheme="minorEastAsia"/>
                <w:sz w:val="24"/>
                <w:szCs w:val="24"/>
              </w:rPr>
              <w:t>公司董事</w:t>
            </w:r>
            <w:r>
              <w:rPr>
                <w:rFonts w:hint="eastAsia" w:asciiTheme="minorEastAsia" w:hAnsiTheme="minorEastAsia"/>
                <w:sz w:val="24"/>
                <w:szCs w:val="24"/>
                <w:lang w:val="en-US" w:eastAsia="zh-CN"/>
              </w:rPr>
              <w:t>郭文亮先生</w:t>
            </w:r>
            <w:r>
              <w:rPr>
                <w:rFonts w:hint="eastAsia" w:asciiTheme="minorEastAsia" w:hAnsiTheme="minorEastAsia"/>
                <w:sz w:val="24"/>
                <w:szCs w:val="24"/>
              </w:rPr>
              <w:t>，证券融资部等相关部门人员</w:t>
            </w:r>
          </w:p>
          <w:p>
            <w:pPr>
              <w:spacing w:line="420" w:lineRule="exact"/>
              <w:rPr>
                <w:rFonts w:asciiTheme="minorEastAsia" w:hAnsiTheme="minorEastAsia"/>
                <w:sz w:val="24"/>
                <w:szCs w:val="24"/>
              </w:rPr>
            </w:pPr>
          </w:p>
          <w:p>
            <w:pPr>
              <w:spacing w:line="420" w:lineRule="exac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90" w:type="dxa"/>
            <w:vAlign w:val="center"/>
          </w:tcPr>
          <w:p>
            <w:pPr>
              <w:spacing w:line="420" w:lineRule="exact"/>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7204" w:type="dxa"/>
            <w:shd w:val="clear" w:color="auto" w:fill="auto"/>
            <w:vAlign w:val="top"/>
          </w:tcPr>
          <w:p>
            <w:pPr>
              <w:spacing w:line="540" w:lineRule="exact"/>
              <w:ind w:firstLine="480" w:firstLineChars="200"/>
              <w:rPr>
                <w:rFonts w:asciiTheme="minorEastAsia" w:hAnsiTheme="minorEastAsia"/>
                <w:sz w:val="24"/>
                <w:szCs w:val="24"/>
              </w:rPr>
            </w:pPr>
            <w:r>
              <w:rPr>
                <w:rFonts w:hint="eastAsia" w:asciiTheme="minorEastAsia" w:hAnsiTheme="minorEastAsia"/>
                <w:sz w:val="24"/>
                <w:szCs w:val="24"/>
              </w:rPr>
              <w:t>投资者沟通交流活动的主要内容归纳整理如下：</w:t>
            </w:r>
          </w:p>
          <w:p>
            <w:pPr>
              <w:spacing w:line="540" w:lineRule="exact"/>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1．关于稀土精矿定价公式中五网的稀土氧化物均价中的氧化物指哪些？五网指哪些？</w:t>
            </w:r>
          </w:p>
          <w:p>
            <w:pPr>
              <w:spacing w:line="540" w:lineRule="exact"/>
              <w:ind w:firstLine="480" w:firstLineChars="200"/>
              <w:rPr>
                <w:rFonts w:cs="宋体" w:asciiTheme="minorEastAsia" w:hAnsiTheme="minorEastAsia"/>
                <w:b/>
                <w:bCs/>
                <w:sz w:val="24"/>
                <w:szCs w:val="24"/>
              </w:rPr>
            </w:pPr>
            <w:r>
              <w:rPr>
                <w:rFonts w:hint="eastAsia" w:cs="宋体" w:asciiTheme="minorEastAsia" w:hAnsiTheme="minorEastAsia"/>
                <w:sz w:val="24"/>
                <w:szCs w:val="24"/>
              </w:rPr>
              <w:t>回答：公司稀土精矿定价公式中的稀土氧化物包括氧化镧、氧化铈、氧化镨钕、氧化铽、氧化镝、氧化富铕。五网是指百川盈孚网、瑞道金属网、亚洲金属网、我的钢铁网及ARGUS网五家网站均价。</w:t>
            </w:r>
          </w:p>
          <w:p>
            <w:pPr>
              <w:spacing w:line="540" w:lineRule="exact"/>
              <w:ind w:firstLine="482" w:firstLineChars="200"/>
              <w:rPr>
                <w:rFonts w:cs="宋体" w:asciiTheme="minorEastAsia" w:hAnsiTheme="minorEastAsia"/>
                <w:b/>
                <w:bCs/>
                <w:sz w:val="24"/>
                <w:szCs w:val="24"/>
              </w:rPr>
            </w:pPr>
            <w:r>
              <w:rPr>
                <w:rFonts w:cs="宋体" w:asciiTheme="minorEastAsia" w:hAnsiTheme="minorEastAsia"/>
                <w:b/>
                <w:bCs/>
                <w:sz w:val="24"/>
                <w:szCs w:val="24"/>
              </w:rPr>
              <w:t>2</w:t>
            </w:r>
            <w:r>
              <w:rPr>
                <w:rFonts w:hint="eastAsia" w:cs="宋体" w:asciiTheme="minorEastAsia" w:hAnsiTheme="minorEastAsia"/>
                <w:b/>
                <w:bCs/>
                <w:sz w:val="24"/>
                <w:szCs w:val="24"/>
              </w:rPr>
              <w:t>．资产减值损失中的存货跌价损失主要是哪方面？</w:t>
            </w:r>
          </w:p>
          <w:p>
            <w:pPr>
              <w:spacing w:line="5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回答：主要是钢铁业务的库存和发出商品。按照会计准则的规定，本着谨慎性原则，对部分存货存在的可回收金额低于其帐面价值计提的资产减值损失。</w:t>
            </w:r>
          </w:p>
          <w:p>
            <w:pPr>
              <w:spacing w:line="540" w:lineRule="exact"/>
              <w:ind w:firstLine="482" w:firstLineChars="200"/>
              <w:rPr>
                <w:rFonts w:cs="宋体" w:asciiTheme="minorEastAsia" w:hAnsiTheme="minorEastAsia"/>
                <w:b/>
                <w:bCs/>
                <w:sz w:val="24"/>
                <w:szCs w:val="24"/>
              </w:rPr>
            </w:pPr>
            <w:r>
              <w:rPr>
                <w:rFonts w:cs="宋体" w:asciiTheme="minorEastAsia" w:hAnsiTheme="minorEastAsia"/>
                <w:b/>
                <w:bCs/>
                <w:sz w:val="24"/>
                <w:szCs w:val="24"/>
              </w:rPr>
              <w:t>3</w:t>
            </w:r>
            <w:r>
              <w:rPr>
                <w:rFonts w:hint="eastAsia" w:cs="宋体" w:asciiTheme="minorEastAsia" w:hAnsiTheme="minorEastAsia"/>
                <w:b/>
                <w:bCs/>
                <w:sz w:val="24"/>
                <w:szCs w:val="24"/>
              </w:rPr>
              <w:t>．钢铁反内卷预期下2</w:t>
            </w:r>
            <w:r>
              <w:rPr>
                <w:rFonts w:cs="宋体" w:asciiTheme="minorEastAsia" w:hAnsiTheme="minorEastAsia"/>
                <w:b/>
                <w:bCs/>
                <w:sz w:val="24"/>
                <w:szCs w:val="24"/>
              </w:rPr>
              <w:t>026</w:t>
            </w:r>
            <w:r>
              <w:rPr>
                <w:rFonts w:hint="eastAsia" w:cs="宋体" w:asciiTheme="minorEastAsia" w:hAnsiTheme="minorEastAsia"/>
                <w:b/>
                <w:bCs/>
                <w:sz w:val="24"/>
                <w:szCs w:val="24"/>
              </w:rPr>
              <w:t>年是否会向好？</w:t>
            </w:r>
            <w:r>
              <w:rPr>
                <w:rFonts w:cs="宋体" w:asciiTheme="minorEastAsia" w:hAnsiTheme="minorEastAsia"/>
                <w:b/>
                <w:bCs/>
                <w:sz w:val="24"/>
                <w:szCs w:val="24"/>
              </w:rPr>
              <w:t xml:space="preserve"> </w:t>
            </w:r>
          </w:p>
          <w:p>
            <w:pPr>
              <w:spacing w:line="5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回答：国家层面坚决抵制“内卷式”竞争，引导行业健康、良性、可持续发展，预计2026年粗钢产量将延续小幅下降态势，供需矛盾逐步缓解，总体利好行业未来发展。具体来看，政策鼓励钢企提升产品技术含量，避免同质化竞争，高端钢材占比提升或成利润增长点，但需求端仍面临挑战</w:t>
            </w:r>
            <w:r>
              <w:rPr>
                <w:rFonts w:hint="eastAsia" w:ascii="MS Gothic" w:hAnsi="MS Gothic" w:eastAsia="MS Gothic" w:cs="MS Gothic"/>
                <w:sz w:val="24"/>
                <w:szCs w:val="24"/>
              </w:rPr>
              <w:t>‌</w:t>
            </w:r>
            <w:r>
              <w:rPr>
                <w:rFonts w:hint="eastAsia" w:ascii="宋体" w:hAnsi="宋体" w:eastAsia="宋体" w:cs="宋体"/>
                <w:sz w:val="24"/>
                <w:szCs w:val="24"/>
              </w:rPr>
              <w:t>，</w:t>
            </w:r>
            <w:r>
              <w:rPr>
                <w:rFonts w:hint="eastAsia" w:cs="宋体" w:asciiTheme="minorEastAsia" w:hAnsiTheme="minorEastAsia"/>
                <w:sz w:val="24"/>
                <w:szCs w:val="24"/>
              </w:rPr>
              <w:t>出口或受全球经贸摩擦影响。2026年钢铁行业在政策托底与成本改善下，盈利或延续修复，但需警惕需求不及预期及政策执行偏差风险</w:t>
            </w:r>
            <w:r>
              <w:rPr>
                <w:rFonts w:hint="eastAsia" w:ascii="MS Gothic" w:hAnsi="MS Gothic" w:eastAsia="MS Gothic" w:cs="MS Gothic"/>
                <w:sz w:val="24"/>
                <w:szCs w:val="24"/>
              </w:rPr>
              <w:t>‌</w:t>
            </w:r>
            <w:r>
              <w:rPr>
                <w:rFonts w:hint="eastAsia" w:ascii="宋体" w:hAnsi="宋体" w:eastAsia="宋体" w:cs="宋体"/>
                <w:sz w:val="24"/>
                <w:szCs w:val="24"/>
              </w:rPr>
              <w:t>。</w:t>
            </w:r>
          </w:p>
          <w:p>
            <w:pPr>
              <w:spacing w:line="540" w:lineRule="exact"/>
              <w:ind w:firstLine="482" w:firstLineChars="200"/>
              <w:rPr>
                <w:rFonts w:cs="宋体" w:asciiTheme="minorEastAsia" w:hAnsiTheme="minorEastAsia"/>
                <w:b/>
                <w:bCs/>
                <w:sz w:val="24"/>
                <w:szCs w:val="24"/>
              </w:rPr>
            </w:pPr>
            <w:r>
              <w:rPr>
                <w:rFonts w:cs="宋体" w:asciiTheme="minorEastAsia" w:hAnsiTheme="minorEastAsia"/>
                <w:b/>
                <w:bCs/>
                <w:sz w:val="24"/>
                <w:szCs w:val="24"/>
              </w:rPr>
              <w:t>4</w:t>
            </w:r>
            <w:r>
              <w:rPr>
                <w:rFonts w:hint="eastAsia" w:cs="宋体" w:asciiTheme="minorEastAsia" w:hAnsiTheme="minorEastAsia"/>
                <w:b/>
                <w:bCs/>
                <w:sz w:val="24"/>
                <w:szCs w:val="24"/>
              </w:rPr>
              <w:t>.钢铁产品结构升级具体如何规划的？</w:t>
            </w:r>
          </w:p>
          <w:p>
            <w:pPr>
              <w:spacing w:line="540" w:lineRule="exact"/>
              <w:rPr>
                <w:rFonts w:cs="宋体" w:asciiTheme="minorEastAsia" w:hAnsiTheme="minorEastAsia"/>
                <w:color w:val="FF0000"/>
                <w:sz w:val="24"/>
                <w:szCs w:val="24"/>
              </w:rPr>
            </w:pPr>
            <w:r>
              <w:rPr>
                <w:rFonts w:hint="eastAsia" w:cs="宋体" w:asciiTheme="minorEastAsia" w:hAnsiTheme="minorEastAsia"/>
                <w:b/>
                <w:bCs/>
                <w:sz w:val="24"/>
                <w:szCs w:val="24"/>
              </w:rPr>
              <w:tab/>
            </w:r>
            <w:r>
              <w:rPr>
                <w:rFonts w:hint="eastAsia" w:cs="宋体" w:asciiTheme="minorEastAsia" w:hAnsiTheme="minorEastAsia"/>
                <w:sz w:val="24"/>
                <w:szCs w:val="24"/>
              </w:rPr>
              <w:t>包钢股份致力于服务国家和自治区经济社会发展，把握市场需求结构和产品应用场景变化，加快产品迭代升级。打造“铁路用钢、能源用钢、汽车</w:t>
            </w:r>
            <w:bookmarkStart w:id="0" w:name="_GoBack"/>
            <w:bookmarkEnd w:id="0"/>
            <w:r>
              <w:rPr>
                <w:rFonts w:hint="eastAsia" w:cs="宋体" w:asciiTheme="minorEastAsia" w:hAnsiTheme="minorEastAsia"/>
                <w:sz w:val="24"/>
                <w:szCs w:val="24"/>
              </w:rPr>
              <w:t>用钢、新型未来新材料”战略产品体系，推进产品向高质化、高等级转型，服务国家制造业升级；布局一批向“产品+服务”综合解决方案服务商转型项目，加快向先进材料供应商和综合解决方案服务商转变；在检验检测、计量等细分领域培育生产性服务业项目，形成新增长级，拓展产业价值边界。</w:t>
            </w:r>
          </w:p>
          <w:p>
            <w:pPr>
              <w:spacing w:line="540" w:lineRule="exact"/>
              <w:ind w:firstLine="482" w:firstLineChars="200"/>
              <w:rPr>
                <w:rFonts w:cs="宋体" w:asciiTheme="minorEastAsia" w:hAnsiTheme="minorEastAsia"/>
                <w:b/>
                <w:bCs/>
                <w:sz w:val="24"/>
                <w:szCs w:val="24"/>
              </w:rPr>
            </w:pPr>
            <w:r>
              <w:rPr>
                <w:rFonts w:cs="宋体" w:asciiTheme="minorEastAsia" w:hAnsiTheme="minorEastAsia"/>
                <w:b/>
                <w:bCs/>
                <w:sz w:val="24"/>
                <w:szCs w:val="24"/>
              </w:rPr>
              <w:t>5</w:t>
            </w:r>
            <w:r>
              <w:rPr>
                <w:rFonts w:hint="eastAsia" w:cs="宋体" w:asciiTheme="minorEastAsia" w:hAnsiTheme="minorEastAsia"/>
                <w:b/>
                <w:bCs/>
                <w:sz w:val="24"/>
                <w:szCs w:val="24"/>
              </w:rPr>
              <w:t>.怎么看钢铁产能示范条件分级差异化管理对公司影响？</w:t>
            </w:r>
            <w:r>
              <w:rPr>
                <w:rFonts w:cs="宋体" w:asciiTheme="minorEastAsia" w:hAnsiTheme="minorEastAsia"/>
                <w:b/>
                <w:bCs/>
                <w:sz w:val="24"/>
                <w:szCs w:val="24"/>
              </w:rPr>
              <w:t xml:space="preserve"> </w:t>
            </w:r>
          </w:p>
          <w:p>
            <w:pPr>
              <w:spacing w:line="5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答：钢铁产能示范条件分级差异化管理核心是对钢铁企业实施三级差异化政策管理（引领性规范企业、规范企业、不符合规范条件企业），引导资源向优势企业集聚，倒逼落后产能退出。</w:t>
            </w:r>
          </w:p>
          <w:p>
            <w:pPr>
              <w:spacing w:line="5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包钢股份于2024完成钢铁产业全流程超低排放改造，成为全区首家环保绩效A级企业，2025年包钢股份“双碳最佳实践能效标杆示范工序/设备”通过验收，多工序达行业标杆，正在推动高端化、智能化、绿色化、融合化转型升级。</w:t>
            </w:r>
            <w:r>
              <w:rPr>
                <w:rFonts w:cs="宋体" w:asciiTheme="minorEastAsia" w:hAnsiTheme="minorEastAsia"/>
                <w:sz w:val="24"/>
                <w:szCs w:val="24"/>
              </w:rPr>
              <w:t xml:space="preserve">     </w:t>
            </w:r>
          </w:p>
          <w:p>
            <w:pPr>
              <w:spacing w:line="540" w:lineRule="exact"/>
              <w:ind w:firstLine="482" w:firstLineChars="200"/>
              <w:rPr>
                <w:rFonts w:cs="宋体" w:asciiTheme="minorEastAsia" w:hAnsiTheme="minorEastAsia"/>
                <w:b/>
                <w:bCs/>
                <w:sz w:val="24"/>
                <w:szCs w:val="24"/>
              </w:rPr>
            </w:pPr>
            <w:r>
              <w:rPr>
                <w:rFonts w:cs="宋体" w:asciiTheme="minorEastAsia" w:hAnsiTheme="minorEastAsia"/>
                <w:b/>
                <w:bCs/>
                <w:sz w:val="24"/>
                <w:szCs w:val="24"/>
              </w:rPr>
              <w:t>6</w:t>
            </w:r>
            <w:r>
              <w:rPr>
                <w:rFonts w:hint="eastAsia" w:cs="宋体" w:asciiTheme="minorEastAsia" w:hAnsiTheme="minorEastAsia"/>
                <w:b/>
                <w:bCs/>
                <w:sz w:val="24"/>
                <w:szCs w:val="24"/>
              </w:rPr>
              <w:t>.优质精品钢、高性能钢、品种钢加系列稀土钢产量提升情况，盈利能力是否更好？</w:t>
            </w:r>
            <w:r>
              <w:rPr>
                <w:rFonts w:cs="宋体" w:asciiTheme="minorEastAsia" w:hAnsiTheme="minorEastAsia"/>
                <w:b/>
                <w:bCs/>
                <w:sz w:val="24"/>
                <w:szCs w:val="24"/>
              </w:rPr>
              <w:t xml:space="preserve"> </w:t>
            </w:r>
          </w:p>
          <w:p>
            <w:pPr>
              <w:spacing w:line="540" w:lineRule="exact"/>
              <w:ind w:firstLine="480" w:firstLineChars="200"/>
              <w:rPr>
                <w:rFonts w:cs="宋体" w:asciiTheme="minorEastAsia" w:hAnsiTheme="minorEastAsia"/>
                <w:sz w:val="24"/>
              </w:rPr>
            </w:pPr>
            <w:r>
              <w:rPr>
                <w:rFonts w:hint="eastAsia" w:cs="宋体" w:asciiTheme="minorEastAsia" w:hAnsiTheme="minorEastAsia"/>
                <w:sz w:val="24"/>
                <w:szCs w:val="24"/>
              </w:rPr>
              <w:t>公司持续深化产品结构战略调整，坚定“优质精品钢+系列稀土钢”战略，市场竞争力持续增强。2</w:t>
            </w:r>
            <w:r>
              <w:rPr>
                <w:rFonts w:cs="宋体" w:asciiTheme="minorEastAsia" w:hAnsiTheme="minorEastAsia"/>
                <w:sz w:val="24"/>
                <w:szCs w:val="24"/>
              </w:rPr>
              <w:t>025</w:t>
            </w:r>
            <w:r>
              <w:rPr>
                <w:rFonts w:hint="eastAsia" w:cs="宋体" w:asciiTheme="minorEastAsia" w:hAnsiTheme="minorEastAsia"/>
                <w:sz w:val="24"/>
                <w:szCs w:val="24"/>
              </w:rPr>
              <w:t>年前三季度，公司品种钢同比提升18.1%，稀土钢新材料产量同比提升8.28%，创同期新高，重轨销量同比提升23.59%，取向硅钢销量同比提升 375.27%，风电板销量同比提升38.12%，汽车钢销量同比提升 20.1%。深化近地服务，500公里钢材销量同比提升16.94%，风电钢周边市场占有率达到90%以上，锌铝镁镀层产品在区内光伏项目上实现了100％直供，精准匹配国家产业布局及区域发展需求。</w:t>
            </w:r>
            <w:r>
              <w:rPr>
                <w:rFonts w:hint="eastAsia" w:cs="宋体" w:asciiTheme="minorEastAsia" w:hAnsiTheme="minorEastAsia"/>
                <w:sz w:val="24"/>
              </w:rPr>
              <w:t>相较于普通钢材，上述产品盈利能力更强。</w:t>
            </w:r>
          </w:p>
          <w:p>
            <w:pPr>
              <w:spacing w:line="540" w:lineRule="exact"/>
              <w:ind w:firstLine="482" w:firstLineChars="200"/>
              <w:rPr>
                <w:rFonts w:cs="宋体" w:asciiTheme="minorEastAsia" w:hAnsiTheme="minorEastAsia"/>
                <w:b/>
                <w:bCs/>
                <w:sz w:val="24"/>
                <w:szCs w:val="24"/>
              </w:rPr>
            </w:pPr>
            <w:r>
              <w:rPr>
                <w:rFonts w:cs="宋体" w:asciiTheme="minorEastAsia" w:hAnsiTheme="minorEastAsia"/>
                <w:b/>
                <w:bCs/>
                <w:sz w:val="24"/>
                <w:szCs w:val="24"/>
              </w:rPr>
              <w:t>7</w:t>
            </w:r>
            <w:r>
              <w:rPr>
                <w:rFonts w:hint="eastAsia" w:cs="宋体" w:asciiTheme="minorEastAsia" w:hAnsiTheme="minorEastAsia"/>
                <w:b/>
                <w:bCs/>
                <w:sz w:val="24"/>
                <w:szCs w:val="24"/>
              </w:rPr>
              <w:t>.十五五，公司如何打造自身成为行业新质生产力，战略上是否有调整？</w:t>
            </w:r>
          </w:p>
          <w:p>
            <w:pPr>
              <w:spacing w:line="540" w:lineRule="exact"/>
              <w:ind w:firstLine="480" w:firstLineChars="200"/>
              <w:rPr>
                <w:rFonts w:ascii="宋体" w:hAnsi="宋体" w:eastAsia="宋体"/>
                <w:sz w:val="24"/>
                <w:szCs w:val="24"/>
              </w:rPr>
            </w:pPr>
            <w:r>
              <w:rPr>
                <w:rFonts w:hint="eastAsia" w:cs="宋体" w:asciiTheme="minorEastAsia" w:hAnsiTheme="minorEastAsia"/>
                <w:sz w:val="24"/>
                <w:szCs w:val="24"/>
              </w:rPr>
              <w:t>答：依托集团独特的资源、能源禀赋优势打磨塑造核心竞争力，聚焦先进钢铁材料、稀土钢新材料，实现战略产品价值跃升，夯实汇聚绿色要素的发展根基，构建“区域市场掌控+专业细分市场深耕+国际市场拓展”的发展新格局，向综合解决方案服务商转型取得新突破，坚定不移走“钢铁+稀土”协同发展的特色化、差异化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tcPr>
          <w:p>
            <w:pPr>
              <w:spacing w:line="420" w:lineRule="exact"/>
              <w:rPr>
                <w:rFonts w:asciiTheme="minorEastAsia" w:hAnsiTheme="minorEastAsia"/>
                <w:b/>
                <w:sz w:val="24"/>
                <w:szCs w:val="24"/>
              </w:rPr>
            </w:pPr>
            <w:r>
              <w:rPr>
                <w:rFonts w:hint="eastAsia" w:asciiTheme="minorEastAsia" w:hAnsiTheme="minorEastAsia"/>
                <w:b/>
                <w:sz w:val="24"/>
                <w:szCs w:val="24"/>
              </w:rPr>
              <w:t>附件清单（如有）</w:t>
            </w:r>
          </w:p>
        </w:tc>
        <w:tc>
          <w:tcPr>
            <w:tcW w:w="7204" w:type="dxa"/>
          </w:tcPr>
          <w:p>
            <w:pPr>
              <w:spacing w:line="420" w:lineRule="exact"/>
              <w:rPr>
                <w:rFonts w:asciiTheme="minorEastAsia" w:hAnsiTheme="minorEastAsia"/>
                <w:sz w:val="24"/>
                <w:szCs w:val="24"/>
              </w:rPr>
            </w:pPr>
            <w:r>
              <w:rPr>
                <w:rFonts w:hint="eastAsia" w:asciiTheme="minorEastAsia" w:hAnsiTheme="minorEastAsia"/>
                <w:sz w:val="24"/>
                <w:szCs w:val="24"/>
              </w:rPr>
              <w:t>无</w:t>
            </w:r>
          </w:p>
        </w:tc>
      </w:tr>
    </w:tbl>
    <w:p/>
    <w:sectPr>
      <w:pgSz w:w="11906" w:h="16838"/>
      <w:pgMar w:top="1474" w:right="1588" w:bottom="113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32"/>
    <w:rsid w:val="00003E41"/>
    <w:rsid w:val="00026C40"/>
    <w:rsid w:val="00053EF8"/>
    <w:rsid w:val="0005464A"/>
    <w:rsid w:val="000907DB"/>
    <w:rsid w:val="000A60E7"/>
    <w:rsid w:val="001026F0"/>
    <w:rsid w:val="00103075"/>
    <w:rsid w:val="0012571E"/>
    <w:rsid w:val="00155E6A"/>
    <w:rsid w:val="00157A99"/>
    <w:rsid w:val="00165ED6"/>
    <w:rsid w:val="001B208B"/>
    <w:rsid w:val="001B725F"/>
    <w:rsid w:val="001C73BC"/>
    <w:rsid w:val="001E752C"/>
    <w:rsid w:val="00201944"/>
    <w:rsid w:val="00205FBC"/>
    <w:rsid w:val="00217959"/>
    <w:rsid w:val="0022744F"/>
    <w:rsid w:val="00245099"/>
    <w:rsid w:val="00265793"/>
    <w:rsid w:val="002669FA"/>
    <w:rsid w:val="002A2F72"/>
    <w:rsid w:val="002C2A40"/>
    <w:rsid w:val="002C55F2"/>
    <w:rsid w:val="002C6A95"/>
    <w:rsid w:val="002E43DC"/>
    <w:rsid w:val="003102CA"/>
    <w:rsid w:val="00340D77"/>
    <w:rsid w:val="00351911"/>
    <w:rsid w:val="00360443"/>
    <w:rsid w:val="00361B65"/>
    <w:rsid w:val="0037449A"/>
    <w:rsid w:val="003765A3"/>
    <w:rsid w:val="00390685"/>
    <w:rsid w:val="003E598A"/>
    <w:rsid w:val="003E60F0"/>
    <w:rsid w:val="00404F64"/>
    <w:rsid w:val="00424D52"/>
    <w:rsid w:val="00426641"/>
    <w:rsid w:val="004353E5"/>
    <w:rsid w:val="0045349D"/>
    <w:rsid w:val="00474E8A"/>
    <w:rsid w:val="00492F82"/>
    <w:rsid w:val="004E56CA"/>
    <w:rsid w:val="00501523"/>
    <w:rsid w:val="00531F22"/>
    <w:rsid w:val="005449B0"/>
    <w:rsid w:val="00554E7A"/>
    <w:rsid w:val="00564907"/>
    <w:rsid w:val="00566E5B"/>
    <w:rsid w:val="0057457A"/>
    <w:rsid w:val="0058194C"/>
    <w:rsid w:val="00584458"/>
    <w:rsid w:val="005A6869"/>
    <w:rsid w:val="005B3A3B"/>
    <w:rsid w:val="005F1A1B"/>
    <w:rsid w:val="006020C0"/>
    <w:rsid w:val="00603FAE"/>
    <w:rsid w:val="0061003C"/>
    <w:rsid w:val="0062755F"/>
    <w:rsid w:val="00636513"/>
    <w:rsid w:val="00656367"/>
    <w:rsid w:val="0068622D"/>
    <w:rsid w:val="00686E17"/>
    <w:rsid w:val="006920ED"/>
    <w:rsid w:val="006A17E8"/>
    <w:rsid w:val="006A4C99"/>
    <w:rsid w:val="006D3C41"/>
    <w:rsid w:val="006D679D"/>
    <w:rsid w:val="00713842"/>
    <w:rsid w:val="00722F8E"/>
    <w:rsid w:val="0073169D"/>
    <w:rsid w:val="00782348"/>
    <w:rsid w:val="00790967"/>
    <w:rsid w:val="007B11B9"/>
    <w:rsid w:val="007D001F"/>
    <w:rsid w:val="007D52DA"/>
    <w:rsid w:val="007D669E"/>
    <w:rsid w:val="007E113B"/>
    <w:rsid w:val="007E2E6F"/>
    <w:rsid w:val="00821DC4"/>
    <w:rsid w:val="008637CD"/>
    <w:rsid w:val="00865DF0"/>
    <w:rsid w:val="008775B1"/>
    <w:rsid w:val="008B3A09"/>
    <w:rsid w:val="008C17B4"/>
    <w:rsid w:val="008C7908"/>
    <w:rsid w:val="008D0F6D"/>
    <w:rsid w:val="008D1758"/>
    <w:rsid w:val="008E0F1E"/>
    <w:rsid w:val="008E1A7C"/>
    <w:rsid w:val="008F3E48"/>
    <w:rsid w:val="00925FD8"/>
    <w:rsid w:val="0094266E"/>
    <w:rsid w:val="009702FA"/>
    <w:rsid w:val="00990A9D"/>
    <w:rsid w:val="009F2061"/>
    <w:rsid w:val="00A166D3"/>
    <w:rsid w:val="00AC56EC"/>
    <w:rsid w:val="00AD7226"/>
    <w:rsid w:val="00AE0ECC"/>
    <w:rsid w:val="00AE4720"/>
    <w:rsid w:val="00AE4FF7"/>
    <w:rsid w:val="00AE5D63"/>
    <w:rsid w:val="00B01E76"/>
    <w:rsid w:val="00B1293C"/>
    <w:rsid w:val="00B136BE"/>
    <w:rsid w:val="00B143F1"/>
    <w:rsid w:val="00B27925"/>
    <w:rsid w:val="00B71AA8"/>
    <w:rsid w:val="00B84298"/>
    <w:rsid w:val="00B8697B"/>
    <w:rsid w:val="00B907F8"/>
    <w:rsid w:val="00B91121"/>
    <w:rsid w:val="00B93134"/>
    <w:rsid w:val="00BA75B2"/>
    <w:rsid w:val="00BC474C"/>
    <w:rsid w:val="00C00B92"/>
    <w:rsid w:val="00C074C0"/>
    <w:rsid w:val="00C12558"/>
    <w:rsid w:val="00C163C8"/>
    <w:rsid w:val="00C24E46"/>
    <w:rsid w:val="00C32A45"/>
    <w:rsid w:val="00C34C00"/>
    <w:rsid w:val="00C37C58"/>
    <w:rsid w:val="00C40457"/>
    <w:rsid w:val="00C55CB8"/>
    <w:rsid w:val="00C56B8D"/>
    <w:rsid w:val="00CA0AA7"/>
    <w:rsid w:val="00CB7559"/>
    <w:rsid w:val="00CC7143"/>
    <w:rsid w:val="00CF7C6D"/>
    <w:rsid w:val="00D4365E"/>
    <w:rsid w:val="00D465A1"/>
    <w:rsid w:val="00D54C92"/>
    <w:rsid w:val="00D55B2A"/>
    <w:rsid w:val="00D953A4"/>
    <w:rsid w:val="00D9660D"/>
    <w:rsid w:val="00D97713"/>
    <w:rsid w:val="00DA5DFC"/>
    <w:rsid w:val="00DB2BC0"/>
    <w:rsid w:val="00DD2A3A"/>
    <w:rsid w:val="00DE1D30"/>
    <w:rsid w:val="00DE5922"/>
    <w:rsid w:val="00E00A37"/>
    <w:rsid w:val="00E02CA6"/>
    <w:rsid w:val="00E04E66"/>
    <w:rsid w:val="00E20842"/>
    <w:rsid w:val="00E22A0F"/>
    <w:rsid w:val="00E34832"/>
    <w:rsid w:val="00E72FCC"/>
    <w:rsid w:val="00E777C9"/>
    <w:rsid w:val="00E83CCA"/>
    <w:rsid w:val="00EA0E6F"/>
    <w:rsid w:val="00EA3085"/>
    <w:rsid w:val="00F3613E"/>
    <w:rsid w:val="00F64215"/>
    <w:rsid w:val="00FA00FE"/>
    <w:rsid w:val="00FA2B86"/>
    <w:rsid w:val="00FA73FE"/>
    <w:rsid w:val="00FA7CF1"/>
    <w:rsid w:val="00FC437C"/>
    <w:rsid w:val="00FD0D2E"/>
    <w:rsid w:val="00FD32A4"/>
    <w:rsid w:val="00FE2136"/>
    <w:rsid w:val="00FF4093"/>
    <w:rsid w:val="0D883BB5"/>
    <w:rsid w:val="154E0FD9"/>
    <w:rsid w:val="1EE41388"/>
    <w:rsid w:val="205240AF"/>
    <w:rsid w:val="2B6A23CA"/>
    <w:rsid w:val="316572B4"/>
    <w:rsid w:val="407E4ADB"/>
    <w:rsid w:val="50211FD5"/>
    <w:rsid w:val="68DB36D1"/>
    <w:rsid w:val="6D05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font31"/>
    <w:basedOn w:val="8"/>
    <w:qFormat/>
    <w:uiPriority w:val="0"/>
    <w:rPr>
      <w:rFonts w:hint="eastAsia" w:ascii="宋体" w:hAnsi="宋体" w:eastAsia="宋体" w:cs="宋体"/>
      <w:color w:val="000000"/>
      <w:sz w:val="21"/>
      <w:szCs w:val="21"/>
      <w:u w:val="none"/>
    </w:rPr>
  </w:style>
  <w:style w:type="paragraph" w:customStyle="1" w:styleId="12">
    <w:name w:val="UserStyle_0"/>
    <w:next w:val="1"/>
    <w:qFormat/>
    <w:uiPriority w:val="0"/>
    <w:pPr>
      <w:widowControl w:val="0"/>
      <w:ind w:firstLine="420" w:firstLineChars="200"/>
      <w:jc w:val="both"/>
      <w:textAlignment w:val="baseline"/>
    </w:pPr>
    <w:rPr>
      <w:rFonts w:ascii="Arial" w:hAnsi="Arial" w:eastAsia="Arial" w:cs="Arial"/>
      <w:kern w:val="2"/>
      <w:sz w:val="21"/>
      <w:szCs w:val="24"/>
      <w:lang w:val="en-US" w:eastAsia="zh-CN" w:bidi="ar-SA"/>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spacing w:after="160" w:line="278" w:lineRule="auto"/>
      <w:ind w:left="720"/>
      <w:contextualSpacing/>
      <w:jc w:val="left"/>
    </w:pPr>
    <w:rPr>
      <w:sz w:val="22"/>
      <w:szCs w:val="24"/>
      <w14:ligatures w14:val="standardContextual"/>
    </w:rPr>
  </w:style>
  <w:style w:type="paragraph" w:customStyle="1" w:styleId="15">
    <w:name w:val="_Style 13"/>
    <w:basedOn w:val="1"/>
    <w:next w:val="14"/>
    <w:qFormat/>
    <w:uiPriority w:val="34"/>
    <w:pPr>
      <w:ind w:left="720"/>
      <w:contextualSpacing/>
    </w:pPr>
    <w:rPr>
      <w:rFonts w:ascii="等线" w:hAnsi="等线" w:eastAsia="等线"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269</Words>
  <Characters>1534</Characters>
  <Lines>12</Lines>
  <Paragraphs>3</Paragraphs>
  <TotalTime>3</TotalTime>
  <ScaleCrop>false</ScaleCrop>
  <LinksUpToDate>false</LinksUpToDate>
  <CharactersWithSpaces>1800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2026-03-16T06:27:00Z</dcterms:created>
  <dc:creator>何丽</dc:creator>
  <cp:lastModifiedBy>heli</cp:lastModifiedBy>
  <cp:lastPrinted>2026-03-16T06:27:00Z</cp:lastPrinted>
  <dcterms:modified xsi:type="dcterms:W3CDTF">2026-03-19T06:29:09Z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9CCF5F5BA4B44989A87F29EC405525A4</vt:lpwstr>
  </property>
</Properties>
</file>