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eastAsia="zh-CN"/>
        </w:rPr>
        <w:t>2026年3月20日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lang w:eastAsia="zh-CN"/>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□路演活动</w:t>
            </w:r>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7453A9D1">
            <w:pPr>
              <w:pStyle w:val="16"/>
              <w:spacing w:before="120" w:beforeLines="50" w:after="120" w:afterLines="50" w:line="360" w:lineRule="auto"/>
              <w:jc w:val="both"/>
              <w:rPr>
                <w:rFonts w:hint="default"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博时基金管理有限公司</w:t>
            </w:r>
          </w:p>
          <w:p w14:paraId="03A877DE">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招商证券股份有限公司</w:t>
            </w:r>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2026年3月20日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spacing w:line="292" w:lineRule="exact"/>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0BF786BC">
            <w:pPr>
              <w:pStyle w:val="16"/>
              <w:keepNext w:val="0"/>
              <w:keepLines w:val="0"/>
              <w:suppressLineNumbers w:val="0"/>
              <w:spacing w:before="120" w:beforeLines="50" w:beforeAutospacing="0" w:after="0" w:afterAutospacing="0" w:line="360" w:lineRule="auto"/>
              <w:ind w:left="0" w:right="0"/>
              <w:jc w:val="both"/>
              <w:rPr>
                <w:rFonts w:hint="default" w:ascii="Times New Roman" w:hAnsi="Times New Roman" w:cs="Times New Roman"/>
                <w:kern w:val="2"/>
                <w:sz w:val="24"/>
                <w:lang w:val="en-US"/>
              </w:rPr>
            </w:pPr>
            <w:r>
              <w:rPr>
                <w:rFonts w:hint="eastAsia" w:ascii="Times New Roman" w:hAnsi="Times New Roman" w:cs="Times New Roman"/>
                <w:kern w:val="2"/>
                <w:sz w:val="24"/>
                <w:lang w:val="en-US"/>
              </w:rPr>
              <w:t>董事长兼总经理肖旭凯先生</w:t>
            </w:r>
          </w:p>
          <w:p w14:paraId="76EBC6C2">
            <w:pPr>
              <w:pStyle w:val="16"/>
              <w:keepNext w:val="0"/>
              <w:keepLines w:val="0"/>
              <w:suppressLineNumbers w:val="0"/>
              <w:spacing w:before="120" w:beforeLines="50" w:beforeAutospacing="0" w:after="0" w:afterAutospacing="0" w:line="360" w:lineRule="auto"/>
              <w:ind w:left="0" w:right="0"/>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bookmarkStart w:id="0" w:name="_GoBack"/>
            <w:bookmarkEnd w:id="0"/>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0979CD56">
            <w:pPr>
              <w:pStyle w:val="18"/>
              <w:spacing w:before="120" w:after="120" w:afterLines="50"/>
              <w:ind w:firstLine="482"/>
              <w:rPr>
                <w:rFonts w:hint="default" w:ascii="Times New Roman" w:hAnsi="Times New Roman" w:cs="Times New Roman"/>
                <w:b/>
                <w:bCs/>
                <w:szCs w:val="24"/>
                <w:lang w:val="en-US"/>
              </w:rPr>
            </w:pPr>
            <w:r>
              <w:rPr>
                <w:rFonts w:hint="default" w:ascii="Times New Roman" w:hAnsi="Times New Roman" w:cs="Times New Roman"/>
                <w:b/>
                <w:bCs/>
                <w:szCs w:val="24"/>
                <w:lang w:val="en-US"/>
              </w:rPr>
              <w:t>一、请介绍一下公司</w:t>
            </w:r>
            <w:r>
              <w:rPr>
                <w:rFonts w:hint="eastAsia" w:cs="Times New Roman"/>
                <w:b/>
                <w:bCs/>
                <w:szCs w:val="24"/>
                <w:lang w:val="en-US" w:eastAsia="zh-CN"/>
              </w:rPr>
              <w:t>2025年度</w:t>
            </w:r>
            <w:r>
              <w:rPr>
                <w:rFonts w:hint="default" w:ascii="Times New Roman" w:hAnsi="Times New Roman" w:cs="Times New Roman"/>
                <w:b/>
                <w:bCs/>
                <w:szCs w:val="24"/>
                <w:lang w:val="en-US" w:eastAsia="zh-CN"/>
              </w:rPr>
              <w:t>经营情况</w:t>
            </w:r>
            <w:r>
              <w:rPr>
                <w:rFonts w:hint="default" w:ascii="Times New Roman" w:hAnsi="Times New Roman" w:cs="Times New Roman"/>
                <w:b/>
                <w:bCs/>
                <w:szCs w:val="24"/>
                <w:lang w:val="en-US"/>
              </w:rPr>
              <w:t>？</w:t>
            </w:r>
          </w:p>
          <w:p w14:paraId="7889D20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根据公司</w:t>
            </w:r>
            <w:r>
              <w:rPr>
                <w:rFonts w:hint="eastAsia" w:ascii="Times New Roman" w:hAnsi="Times New Roman" w:cs="Times New Roman"/>
                <w:sz w:val="24"/>
                <w:szCs w:val="24"/>
                <w:lang w:val="en-US" w:eastAsia="zh-CN"/>
              </w:rPr>
              <w:t>2025年度</w:t>
            </w:r>
            <w:r>
              <w:rPr>
                <w:rFonts w:hint="default" w:ascii="Times New Roman" w:hAnsi="Times New Roman" w:cs="Times New Roman"/>
                <w:sz w:val="24"/>
                <w:szCs w:val="24"/>
                <w:lang w:val="en-US" w:eastAsia="zh-CN"/>
              </w:rPr>
              <w:t>业绩快报，</w:t>
            </w:r>
            <w:r>
              <w:rPr>
                <w:rFonts w:hint="default" w:ascii="Times New Roman" w:hAnsi="Times New Roman" w:eastAsia="宋体" w:cs="Times New Roman"/>
                <w:sz w:val="24"/>
                <w:szCs w:val="24"/>
              </w:rPr>
              <w:t>公司</w:t>
            </w:r>
            <w:r>
              <w:rPr>
                <w:rFonts w:hint="eastAsia" w:ascii="Times New Roman" w:hAnsi="Times New Roman" w:cs="Times New Roman"/>
                <w:sz w:val="24"/>
                <w:szCs w:val="24"/>
                <w:lang w:eastAsia="zh-CN"/>
              </w:rPr>
              <w:t>2025年度</w:t>
            </w:r>
            <w:r>
              <w:rPr>
                <w:rFonts w:hint="default" w:ascii="Times New Roman" w:hAnsi="Times New Roman" w:eastAsia="宋体" w:cs="Times New Roman"/>
                <w:sz w:val="24"/>
                <w:szCs w:val="24"/>
              </w:rPr>
              <w:t>实现营业收入</w:t>
            </w:r>
            <w:r>
              <w:rPr>
                <w:rFonts w:hint="eastAsia" w:ascii="Times New Roman" w:hAnsi="Times New Roman" w:eastAsia="宋体" w:cs="Times New Roman"/>
                <w:i w:val="0"/>
                <w:iCs w:val="0"/>
                <w:color w:val="000000"/>
                <w:kern w:val="0"/>
                <w:sz w:val="24"/>
                <w:szCs w:val="24"/>
                <w:u w:val="none"/>
                <w:lang w:val="en-US" w:eastAsia="zh-CN" w:bidi="ar"/>
              </w:rPr>
              <w:t>101,445.67</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33.65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；实现营业利润</w:t>
            </w:r>
            <w:r>
              <w:rPr>
                <w:rFonts w:hint="eastAsia" w:ascii="Times New Roman" w:hAnsi="Times New Roman" w:eastAsia="宋体" w:cs="Times New Roman"/>
                <w:i w:val="0"/>
                <w:iCs w:val="0"/>
                <w:color w:val="000000"/>
                <w:kern w:val="0"/>
                <w:sz w:val="24"/>
                <w:szCs w:val="24"/>
                <w:u w:val="none"/>
                <w:lang w:val="en-US" w:eastAsia="zh-CN" w:bidi="ar"/>
              </w:rPr>
              <w:t>21,157.13</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75.77</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；实现利润总额</w:t>
            </w:r>
            <w:r>
              <w:rPr>
                <w:rFonts w:hint="eastAsia" w:ascii="Times New Roman" w:hAnsi="Times New Roman" w:eastAsia="宋体" w:cs="Times New Roman"/>
                <w:i w:val="0"/>
                <w:iCs w:val="0"/>
                <w:color w:val="000000"/>
                <w:kern w:val="0"/>
                <w:sz w:val="24"/>
                <w:szCs w:val="24"/>
                <w:u w:val="none"/>
                <w:lang w:val="en-US" w:eastAsia="zh-CN" w:bidi="ar"/>
              </w:rPr>
              <w:t>21,103.15</w:t>
            </w:r>
            <w:r>
              <w:rPr>
                <w:rFonts w:hint="default" w:ascii="Times New Roman" w:hAnsi="Times New Roman" w:eastAsia="宋体" w:cs="Times New Roman"/>
                <w:sz w:val="24"/>
                <w:szCs w:val="24"/>
              </w:rPr>
              <w:t>万元，与去年同期相</w:t>
            </w:r>
            <w:r>
              <w:rPr>
                <w:rFonts w:hint="default" w:ascii="Times New Roman" w:hAnsi="Times New Roman" w:eastAsia="宋体" w:cs="Times New Roman"/>
                <w:sz w:val="24"/>
                <w:szCs w:val="24"/>
                <w:lang w:val="en-US" w:eastAsia="zh-CN"/>
              </w:rPr>
              <w:t>比下降</w:t>
            </w:r>
            <w:r>
              <w:rPr>
                <w:rFonts w:hint="eastAsia" w:ascii="Times New Roman" w:hAnsi="Times New Roman" w:eastAsia="宋体" w:cs="Times New Roman"/>
                <w:i w:val="0"/>
                <w:iCs w:val="0"/>
                <w:color w:val="000000"/>
                <w:kern w:val="0"/>
                <w:sz w:val="24"/>
                <w:szCs w:val="24"/>
                <w:u w:val="none"/>
                <w:lang w:val="en-US" w:eastAsia="zh-CN" w:bidi="ar"/>
              </w:rPr>
              <w:t>75.71</w:t>
            </w:r>
            <w:r>
              <w:rPr>
                <w:rFonts w:hint="default" w:ascii="Times New Roman" w:hAnsi="Times New Roman" w:eastAsia="宋体" w:cs="Times New Roman"/>
                <w:sz w:val="24"/>
                <w:szCs w:val="24"/>
              </w:rPr>
              <w:t>%；实现归属于母公司所有者的净利润</w:t>
            </w:r>
            <w:r>
              <w:rPr>
                <w:rFonts w:hint="eastAsia" w:ascii="Times New Roman" w:hAnsi="Times New Roman" w:eastAsia="宋体" w:cs="Times New Roman"/>
                <w:i w:val="0"/>
                <w:iCs w:val="0"/>
                <w:color w:val="000000"/>
                <w:kern w:val="0"/>
                <w:sz w:val="24"/>
                <w:szCs w:val="24"/>
                <w:u w:val="none"/>
                <w:lang w:val="en-US" w:eastAsia="zh-CN" w:bidi="ar"/>
              </w:rPr>
              <w:t>18,676.29</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74.61</w:t>
            </w:r>
            <w:r>
              <w:rPr>
                <w:rFonts w:hint="default" w:ascii="Times New Roman" w:hAnsi="Times New Roman" w:eastAsia="宋体" w:cs="Times New Roman"/>
                <w:sz w:val="24"/>
                <w:szCs w:val="24"/>
              </w:rPr>
              <w:t>%；实现归属于母公司所有者的扣除非经常性损益的净利润</w:t>
            </w:r>
            <w:r>
              <w:rPr>
                <w:rFonts w:hint="eastAsia" w:ascii="Times New Roman" w:hAnsi="Times New Roman" w:eastAsia="宋体" w:cs="Times New Roman"/>
                <w:i w:val="0"/>
                <w:iCs w:val="0"/>
                <w:color w:val="000000"/>
                <w:kern w:val="0"/>
                <w:sz w:val="24"/>
                <w:szCs w:val="24"/>
                <w:u w:val="none"/>
                <w:lang w:val="en-US" w:eastAsia="zh-CN" w:bidi="ar"/>
              </w:rPr>
              <w:t>18,480.94</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77.17</w:t>
            </w:r>
            <w:r>
              <w:rPr>
                <w:rFonts w:hint="default" w:ascii="Times New Roman" w:hAnsi="Times New Roman" w:eastAsia="宋体" w:cs="Times New Roman"/>
                <w:sz w:val="24"/>
                <w:szCs w:val="24"/>
              </w:rPr>
              <w:t>%。</w:t>
            </w:r>
          </w:p>
          <w:p w14:paraId="241F615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textAlignment w:val="auto"/>
              <w:rPr>
                <w:rFonts w:hint="default" w:ascii="Times New Roman" w:hAnsi="Times New Roman" w:eastAsia="宋体" w:cs="Times New Roman"/>
                <w:sz w:val="24"/>
                <w:szCs w:val="24"/>
              </w:rPr>
            </w:pPr>
          </w:p>
          <w:p w14:paraId="2A784238">
            <w:pPr>
              <w:spacing w:before="120" w:beforeLines="50" w:line="360" w:lineRule="auto"/>
              <w:ind w:firstLine="482" w:firstLineChars="200"/>
              <w:jc w:val="both"/>
              <w:rPr>
                <w:rFonts w:hint="eastAsia" w:ascii="Times New Roman" w:hAnsi="Times New Roman" w:cs="Times New Roman"/>
                <w:b/>
                <w:bCs/>
                <w:sz w:val="24"/>
                <w:lang w:val="en-US"/>
              </w:rPr>
            </w:pPr>
            <w:r>
              <w:rPr>
                <w:rFonts w:hint="eastAsia" w:ascii="Times New Roman" w:hAnsi="Times New Roman" w:cs="Times New Roman"/>
                <w:b/>
                <w:bCs/>
                <w:sz w:val="24"/>
                <w:lang w:val="en-US" w:eastAsia="zh-CN"/>
              </w:rPr>
              <w:t>二</w:t>
            </w:r>
            <w:r>
              <w:rPr>
                <w:rFonts w:hint="eastAsia" w:ascii="Times New Roman" w:hAnsi="Times New Roman" w:cs="Times New Roman"/>
                <w:b/>
                <w:bCs/>
                <w:sz w:val="24"/>
                <w:lang w:val="en-US"/>
              </w:rPr>
              <w:t>、请介绍一下</w:t>
            </w:r>
            <w:r>
              <w:rPr>
                <w:rFonts w:hint="eastAsia" w:ascii="Times New Roman" w:hAnsi="Times New Roman" w:cs="Times New Roman"/>
                <w:b/>
                <w:bCs/>
                <w:sz w:val="24"/>
                <w:lang w:val="en-US" w:eastAsia="zh-CN"/>
              </w:rPr>
              <w:t>公司</w:t>
            </w:r>
            <w:r>
              <w:rPr>
                <w:rFonts w:hint="eastAsia" w:ascii="Times New Roman" w:hAnsi="Times New Roman" w:cs="Times New Roman"/>
                <w:b/>
                <w:bCs/>
                <w:sz w:val="24"/>
                <w:lang w:val="en-US"/>
              </w:rPr>
              <w:t>的</w:t>
            </w:r>
            <w:r>
              <w:rPr>
                <w:rFonts w:hint="eastAsia" w:ascii="Times New Roman" w:hAnsi="Times New Roman" w:cs="Times New Roman"/>
                <w:b/>
                <w:bCs/>
                <w:sz w:val="24"/>
                <w:lang w:val="en-US" w:eastAsia="zh-CN"/>
              </w:rPr>
              <w:t>销售</w:t>
            </w:r>
            <w:r>
              <w:rPr>
                <w:rFonts w:hint="eastAsia" w:ascii="Times New Roman" w:hAnsi="Times New Roman" w:cs="Times New Roman"/>
                <w:b/>
                <w:bCs/>
                <w:sz w:val="24"/>
                <w:lang w:val="en-US"/>
              </w:rPr>
              <w:t>模式？</w:t>
            </w:r>
          </w:p>
          <w:p w14:paraId="0B71314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采用经销为主、直销为辅的销售模式。经过多年的生产经营积累，公司已建立了聚焦华南、华东和华北等国内主要数控刀具集散地，覆盖二十余省市的全国性销售网络。此外，公司近年来也积极拓展海外市场，加快全球布局。</w:t>
            </w:r>
          </w:p>
          <w:p w14:paraId="472277E9">
            <w:pPr>
              <w:pStyle w:val="18"/>
              <w:spacing w:before="120" w:after="120" w:afterLines="50"/>
              <w:ind w:firstLine="482"/>
              <w:rPr>
                <w:b/>
                <w:bCs/>
                <w:szCs w:val="24"/>
                <w:lang w:val="en-US"/>
              </w:rPr>
            </w:pPr>
          </w:p>
          <w:p w14:paraId="16C9E796">
            <w:pPr>
              <w:spacing w:before="120" w:beforeLines="50" w:after="120" w:afterLines="50" w:line="360" w:lineRule="auto"/>
              <w:ind w:firstLine="482" w:firstLineChars="200"/>
              <w:jc w:val="both"/>
              <w:rPr>
                <w:b/>
                <w:bCs/>
                <w:szCs w:val="24"/>
                <w:lang w:val="en-US"/>
              </w:rPr>
            </w:pPr>
            <w:r>
              <w:rPr>
                <w:rFonts w:hint="eastAsia" w:cs="Times New Roman"/>
                <w:b/>
                <w:bCs/>
                <w:sz w:val="24"/>
                <w:szCs w:val="24"/>
                <w:lang w:val="en-US" w:eastAsia="zh-CN"/>
              </w:rPr>
              <w:t>三 、</w:t>
            </w:r>
            <w:r>
              <w:rPr>
                <w:rFonts w:hint="eastAsia" w:cs="Times New Roman"/>
                <w:b/>
                <w:bCs/>
                <w:sz w:val="24"/>
                <w:szCs w:val="24"/>
              </w:rPr>
              <w:t>请介绍一下公司在生产方面的优势？</w:t>
            </w:r>
          </w:p>
          <w:p w14:paraId="4CA5EFFC">
            <w:pPr>
              <w:pStyle w:val="18"/>
              <w:spacing w:before="120" w:after="120" w:afterLines="50"/>
              <w:ind w:firstLine="480"/>
              <w:rPr>
                <w:rFonts w:hint="default" w:ascii="Times New Roman" w:hAnsi="Times New Roman" w:eastAsia="宋体" w:cs="Times New Roman"/>
                <w:lang w:val="en-US" w:eastAsia="zh-CN"/>
              </w:rPr>
            </w:pPr>
            <w:r>
              <w:rPr>
                <w:rFonts w:hint="eastAsia" w:ascii="Times New Roman" w:hAnsi="Times New Roman" w:cs="Times New Roman"/>
                <w:sz w:val="24"/>
                <w:szCs w:val="24"/>
                <w:lang w:val="en-US" w:eastAsia="zh-CN"/>
              </w:rPr>
              <w:t>公司是国内硬质合金数控刀具行业内少数具备从配料、球磨、喷雾干燥、压制成型、烧结、研磨深加工、涂层和自动包装完整生产工序的企业，同时掌握产品槽型开发和精密模具制备能力，可以实现由粉体原材料到最终硬质合金数控刀具全流程自主可控的生产，具体体现为：①公司从源头上对原材料的成分进行准确鉴定，并预先考虑到后续的压制、烧结和涂层工艺过程对关键碳成分的影响，设置基体材料最优成份和结构，保证产品物理性能、精度尺寸的稳定性和可靠性，提高了产品的生产良率（直通率95%以上）；②高精度模具制备能力，将压制精度水平提升到研磨加工精度水平，直接“压制-烧结一次成型”后的刀片内切圆精度控制在±0.025毫米（mm）以内，达到E级产品精度要求，极大地提高了公司的生产效率；③依托公司完整的生产制造链，公司减少研磨深加工工序和表面涂层工序的外协加工，缩短了生产周期并降低了生产成本。</w:t>
            </w:r>
          </w:p>
          <w:p w14:paraId="08E433FF">
            <w:pPr>
              <w:pStyle w:val="18"/>
              <w:spacing w:before="120" w:after="120" w:afterLines="50"/>
              <w:ind w:firstLine="480"/>
              <w:rPr>
                <w:rFonts w:hint="default" w:ascii="Times New Roman" w:hAnsi="Times New Roman" w:eastAsia="宋体" w:cs="Times New Roman"/>
                <w:lang w:val="en-US" w:eastAsia="zh-CN"/>
              </w:rPr>
            </w:pPr>
          </w:p>
          <w:p w14:paraId="57CF209C">
            <w:pPr>
              <w:numPr>
                <w:ilvl w:val="0"/>
                <w:numId w:val="0"/>
              </w:numPr>
              <w:spacing w:before="120" w:beforeLines="50" w:line="360" w:lineRule="auto"/>
              <w:ind w:firstLine="442" w:firstLineChars="200"/>
              <w:jc w:val="both"/>
              <w:rPr>
                <w:rFonts w:hint="default"/>
                <w:b/>
                <w:bCs/>
                <w:szCs w:val="24"/>
                <w:lang w:val="en-US"/>
              </w:rPr>
            </w:pPr>
            <w:r>
              <w:rPr>
                <w:rFonts w:hint="eastAsia"/>
                <w:b/>
                <w:bCs/>
                <w:szCs w:val="24"/>
                <w:lang w:val="en-US" w:eastAsia="zh-CN"/>
              </w:rPr>
              <w:t>四</w:t>
            </w:r>
            <w:r>
              <w:rPr>
                <w:rFonts w:hint="eastAsia"/>
                <w:b/>
                <w:bCs/>
                <w:szCs w:val="24"/>
                <w:lang w:val="en-US"/>
              </w:rPr>
              <w:t>、</w:t>
            </w:r>
            <w:r>
              <w:rPr>
                <w:rFonts w:hint="eastAsia" w:ascii="Times New Roman" w:hAnsi="Times New Roman" w:cs="Times New Roman"/>
                <w:b/>
                <w:bCs/>
                <w:sz w:val="24"/>
                <w:szCs w:val="24"/>
                <w:lang w:val="en-US" w:eastAsia="zh-CN"/>
              </w:rPr>
              <w:t>请问原材料上涨后公司的应对措施是什么?</w:t>
            </w:r>
          </w:p>
          <w:p w14:paraId="1FBDA926">
            <w:pPr>
              <w:pStyle w:val="18"/>
              <w:spacing w:before="120" w:after="120" w:afterLines="50"/>
              <w:ind w:firstLine="482"/>
              <w:rPr>
                <w:rFonts w:hint="default" w:ascii="Times New Roman" w:hAnsi="Times New Roman" w:eastAsia="宋体" w:cs="Times New Roman"/>
                <w:lang w:val="en-US" w:eastAsia="zh-CN"/>
              </w:rPr>
            </w:pPr>
            <w:r>
              <w:rPr>
                <w:rFonts w:hint="eastAsia" w:cs="Times New Roman"/>
                <w:sz w:val="24"/>
                <w:szCs w:val="22"/>
                <w:highlight w:val="none"/>
                <w:lang w:val="en-US" w:eastAsia="zh-CN" w:bidi="zh-CN"/>
              </w:rPr>
              <w:t>公司针对原材料价格波动采取了以下主要措施：（</w:t>
            </w:r>
            <w:r>
              <w:rPr>
                <w:rFonts w:hint="eastAsia" w:ascii="Times New Roman" w:hAnsi="Times New Roman" w:eastAsia="宋体" w:cs="Times New Roman"/>
                <w:sz w:val="24"/>
                <w:szCs w:val="22"/>
                <w:highlight w:val="none"/>
                <w:lang w:val="en-US" w:eastAsia="zh-CN" w:bidi="zh-CN"/>
              </w:rPr>
              <w:t>1</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公司建立了较为完善的原材料价格跟踪体系，在原材料价格上涨的情形下，一方面公司会与主要原材料供应商签订框架协议、提前预付款锁定价格和数量的方式控制原材料成本支出，取得市场上较为优惠的采购价格；另一方面，公司已采取提前备库的策略，提前储备适量原材料以应对未来可能存在的持续上涨情形；</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2</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公司在生产成本的基础上结合产品性能、竞品定价、市场行情、客户采购规模、竞争策略等因素确定产品最终售价。针对2025年以来碳化钨等原材料价格持续上涨的情形，公司相应采取多轮涨价措施，目前价格传导顺利。</w:t>
            </w:r>
          </w:p>
          <w:p w14:paraId="14F46766">
            <w:pPr>
              <w:pStyle w:val="18"/>
              <w:spacing w:before="120" w:after="120" w:afterLines="50"/>
              <w:ind w:firstLine="482"/>
              <w:rPr>
                <w:b/>
                <w:bCs/>
                <w:szCs w:val="24"/>
                <w:lang w:val="en-US"/>
              </w:rPr>
            </w:pPr>
          </w:p>
          <w:p w14:paraId="74ED958A">
            <w:pPr>
              <w:pStyle w:val="18"/>
              <w:keepNext w:val="0"/>
              <w:keepLines w:val="0"/>
              <w:suppressLineNumbers w:val="0"/>
              <w:spacing w:before="120" w:beforeAutospacing="0" w:after="120" w:afterLines="50" w:afterAutospacing="0"/>
              <w:ind w:left="0" w:right="0" w:firstLine="482"/>
              <w:rPr>
                <w:rFonts w:hint="default"/>
                <w:b/>
                <w:bCs/>
                <w:szCs w:val="24"/>
                <w:lang w:val="en-US"/>
              </w:rPr>
            </w:pPr>
            <w:r>
              <w:rPr>
                <w:rFonts w:hint="eastAsia"/>
                <w:b/>
                <w:bCs/>
                <w:szCs w:val="24"/>
                <w:lang w:val="en-US" w:eastAsia="zh-CN"/>
              </w:rPr>
              <w:t>五</w:t>
            </w:r>
            <w:r>
              <w:rPr>
                <w:rFonts w:hint="eastAsia"/>
                <w:b/>
                <w:bCs/>
                <w:szCs w:val="24"/>
                <w:lang w:val="en-US"/>
              </w:rPr>
              <w:t>、请介绍一下公司所处的行业地位及其变化情况？</w:t>
            </w:r>
          </w:p>
          <w:p w14:paraId="2AFCA5D9">
            <w:pPr>
              <w:pStyle w:val="18"/>
              <w:spacing w:before="120" w:after="120" w:afterLines="50"/>
              <w:ind w:firstLine="482"/>
              <w:rPr>
                <w:rFonts w:hint="eastAsia"/>
                <w:szCs w:val="24"/>
                <w:lang w:val="en-US" w:eastAsia="zh-CN"/>
              </w:rPr>
            </w:pPr>
            <w:r>
              <w:rPr>
                <w:rFonts w:hint="eastAsia" w:ascii="Times New Roman" w:hAnsi="Times New Roman" w:eastAsia="宋体" w:cs="Times New Roman"/>
                <w:sz w:val="24"/>
                <w:szCs w:val="22"/>
                <w:highlight w:val="none"/>
                <w:lang w:val="en-US" w:eastAsia="zh-CN" w:bidi="zh-CN"/>
              </w:rPr>
              <w:t>公司自成立以来始终聚焦于数控刀具的研发生产，已经成为国内知名的硬质合金切削刀具制造商，公司连续多年产量位居国内行业前列。根据中国钨业协会统计、证明，公司硬质合金数控刀片产量在国内企业中2023年排名第二、2022年排名第三、2021年排名第三。公司核心产品在加工精度、加工效率和使用寿命等切削性能方面已处于国内先进水平，进入了由欧美和日韩刀具企业长期占据的国内中高端市场。2017年公司模具铣削刀片荣获“荣格技术创新奖”，2019年公司锋芒系列硬质合金数控刀片荣获“金锋奖”首届切削刀具创新产品奖，2021年公司S/CSM390双面经济型方肩铣刀荣获“金锋奖”第二届切削刀具产品创新奖和“荣格技术创新奖”，2023年公司高硬度加工整体硬质合金立铣刀荣获“金锋奖”第三届切削刀具产品创新奖，G系列高性能钢件车削刀片获得“荣格技术创新奖”，2024年公司XD系列整体硬质合金深孔钻削刀具获得“荣格技术创新奖”，2025年公司U系列超级通用整体硬质合金刀具获得“金锋奖”第四届切削刀具产品创新奖”，麒麟系列高温合金加工用刀具获得“荣格技术创新奖”。公司模具铣刀片荣获第五批湖南省制造业单项冠军，公司在第四届、第五届切削刀具用户调查中均被评选为“用户满意品牌”。</w:t>
            </w:r>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eastAsia="zh-CN"/>
              </w:rPr>
              <w:t>2026年3月20日</w:t>
            </w:r>
          </w:p>
        </w:tc>
      </w:tr>
    </w:tbl>
    <w:p w14:paraId="6DB3B267">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35C49"/>
    <w:rsid w:val="0166457E"/>
    <w:rsid w:val="016D1D26"/>
    <w:rsid w:val="017E34AF"/>
    <w:rsid w:val="017E6BCA"/>
    <w:rsid w:val="018C1DA4"/>
    <w:rsid w:val="0192202D"/>
    <w:rsid w:val="0193608E"/>
    <w:rsid w:val="01C90C10"/>
    <w:rsid w:val="01C963AC"/>
    <w:rsid w:val="01D15B17"/>
    <w:rsid w:val="01D60B10"/>
    <w:rsid w:val="01E274B5"/>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A9250C"/>
    <w:rsid w:val="04B521F7"/>
    <w:rsid w:val="04CB3A39"/>
    <w:rsid w:val="04E5656E"/>
    <w:rsid w:val="04FE33F0"/>
    <w:rsid w:val="05076DDD"/>
    <w:rsid w:val="05183735"/>
    <w:rsid w:val="05204B33"/>
    <w:rsid w:val="05290F57"/>
    <w:rsid w:val="05407950"/>
    <w:rsid w:val="054D733B"/>
    <w:rsid w:val="056A7B0A"/>
    <w:rsid w:val="057378BD"/>
    <w:rsid w:val="059507DE"/>
    <w:rsid w:val="059C4879"/>
    <w:rsid w:val="05A36F5B"/>
    <w:rsid w:val="05C869C2"/>
    <w:rsid w:val="05D41305"/>
    <w:rsid w:val="05F5609A"/>
    <w:rsid w:val="060E05EB"/>
    <w:rsid w:val="060F66AF"/>
    <w:rsid w:val="061D506D"/>
    <w:rsid w:val="06256D17"/>
    <w:rsid w:val="062D74A1"/>
    <w:rsid w:val="063349F6"/>
    <w:rsid w:val="064429E4"/>
    <w:rsid w:val="06457D23"/>
    <w:rsid w:val="06652867"/>
    <w:rsid w:val="067F52D3"/>
    <w:rsid w:val="06915006"/>
    <w:rsid w:val="06BA455D"/>
    <w:rsid w:val="06BF1B73"/>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27A47"/>
    <w:rsid w:val="07A70F85"/>
    <w:rsid w:val="07B55C0C"/>
    <w:rsid w:val="07BE007D"/>
    <w:rsid w:val="07D2256D"/>
    <w:rsid w:val="07D57174"/>
    <w:rsid w:val="07D72980"/>
    <w:rsid w:val="07D94EB6"/>
    <w:rsid w:val="07DD1307"/>
    <w:rsid w:val="07EC4BEA"/>
    <w:rsid w:val="08191757"/>
    <w:rsid w:val="082F4AD6"/>
    <w:rsid w:val="08471E20"/>
    <w:rsid w:val="08577669"/>
    <w:rsid w:val="08591B53"/>
    <w:rsid w:val="0869623A"/>
    <w:rsid w:val="086C1F40"/>
    <w:rsid w:val="087B79DB"/>
    <w:rsid w:val="087E15BA"/>
    <w:rsid w:val="088405DA"/>
    <w:rsid w:val="08856DEC"/>
    <w:rsid w:val="089F5E5A"/>
    <w:rsid w:val="08B60493"/>
    <w:rsid w:val="08BE783D"/>
    <w:rsid w:val="08E13F7A"/>
    <w:rsid w:val="08E2059F"/>
    <w:rsid w:val="08EB30F3"/>
    <w:rsid w:val="08EB548D"/>
    <w:rsid w:val="08FB151E"/>
    <w:rsid w:val="09164338"/>
    <w:rsid w:val="09296FCD"/>
    <w:rsid w:val="092B7994"/>
    <w:rsid w:val="0935611C"/>
    <w:rsid w:val="0946032A"/>
    <w:rsid w:val="094620D8"/>
    <w:rsid w:val="09482972"/>
    <w:rsid w:val="099F7A3A"/>
    <w:rsid w:val="09B16EAB"/>
    <w:rsid w:val="09B90AFC"/>
    <w:rsid w:val="09CB032D"/>
    <w:rsid w:val="09E42E0C"/>
    <w:rsid w:val="0A0579FD"/>
    <w:rsid w:val="0A100800"/>
    <w:rsid w:val="0A121772"/>
    <w:rsid w:val="0A434869"/>
    <w:rsid w:val="0A5170B9"/>
    <w:rsid w:val="0A590FB7"/>
    <w:rsid w:val="0A5C2888"/>
    <w:rsid w:val="0A5E16A3"/>
    <w:rsid w:val="0A6068BB"/>
    <w:rsid w:val="0A6A629A"/>
    <w:rsid w:val="0A717628"/>
    <w:rsid w:val="0A79472F"/>
    <w:rsid w:val="0A807DAE"/>
    <w:rsid w:val="0A9926DB"/>
    <w:rsid w:val="0AA23C86"/>
    <w:rsid w:val="0ABC4D71"/>
    <w:rsid w:val="0AD83C5C"/>
    <w:rsid w:val="0AD931A2"/>
    <w:rsid w:val="0ADB0F46"/>
    <w:rsid w:val="0AE20B0A"/>
    <w:rsid w:val="0AE71698"/>
    <w:rsid w:val="0AFC05DE"/>
    <w:rsid w:val="0B02591F"/>
    <w:rsid w:val="0B0D6E40"/>
    <w:rsid w:val="0B0F0946"/>
    <w:rsid w:val="0B254889"/>
    <w:rsid w:val="0B261D0E"/>
    <w:rsid w:val="0B2823DD"/>
    <w:rsid w:val="0B2F477F"/>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97B03"/>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95714"/>
    <w:rsid w:val="1065470E"/>
    <w:rsid w:val="107102E7"/>
    <w:rsid w:val="1074577C"/>
    <w:rsid w:val="107A6B0B"/>
    <w:rsid w:val="107C0612"/>
    <w:rsid w:val="10855BDB"/>
    <w:rsid w:val="10A47CA7"/>
    <w:rsid w:val="10AA09D5"/>
    <w:rsid w:val="10B507A3"/>
    <w:rsid w:val="10C0649C"/>
    <w:rsid w:val="10CC380A"/>
    <w:rsid w:val="10E01064"/>
    <w:rsid w:val="10F1748C"/>
    <w:rsid w:val="10FE598E"/>
    <w:rsid w:val="110411F6"/>
    <w:rsid w:val="11047F46"/>
    <w:rsid w:val="111E1B98"/>
    <w:rsid w:val="113413B0"/>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837595"/>
    <w:rsid w:val="12887C05"/>
    <w:rsid w:val="129A6C23"/>
    <w:rsid w:val="12D31BE1"/>
    <w:rsid w:val="13196AAF"/>
    <w:rsid w:val="131B42F0"/>
    <w:rsid w:val="131F061B"/>
    <w:rsid w:val="133241DB"/>
    <w:rsid w:val="13385187"/>
    <w:rsid w:val="135C36DA"/>
    <w:rsid w:val="13721EF7"/>
    <w:rsid w:val="13877EBC"/>
    <w:rsid w:val="13901FF6"/>
    <w:rsid w:val="13A46379"/>
    <w:rsid w:val="13AC327F"/>
    <w:rsid w:val="13BD3271"/>
    <w:rsid w:val="13D61A1C"/>
    <w:rsid w:val="13DB7787"/>
    <w:rsid w:val="13EE1133"/>
    <w:rsid w:val="13F75067"/>
    <w:rsid w:val="13F758F1"/>
    <w:rsid w:val="14034E32"/>
    <w:rsid w:val="141A6B9A"/>
    <w:rsid w:val="141C2C8C"/>
    <w:rsid w:val="14276111"/>
    <w:rsid w:val="142D4720"/>
    <w:rsid w:val="14381F31"/>
    <w:rsid w:val="14465FF1"/>
    <w:rsid w:val="14524530"/>
    <w:rsid w:val="145374BA"/>
    <w:rsid w:val="14587478"/>
    <w:rsid w:val="145E57F3"/>
    <w:rsid w:val="146B2EDA"/>
    <w:rsid w:val="147A32B8"/>
    <w:rsid w:val="147F0B94"/>
    <w:rsid w:val="14891A12"/>
    <w:rsid w:val="14952165"/>
    <w:rsid w:val="14B27E01"/>
    <w:rsid w:val="14B43EE4"/>
    <w:rsid w:val="14C57350"/>
    <w:rsid w:val="14D3582A"/>
    <w:rsid w:val="14DF603C"/>
    <w:rsid w:val="14E629C1"/>
    <w:rsid w:val="151F75E6"/>
    <w:rsid w:val="153D69D4"/>
    <w:rsid w:val="15413A64"/>
    <w:rsid w:val="154C11CE"/>
    <w:rsid w:val="155618F4"/>
    <w:rsid w:val="155B6AD0"/>
    <w:rsid w:val="157B57FF"/>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A07EC"/>
    <w:rsid w:val="16CE4F2C"/>
    <w:rsid w:val="16D63E48"/>
    <w:rsid w:val="16E86955"/>
    <w:rsid w:val="16EA08F8"/>
    <w:rsid w:val="16F37B9A"/>
    <w:rsid w:val="171001C9"/>
    <w:rsid w:val="171C5F72"/>
    <w:rsid w:val="172F064F"/>
    <w:rsid w:val="1742255C"/>
    <w:rsid w:val="174340FA"/>
    <w:rsid w:val="17487963"/>
    <w:rsid w:val="17493EF9"/>
    <w:rsid w:val="174A5489"/>
    <w:rsid w:val="174B2FAF"/>
    <w:rsid w:val="174B3D3F"/>
    <w:rsid w:val="174D0C8B"/>
    <w:rsid w:val="17503E12"/>
    <w:rsid w:val="175646A0"/>
    <w:rsid w:val="175F37D6"/>
    <w:rsid w:val="176C18A3"/>
    <w:rsid w:val="177B7D38"/>
    <w:rsid w:val="177C7BD7"/>
    <w:rsid w:val="178043AB"/>
    <w:rsid w:val="17820677"/>
    <w:rsid w:val="17A728DB"/>
    <w:rsid w:val="17B2122C"/>
    <w:rsid w:val="17B83EE3"/>
    <w:rsid w:val="17CA2D47"/>
    <w:rsid w:val="17D04F0B"/>
    <w:rsid w:val="17D62083"/>
    <w:rsid w:val="17DB4333"/>
    <w:rsid w:val="17E331AB"/>
    <w:rsid w:val="17EB683C"/>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B777F"/>
    <w:rsid w:val="193F2F23"/>
    <w:rsid w:val="19481E9C"/>
    <w:rsid w:val="19486114"/>
    <w:rsid w:val="194B2FB2"/>
    <w:rsid w:val="19593824"/>
    <w:rsid w:val="19616ABA"/>
    <w:rsid w:val="19743D93"/>
    <w:rsid w:val="197A1F0C"/>
    <w:rsid w:val="197B401F"/>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F0D41"/>
    <w:rsid w:val="1AF5395E"/>
    <w:rsid w:val="1B1D4C62"/>
    <w:rsid w:val="1B216501"/>
    <w:rsid w:val="1B2D78E5"/>
    <w:rsid w:val="1B2D7E89"/>
    <w:rsid w:val="1B342F18"/>
    <w:rsid w:val="1B3A5814"/>
    <w:rsid w:val="1B4712E5"/>
    <w:rsid w:val="1B7F1479"/>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47468D"/>
    <w:rsid w:val="1C554A8D"/>
    <w:rsid w:val="1C6C2CF5"/>
    <w:rsid w:val="1C850BD9"/>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FC73E8"/>
    <w:rsid w:val="210668C5"/>
    <w:rsid w:val="210F3436"/>
    <w:rsid w:val="211B6AEC"/>
    <w:rsid w:val="21350DE7"/>
    <w:rsid w:val="21455ABA"/>
    <w:rsid w:val="214B46A2"/>
    <w:rsid w:val="215C7A7E"/>
    <w:rsid w:val="21B41725"/>
    <w:rsid w:val="21C1459A"/>
    <w:rsid w:val="21C16BCC"/>
    <w:rsid w:val="21C30312"/>
    <w:rsid w:val="21D64128"/>
    <w:rsid w:val="21F52015"/>
    <w:rsid w:val="2208041A"/>
    <w:rsid w:val="2212525D"/>
    <w:rsid w:val="22192734"/>
    <w:rsid w:val="224C47AB"/>
    <w:rsid w:val="22610E74"/>
    <w:rsid w:val="226C7E19"/>
    <w:rsid w:val="22730162"/>
    <w:rsid w:val="227C4964"/>
    <w:rsid w:val="2283319F"/>
    <w:rsid w:val="229A3382"/>
    <w:rsid w:val="229C5871"/>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9317A3"/>
    <w:rsid w:val="24C37DD6"/>
    <w:rsid w:val="24D47DB8"/>
    <w:rsid w:val="24E5548B"/>
    <w:rsid w:val="24E87A6B"/>
    <w:rsid w:val="24FD2A9C"/>
    <w:rsid w:val="24FE5B05"/>
    <w:rsid w:val="25076767"/>
    <w:rsid w:val="251603ED"/>
    <w:rsid w:val="251949DD"/>
    <w:rsid w:val="251D65D7"/>
    <w:rsid w:val="25201F1F"/>
    <w:rsid w:val="255B6AB3"/>
    <w:rsid w:val="256065E1"/>
    <w:rsid w:val="25695D11"/>
    <w:rsid w:val="256A4E4D"/>
    <w:rsid w:val="257E6920"/>
    <w:rsid w:val="25A14E0E"/>
    <w:rsid w:val="25B12B77"/>
    <w:rsid w:val="25B3069D"/>
    <w:rsid w:val="25C06E8E"/>
    <w:rsid w:val="25D105C8"/>
    <w:rsid w:val="25DC01E3"/>
    <w:rsid w:val="25DD1488"/>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5F39"/>
    <w:rsid w:val="2749750B"/>
    <w:rsid w:val="2751016E"/>
    <w:rsid w:val="275257A5"/>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2E04"/>
    <w:rsid w:val="28D472A8"/>
    <w:rsid w:val="28E16E3B"/>
    <w:rsid w:val="28EB13DF"/>
    <w:rsid w:val="28F65471"/>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72969"/>
    <w:rsid w:val="29C9059D"/>
    <w:rsid w:val="29E7467B"/>
    <w:rsid w:val="2A1E196F"/>
    <w:rsid w:val="2A257690"/>
    <w:rsid w:val="2A3502AD"/>
    <w:rsid w:val="2A3C6EB3"/>
    <w:rsid w:val="2A3D2C2B"/>
    <w:rsid w:val="2A5B25FF"/>
    <w:rsid w:val="2A706C7F"/>
    <w:rsid w:val="2A7E00B9"/>
    <w:rsid w:val="2A81520E"/>
    <w:rsid w:val="2A8A1772"/>
    <w:rsid w:val="2AA23834"/>
    <w:rsid w:val="2AAA03CE"/>
    <w:rsid w:val="2AB729DE"/>
    <w:rsid w:val="2AC129B1"/>
    <w:rsid w:val="2AD74E2E"/>
    <w:rsid w:val="2ADD4158"/>
    <w:rsid w:val="2AF21C68"/>
    <w:rsid w:val="2AFD6D2E"/>
    <w:rsid w:val="2B166C16"/>
    <w:rsid w:val="2B1F0D6E"/>
    <w:rsid w:val="2B3F0D23"/>
    <w:rsid w:val="2B5632CC"/>
    <w:rsid w:val="2B57042B"/>
    <w:rsid w:val="2B795BC9"/>
    <w:rsid w:val="2B7C50B2"/>
    <w:rsid w:val="2B8C79C6"/>
    <w:rsid w:val="2B980D20"/>
    <w:rsid w:val="2BB33B60"/>
    <w:rsid w:val="2BC51F44"/>
    <w:rsid w:val="2BCB1CA0"/>
    <w:rsid w:val="2BD15D21"/>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E27DB"/>
    <w:rsid w:val="2C9F6BDF"/>
    <w:rsid w:val="2CB05936"/>
    <w:rsid w:val="2CBF3DC0"/>
    <w:rsid w:val="2CC118F2"/>
    <w:rsid w:val="2CCC5F2D"/>
    <w:rsid w:val="2CF11E25"/>
    <w:rsid w:val="2D0C0F9F"/>
    <w:rsid w:val="2D10263F"/>
    <w:rsid w:val="2D173469"/>
    <w:rsid w:val="2D190B64"/>
    <w:rsid w:val="2D1C7470"/>
    <w:rsid w:val="2D216834"/>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E0C49"/>
    <w:rsid w:val="2E8C4181"/>
    <w:rsid w:val="2EE30245"/>
    <w:rsid w:val="2EE32EBE"/>
    <w:rsid w:val="2EEA688C"/>
    <w:rsid w:val="2EFC4149"/>
    <w:rsid w:val="2F00025C"/>
    <w:rsid w:val="2F0733C4"/>
    <w:rsid w:val="2F0F5433"/>
    <w:rsid w:val="2F1F0B51"/>
    <w:rsid w:val="2F212B1B"/>
    <w:rsid w:val="2F330266"/>
    <w:rsid w:val="2F3C1703"/>
    <w:rsid w:val="2F5910E2"/>
    <w:rsid w:val="2F5A7DDB"/>
    <w:rsid w:val="2F6C023B"/>
    <w:rsid w:val="2FAD7F06"/>
    <w:rsid w:val="2FB05937"/>
    <w:rsid w:val="2FB41BE1"/>
    <w:rsid w:val="2FB43990"/>
    <w:rsid w:val="2FB614B6"/>
    <w:rsid w:val="2FB66EAD"/>
    <w:rsid w:val="2FBC19C0"/>
    <w:rsid w:val="2FC220BE"/>
    <w:rsid w:val="2FCF18F2"/>
    <w:rsid w:val="2FD14541"/>
    <w:rsid w:val="2FD85881"/>
    <w:rsid w:val="2FEB727A"/>
    <w:rsid w:val="2FF72667"/>
    <w:rsid w:val="3008283B"/>
    <w:rsid w:val="30093CDB"/>
    <w:rsid w:val="300B664D"/>
    <w:rsid w:val="301377D6"/>
    <w:rsid w:val="304A5C33"/>
    <w:rsid w:val="305B5866"/>
    <w:rsid w:val="30601689"/>
    <w:rsid w:val="309013EB"/>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2F72FD"/>
    <w:rsid w:val="32410B27"/>
    <w:rsid w:val="32412817"/>
    <w:rsid w:val="324A339B"/>
    <w:rsid w:val="325E7BE3"/>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85ABF"/>
    <w:rsid w:val="3315081F"/>
    <w:rsid w:val="331734EF"/>
    <w:rsid w:val="332413CD"/>
    <w:rsid w:val="333746BC"/>
    <w:rsid w:val="333813AA"/>
    <w:rsid w:val="334562EF"/>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7117EC"/>
    <w:rsid w:val="368247AC"/>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C40B1"/>
    <w:rsid w:val="372F06AE"/>
    <w:rsid w:val="37362CDE"/>
    <w:rsid w:val="373936EB"/>
    <w:rsid w:val="373F6235"/>
    <w:rsid w:val="37436757"/>
    <w:rsid w:val="37490E61"/>
    <w:rsid w:val="375515B4"/>
    <w:rsid w:val="375D66BB"/>
    <w:rsid w:val="375E5072"/>
    <w:rsid w:val="37812AC1"/>
    <w:rsid w:val="37845A95"/>
    <w:rsid w:val="379E73FF"/>
    <w:rsid w:val="37BC7885"/>
    <w:rsid w:val="37C63446"/>
    <w:rsid w:val="37CE1367"/>
    <w:rsid w:val="37E368FA"/>
    <w:rsid w:val="37E42938"/>
    <w:rsid w:val="37E90BF9"/>
    <w:rsid w:val="37FB23FC"/>
    <w:rsid w:val="38060B00"/>
    <w:rsid w:val="380C0CD1"/>
    <w:rsid w:val="38113A78"/>
    <w:rsid w:val="38357FDF"/>
    <w:rsid w:val="383B35AC"/>
    <w:rsid w:val="38892684"/>
    <w:rsid w:val="38960718"/>
    <w:rsid w:val="38B22A36"/>
    <w:rsid w:val="38BD6B23"/>
    <w:rsid w:val="38C06F01"/>
    <w:rsid w:val="38EA6674"/>
    <w:rsid w:val="38ED0904"/>
    <w:rsid w:val="38FA68B7"/>
    <w:rsid w:val="3914549F"/>
    <w:rsid w:val="392D1CB2"/>
    <w:rsid w:val="398050EA"/>
    <w:rsid w:val="398A4394"/>
    <w:rsid w:val="39914B09"/>
    <w:rsid w:val="399A30E5"/>
    <w:rsid w:val="399C796E"/>
    <w:rsid w:val="39A156EB"/>
    <w:rsid w:val="39B5145B"/>
    <w:rsid w:val="39B67561"/>
    <w:rsid w:val="39BD1693"/>
    <w:rsid w:val="39BF18AF"/>
    <w:rsid w:val="39C269D2"/>
    <w:rsid w:val="39C6033C"/>
    <w:rsid w:val="39CB40BB"/>
    <w:rsid w:val="39F94DC1"/>
    <w:rsid w:val="39FF4734"/>
    <w:rsid w:val="3A001F53"/>
    <w:rsid w:val="3A086DB2"/>
    <w:rsid w:val="3A090BB4"/>
    <w:rsid w:val="3A1274DD"/>
    <w:rsid w:val="3A1C1BAF"/>
    <w:rsid w:val="3A2B7BCB"/>
    <w:rsid w:val="3A4818A4"/>
    <w:rsid w:val="3A4B6C9E"/>
    <w:rsid w:val="3A83468A"/>
    <w:rsid w:val="3A944469"/>
    <w:rsid w:val="3A972F8C"/>
    <w:rsid w:val="3A9E3272"/>
    <w:rsid w:val="3AB40CE8"/>
    <w:rsid w:val="3AC02696"/>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866F2F"/>
    <w:rsid w:val="3B90705F"/>
    <w:rsid w:val="3B9138F8"/>
    <w:rsid w:val="3B976272"/>
    <w:rsid w:val="3BA0301A"/>
    <w:rsid w:val="3BC46D08"/>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2739F3"/>
    <w:rsid w:val="3D2939E6"/>
    <w:rsid w:val="3D2B049F"/>
    <w:rsid w:val="3D2C1009"/>
    <w:rsid w:val="3D3402D7"/>
    <w:rsid w:val="3D4E0F7F"/>
    <w:rsid w:val="3D53086A"/>
    <w:rsid w:val="3D580050"/>
    <w:rsid w:val="3D606F05"/>
    <w:rsid w:val="3D6C3AFB"/>
    <w:rsid w:val="3D8B3E96"/>
    <w:rsid w:val="3D8B6100"/>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971D4"/>
    <w:rsid w:val="3E600D75"/>
    <w:rsid w:val="3E622809"/>
    <w:rsid w:val="3E927592"/>
    <w:rsid w:val="3E9545FC"/>
    <w:rsid w:val="3E970ED5"/>
    <w:rsid w:val="3EAF0525"/>
    <w:rsid w:val="3EBB38BF"/>
    <w:rsid w:val="3ED5769D"/>
    <w:rsid w:val="3ED95395"/>
    <w:rsid w:val="3EEC74DA"/>
    <w:rsid w:val="3EED2A1A"/>
    <w:rsid w:val="3EED47C8"/>
    <w:rsid w:val="3F0942F2"/>
    <w:rsid w:val="3F2006FA"/>
    <w:rsid w:val="3F2B4BC7"/>
    <w:rsid w:val="3F3643C1"/>
    <w:rsid w:val="3F392BA0"/>
    <w:rsid w:val="3F455BEE"/>
    <w:rsid w:val="3F4F7231"/>
    <w:rsid w:val="3F5837D5"/>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F51D0"/>
    <w:rsid w:val="4075369B"/>
    <w:rsid w:val="40753A2D"/>
    <w:rsid w:val="407C22A8"/>
    <w:rsid w:val="40817F9B"/>
    <w:rsid w:val="408728ED"/>
    <w:rsid w:val="408818FE"/>
    <w:rsid w:val="409C0254"/>
    <w:rsid w:val="40B217A5"/>
    <w:rsid w:val="40C15F0C"/>
    <w:rsid w:val="40CC6F2A"/>
    <w:rsid w:val="40D03077"/>
    <w:rsid w:val="40DA71F4"/>
    <w:rsid w:val="40ED0BFB"/>
    <w:rsid w:val="40EF2A79"/>
    <w:rsid w:val="40F94DDB"/>
    <w:rsid w:val="41073870"/>
    <w:rsid w:val="410B0B03"/>
    <w:rsid w:val="410B461F"/>
    <w:rsid w:val="410E60F5"/>
    <w:rsid w:val="410F0A26"/>
    <w:rsid w:val="410F554E"/>
    <w:rsid w:val="41124C72"/>
    <w:rsid w:val="41126768"/>
    <w:rsid w:val="41160006"/>
    <w:rsid w:val="41214B61"/>
    <w:rsid w:val="414663AC"/>
    <w:rsid w:val="414C3A28"/>
    <w:rsid w:val="415475F9"/>
    <w:rsid w:val="41630D72"/>
    <w:rsid w:val="41735459"/>
    <w:rsid w:val="41761144"/>
    <w:rsid w:val="4187758C"/>
    <w:rsid w:val="41934A27"/>
    <w:rsid w:val="41AA0755"/>
    <w:rsid w:val="41B2577E"/>
    <w:rsid w:val="41CC6917"/>
    <w:rsid w:val="41CD62F1"/>
    <w:rsid w:val="41D34BDB"/>
    <w:rsid w:val="41EA4926"/>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217136"/>
    <w:rsid w:val="4323397D"/>
    <w:rsid w:val="433400A4"/>
    <w:rsid w:val="43416B84"/>
    <w:rsid w:val="435561A7"/>
    <w:rsid w:val="436239D7"/>
    <w:rsid w:val="436855C0"/>
    <w:rsid w:val="4393762D"/>
    <w:rsid w:val="4397373B"/>
    <w:rsid w:val="43A4293E"/>
    <w:rsid w:val="43A538CB"/>
    <w:rsid w:val="43A55671"/>
    <w:rsid w:val="43A76C9B"/>
    <w:rsid w:val="43AC15BA"/>
    <w:rsid w:val="43B36BDA"/>
    <w:rsid w:val="43FA7187"/>
    <w:rsid w:val="44022AC4"/>
    <w:rsid w:val="44077BDE"/>
    <w:rsid w:val="440D4FBD"/>
    <w:rsid w:val="442B201A"/>
    <w:rsid w:val="442E5667"/>
    <w:rsid w:val="444B3339"/>
    <w:rsid w:val="445B18AB"/>
    <w:rsid w:val="44676DCB"/>
    <w:rsid w:val="4473751E"/>
    <w:rsid w:val="44827761"/>
    <w:rsid w:val="44891103"/>
    <w:rsid w:val="449D459A"/>
    <w:rsid w:val="44A27E03"/>
    <w:rsid w:val="44A409D6"/>
    <w:rsid w:val="44A40B8C"/>
    <w:rsid w:val="44A678F3"/>
    <w:rsid w:val="44BF717D"/>
    <w:rsid w:val="44CC2106"/>
    <w:rsid w:val="44D85C85"/>
    <w:rsid w:val="44E86CCF"/>
    <w:rsid w:val="44F10CAD"/>
    <w:rsid w:val="45297689"/>
    <w:rsid w:val="453A628D"/>
    <w:rsid w:val="45431740"/>
    <w:rsid w:val="454669E0"/>
    <w:rsid w:val="454809AA"/>
    <w:rsid w:val="454E1745"/>
    <w:rsid w:val="45513BE6"/>
    <w:rsid w:val="45592AC9"/>
    <w:rsid w:val="455C4456"/>
    <w:rsid w:val="457F0FBD"/>
    <w:rsid w:val="4585533A"/>
    <w:rsid w:val="45941E41"/>
    <w:rsid w:val="459B6D2C"/>
    <w:rsid w:val="45B1654F"/>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F31E9E"/>
    <w:rsid w:val="47FD6766"/>
    <w:rsid w:val="4800731A"/>
    <w:rsid w:val="48076D81"/>
    <w:rsid w:val="48094372"/>
    <w:rsid w:val="48166B3E"/>
    <w:rsid w:val="4819662E"/>
    <w:rsid w:val="48237A49"/>
    <w:rsid w:val="48253225"/>
    <w:rsid w:val="48313978"/>
    <w:rsid w:val="48315726"/>
    <w:rsid w:val="483A4518"/>
    <w:rsid w:val="48425B85"/>
    <w:rsid w:val="484A2753"/>
    <w:rsid w:val="48587156"/>
    <w:rsid w:val="485D651B"/>
    <w:rsid w:val="48621D83"/>
    <w:rsid w:val="48872B1F"/>
    <w:rsid w:val="489901E7"/>
    <w:rsid w:val="48C0065E"/>
    <w:rsid w:val="48D90393"/>
    <w:rsid w:val="48EA3B26"/>
    <w:rsid w:val="48EB621C"/>
    <w:rsid w:val="48EE6A28"/>
    <w:rsid w:val="48F73D7C"/>
    <w:rsid w:val="490C07C3"/>
    <w:rsid w:val="491533EC"/>
    <w:rsid w:val="493D00FA"/>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9E50EBD"/>
    <w:rsid w:val="4A007AA5"/>
    <w:rsid w:val="4A0B1318"/>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275E3"/>
    <w:rsid w:val="4BEF5271"/>
    <w:rsid w:val="4C001FDF"/>
    <w:rsid w:val="4C06511B"/>
    <w:rsid w:val="4C0D46FC"/>
    <w:rsid w:val="4C12444C"/>
    <w:rsid w:val="4C172AE9"/>
    <w:rsid w:val="4C285091"/>
    <w:rsid w:val="4C2C4B82"/>
    <w:rsid w:val="4C2D715A"/>
    <w:rsid w:val="4C4E0701"/>
    <w:rsid w:val="4C5C757C"/>
    <w:rsid w:val="4C6C1571"/>
    <w:rsid w:val="4C6D6F48"/>
    <w:rsid w:val="4C96024D"/>
    <w:rsid w:val="4CA37CC7"/>
    <w:rsid w:val="4CA679BA"/>
    <w:rsid w:val="4CAA3CF8"/>
    <w:rsid w:val="4CB665C8"/>
    <w:rsid w:val="4CB87A12"/>
    <w:rsid w:val="4CCF375F"/>
    <w:rsid w:val="4CFE63D3"/>
    <w:rsid w:val="4D000BB2"/>
    <w:rsid w:val="4D0A29E9"/>
    <w:rsid w:val="4D230F75"/>
    <w:rsid w:val="4D3116D4"/>
    <w:rsid w:val="4D322DEC"/>
    <w:rsid w:val="4D3A507C"/>
    <w:rsid w:val="4D7302FC"/>
    <w:rsid w:val="4D807A26"/>
    <w:rsid w:val="4D8101BB"/>
    <w:rsid w:val="4D891B60"/>
    <w:rsid w:val="4D8A376A"/>
    <w:rsid w:val="4D9A7219"/>
    <w:rsid w:val="4D9C5D37"/>
    <w:rsid w:val="4D9E1AAF"/>
    <w:rsid w:val="4DA75835"/>
    <w:rsid w:val="4DB10829"/>
    <w:rsid w:val="4DBA7F6B"/>
    <w:rsid w:val="4DDB339F"/>
    <w:rsid w:val="4DE37BAB"/>
    <w:rsid w:val="4DFE60AA"/>
    <w:rsid w:val="4E032F43"/>
    <w:rsid w:val="4E091E32"/>
    <w:rsid w:val="4E125FF9"/>
    <w:rsid w:val="4E184C25"/>
    <w:rsid w:val="4E1A0C33"/>
    <w:rsid w:val="4E21448E"/>
    <w:rsid w:val="4E232ABB"/>
    <w:rsid w:val="4E4A575B"/>
    <w:rsid w:val="4E4C2CF1"/>
    <w:rsid w:val="4E4D7031"/>
    <w:rsid w:val="4E522555"/>
    <w:rsid w:val="4E6E44AF"/>
    <w:rsid w:val="4E8C3CA1"/>
    <w:rsid w:val="4E8F363B"/>
    <w:rsid w:val="4E99347F"/>
    <w:rsid w:val="4EC15329"/>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9A6B8E"/>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A38"/>
    <w:rsid w:val="50B5109A"/>
    <w:rsid w:val="50CB623F"/>
    <w:rsid w:val="50CE348B"/>
    <w:rsid w:val="50D95943"/>
    <w:rsid w:val="50D97592"/>
    <w:rsid w:val="50DB3513"/>
    <w:rsid w:val="50DE6667"/>
    <w:rsid w:val="50EB131B"/>
    <w:rsid w:val="50EB451E"/>
    <w:rsid w:val="50FB4B23"/>
    <w:rsid w:val="510D3B22"/>
    <w:rsid w:val="51226ED6"/>
    <w:rsid w:val="513242BC"/>
    <w:rsid w:val="51424BFA"/>
    <w:rsid w:val="51430B2C"/>
    <w:rsid w:val="517610A6"/>
    <w:rsid w:val="517B5C63"/>
    <w:rsid w:val="51C404BD"/>
    <w:rsid w:val="51DC608C"/>
    <w:rsid w:val="51E11C0F"/>
    <w:rsid w:val="51E1640E"/>
    <w:rsid w:val="51E7284C"/>
    <w:rsid w:val="51F262CF"/>
    <w:rsid w:val="52173BDE"/>
    <w:rsid w:val="5217598C"/>
    <w:rsid w:val="521D45E3"/>
    <w:rsid w:val="522C6A2B"/>
    <w:rsid w:val="52391DA6"/>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B1EF3"/>
    <w:rsid w:val="53582700"/>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A63265"/>
    <w:rsid w:val="54B430BC"/>
    <w:rsid w:val="54BB2F47"/>
    <w:rsid w:val="54C120D0"/>
    <w:rsid w:val="54D04518"/>
    <w:rsid w:val="54D1518C"/>
    <w:rsid w:val="54DE09E3"/>
    <w:rsid w:val="54EA440D"/>
    <w:rsid w:val="54EC75A4"/>
    <w:rsid w:val="54FB1595"/>
    <w:rsid w:val="54FC3CDE"/>
    <w:rsid w:val="551E7032"/>
    <w:rsid w:val="55216B22"/>
    <w:rsid w:val="556C76ED"/>
    <w:rsid w:val="55740D24"/>
    <w:rsid w:val="557A0AE7"/>
    <w:rsid w:val="558C729E"/>
    <w:rsid w:val="558E2409"/>
    <w:rsid w:val="559B14C5"/>
    <w:rsid w:val="55B72675"/>
    <w:rsid w:val="55CB6322"/>
    <w:rsid w:val="55CE2806"/>
    <w:rsid w:val="55E97640"/>
    <w:rsid w:val="55F42962"/>
    <w:rsid w:val="55F936B0"/>
    <w:rsid w:val="56077D79"/>
    <w:rsid w:val="560B3A5A"/>
    <w:rsid w:val="561548BD"/>
    <w:rsid w:val="5625632C"/>
    <w:rsid w:val="56344425"/>
    <w:rsid w:val="565847C5"/>
    <w:rsid w:val="56636203"/>
    <w:rsid w:val="568630E0"/>
    <w:rsid w:val="56867733"/>
    <w:rsid w:val="56B23183"/>
    <w:rsid w:val="56C41520"/>
    <w:rsid w:val="56CD32B1"/>
    <w:rsid w:val="56D555C3"/>
    <w:rsid w:val="56D60D89"/>
    <w:rsid w:val="56E073B4"/>
    <w:rsid w:val="56F52014"/>
    <w:rsid w:val="571C3A45"/>
    <w:rsid w:val="57296541"/>
    <w:rsid w:val="573050F9"/>
    <w:rsid w:val="573E1C0D"/>
    <w:rsid w:val="57400F9F"/>
    <w:rsid w:val="575136EE"/>
    <w:rsid w:val="5776344A"/>
    <w:rsid w:val="579B2BBB"/>
    <w:rsid w:val="57A92D8C"/>
    <w:rsid w:val="57C15103"/>
    <w:rsid w:val="57C57C38"/>
    <w:rsid w:val="57CF1AC2"/>
    <w:rsid w:val="57D04F5B"/>
    <w:rsid w:val="57D305A7"/>
    <w:rsid w:val="57D850B1"/>
    <w:rsid w:val="57D91936"/>
    <w:rsid w:val="57DB745C"/>
    <w:rsid w:val="57DB7C26"/>
    <w:rsid w:val="57FF0937"/>
    <w:rsid w:val="58003366"/>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8DC7930"/>
    <w:rsid w:val="591B0458"/>
    <w:rsid w:val="594828CF"/>
    <w:rsid w:val="59613991"/>
    <w:rsid w:val="59617E35"/>
    <w:rsid w:val="59626AFC"/>
    <w:rsid w:val="59653481"/>
    <w:rsid w:val="59740953"/>
    <w:rsid w:val="59747B68"/>
    <w:rsid w:val="5975743C"/>
    <w:rsid w:val="598952C5"/>
    <w:rsid w:val="59910FE5"/>
    <w:rsid w:val="59926240"/>
    <w:rsid w:val="59C1607D"/>
    <w:rsid w:val="59D108D5"/>
    <w:rsid w:val="59D32AE1"/>
    <w:rsid w:val="5A003084"/>
    <w:rsid w:val="5A1D3D5C"/>
    <w:rsid w:val="5A1E6660"/>
    <w:rsid w:val="5A252118"/>
    <w:rsid w:val="5A492AC8"/>
    <w:rsid w:val="5A657F98"/>
    <w:rsid w:val="5A6845A3"/>
    <w:rsid w:val="5A77291D"/>
    <w:rsid w:val="5A90452E"/>
    <w:rsid w:val="5A953545"/>
    <w:rsid w:val="5A957C3F"/>
    <w:rsid w:val="5AA47FD9"/>
    <w:rsid w:val="5AB52371"/>
    <w:rsid w:val="5AFE4495"/>
    <w:rsid w:val="5B0B6FA6"/>
    <w:rsid w:val="5B184523"/>
    <w:rsid w:val="5B1F687B"/>
    <w:rsid w:val="5B322A36"/>
    <w:rsid w:val="5B3C0F82"/>
    <w:rsid w:val="5B4B3830"/>
    <w:rsid w:val="5B5624AD"/>
    <w:rsid w:val="5B597015"/>
    <w:rsid w:val="5B6D2AC1"/>
    <w:rsid w:val="5B70610D"/>
    <w:rsid w:val="5B7B5CBA"/>
    <w:rsid w:val="5B9242D5"/>
    <w:rsid w:val="5B9C7474"/>
    <w:rsid w:val="5B9E0A3B"/>
    <w:rsid w:val="5BA673C2"/>
    <w:rsid w:val="5BAB5397"/>
    <w:rsid w:val="5BAD6B57"/>
    <w:rsid w:val="5BAF30D9"/>
    <w:rsid w:val="5BB701E0"/>
    <w:rsid w:val="5BCC6458"/>
    <w:rsid w:val="5BD13050"/>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9290E"/>
    <w:rsid w:val="5CE15514"/>
    <w:rsid w:val="5CE60D7D"/>
    <w:rsid w:val="5CEA796E"/>
    <w:rsid w:val="5CEC0894"/>
    <w:rsid w:val="5CF85D94"/>
    <w:rsid w:val="5D0B2591"/>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135BA1"/>
    <w:rsid w:val="5E23390B"/>
    <w:rsid w:val="5E2F22B0"/>
    <w:rsid w:val="5E3252D6"/>
    <w:rsid w:val="5E370D27"/>
    <w:rsid w:val="5E5B62BC"/>
    <w:rsid w:val="5E652175"/>
    <w:rsid w:val="5E6C7E5E"/>
    <w:rsid w:val="5E6E2DD8"/>
    <w:rsid w:val="5E771043"/>
    <w:rsid w:val="5E7F70C9"/>
    <w:rsid w:val="5E8A39DA"/>
    <w:rsid w:val="5E9B16F3"/>
    <w:rsid w:val="5EA07923"/>
    <w:rsid w:val="5EBD5B0D"/>
    <w:rsid w:val="5EC073AC"/>
    <w:rsid w:val="5EE03675"/>
    <w:rsid w:val="5EE96BDE"/>
    <w:rsid w:val="5EF26507"/>
    <w:rsid w:val="5EF45ED8"/>
    <w:rsid w:val="5EF64B7B"/>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A6092"/>
    <w:rsid w:val="5FDA4E5B"/>
    <w:rsid w:val="5FDC0215"/>
    <w:rsid w:val="5FDE5D3B"/>
    <w:rsid w:val="5FEB4543"/>
    <w:rsid w:val="5FF732FF"/>
    <w:rsid w:val="600464CA"/>
    <w:rsid w:val="601C305A"/>
    <w:rsid w:val="601D2D07"/>
    <w:rsid w:val="602358E4"/>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93254"/>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57CE2"/>
    <w:rsid w:val="619C0E29"/>
    <w:rsid w:val="61BC737B"/>
    <w:rsid w:val="61D778B0"/>
    <w:rsid w:val="61E41603"/>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55005"/>
    <w:rsid w:val="63B838B0"/>
    <w:rsid w:val="63D731CD"/>
    <w:rsid w:val="63E46486"/>
    <w:rsid w:val="63EE6769"/>
    <w:rsid w:val="63F0428F"/>
    <w:rsid w:val="63FD0FFA"/>
    <w:rsid w:val="640B731B"/>
    <w:rsid w:val="64132E70"/>
    <w:rsid w:val="642161BD"/>
    <w:rsid w:val="642B52C7"/>
    <w:rsid w:val="643423F9"/>
    <w:rsid w:val="64342D5D"/>
    <w:rsid w:val="644665A5"/>
    <w:rsid w:val="644C4AC7"/>
    <w:rsid w:val="64577F0A"/>
    <w:rsid w:val="64622E30"/>
    <w:rsid w:val="646302F1"/>
    <w:rsid w:val="64634A61"/>
    <w:rsid w:val="646533CF"/>
    <w:rsid w:val="64656A2B"/>
    <w:rsid w:val="648844C8"/>
    <w:rsid w:val="64942E6C"/>
    <w:rsid w:val="649B5200"/>
    <w:rsid w:val="64B21544"/>
    <w:rsid w:val="64B95B03"/>
    <w:rsid w:val="64C74ED6"/>
    <w:rsid w:val="64D40A42"/>
    <w:rsid w:val="64DB4A40"/>
    <w:rsid w:val="64EE6A20"/>
    <w:rsid w:val="64FF0C2E"/>
    <w:rsid w:val="650171A3"/>
    <w:rsid w:val="650224CC"/>
    <w:rsid w:val="65075340"/>
    <w:rsid w:val="6533652A"/>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16111"/>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D35712"/>
    <w:rsid w:val="67D91D16"/>
    <w:rsid w:val="67DA0714"/>
    <w:rsid w:val="67E804DF"/>
    <w:rsid w:val="67E94DF6"/>
    <w:rsid w:val="67F64F70"/>
    <w:rsid w:val="67F87EC1"/>
    <w:rsid w:val="68085971"/>
    <w:rsid w:val="681744E0"/>
    <w:rsid w:val="681D13CB"/>
    <w:rsid w:val="6828049B"/>
    <w:rsid w:val="6833385B"/>
    <w:rsid w:val="684243BB"/>
    <w:rsid w:val="68425D24"/>
    <w:rsid w:val="685179D9"/>
    <w:rsid w:val="68555008"/>
    <w:rsid w:val="68623356"/>
    <w:rsid w:val="68705781"/>
    <w:rsid w:val="68753EC8"/>
    <w:rsid w:val="68882270"/>
    <w:rsid w:val="68923B67"/>
    <w:rsid w:val="689551AC"/>
    <w:rsid w:val="68AB77F7"/>
    <w:rsid w:val="68B847B1"/>
    <w:rsid w:val="68B95A4C"/>
    <w:rsid w:val="68BA4186"/>
    <w:rsid w:val="68BE1F32"/>
    <w:rsid w:val="68C656C9"/>
    <w:rsid w:val="68E21E29"/>
    <w:rsid w:val="68E80F53"/>
    <w:rsid w:val="68F148CF"/>
    <w:rsid w:val="69036239"/>
    <w:rsid w:val="690F31ED"/>
    <w:rsid w:val="69121D57"/>
    <w:rsid w:val="69194288"/>
    <w:rsid w:val="693B7D5A"/>
    <w:rsid w:val="69455261"/>
    <w:rsid w:val="695D1AD0"/>
    <w:rsid w:val="697A09C2"/>
    <w:rsid w:val="697A1E90"/>
    <w:rsid w:val="698F25C3"/>
    <w:rsid w:val="69952F2C"/>
    <w:rsid w:val="699F648F"/>
    <w:rsid w:val="69AD2556"/>
    <w:rsid w:val="69AD64EB"/>
    <w:rsid w:val="69D14E84"/>
    <w:rsid w:val="69DB0917"/>
    <w:rsid w:val="69F543AD"/>
    <w:rsid w:val="69FD7706"/>
    <w:rsid w:val="6A015289"/>
    <w:rsid w:val="6A0A16F9"/>
    <w:rsid w:val="6A0C3D78"/>
    <w:rsid w:val="6A187197"/>
    <w:rsid w:val="6A41142C"/>
    <w:rsid w:val="6A414916"/>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34520"/>
    <w:rsid w:val="6BB838E4"/>
    <w:rsid w:val="6BC56001"/>
    <w:rsid w:val="6BDF70C3"/>
    <w:rsid w:val="6C05153C"/>
    <w:rsid w:val="6C07661A"/>
    <w:rsid w:val="6C1146EC"/>
    <w:rsid w:val="6C20145D"/>
    <w:rsid w:val="6C2076DB"/>
    <w:rsid w:val="6C38150C"/>
    <w:rsid w:val="6C3867D3"/>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73CDD"/>
    <w:rsid w:val="6DEA5523"/>
    <w:rsid w:val="6DEA7FA1"/>
    <w:rsid w:val="6DFF1F95"/>
    <w:rsid w:val="6E095725"/>
    <w:rsid w:val="6E130AC4"/>
    <w:rsid w:val="6E2000A5"/>
    <w:rsid w:val="6E2214E9"/>
    <w:rsid w:val="6E331948"/>
    <w:rsid w:val="6E3466A6"/>
    <w:rsid w:val="6E50156F"/>
    <w:rsid w:val="6E535B46"/>
    <w:rsid w:val="6E7236DC"/>
    <w:rsid w:val="6E8B22C3"/>
    <w:rsid w:val="6E8F0F98"/>
    <w:rsid w:val="6EAD52AF"/>
    <w:rsid w:val="6EAE5066"/>
    <w:rsid w:val="6ECB13C7"/>
    <w:rsid w:val="6EFF5CCE"/>
    <w:rsid w:val="6F052765"/>
    <w:rsid w:val="6F0C7EFF"/>
    <w:rsid w:val="6F0F4773"/>
    <w:rsid w:val="6F265009"/>
    <w:rsid w:val="6F355C1A"/>
    <w:rsid w:val="6F485CB9"/>
    <w:rsid w:val="6F5146BA"/>
    <w:rsid w:val="6F5D0F69"/>
    <w:rsid w:val="6F66482C"/>
    <w:rsid w:val="6F697353"/>
    <w:rsid w:val="6F742218"/>
    <w:rsid w:val="6F8A37EA"/>
    <w:rsid w:val="6F8B4E7A"/>
    <w:rsid w:val="6F8F2B24"/>
    <w:rsid w:val="6F8F7052"/>
    <w:rsid w:val="6F912DCA"/>
    <w:rsid w:val="6F9B098D"/>
    <w:rsid w:val="6FAB14F6"/>
    <w:rsid w:val="6FCF3F58"/>
    <w:rsid w:val="6FF26985"/>
    <w:rsid w:val="6FF43782"/>
    <w:rsid w:val="70082F3E"/>
    <w:rsid w:val="700B153E"/>
    <w:rsid w:val="700E4CD4"/>
    <w:rsid w:val="70136A8B"/>
    <w:rsid w:val="701A0E55"/>
    <w:rsid w:val="701B10DA"/>
    <w:rsid w:val="701E69C5"/>
    <w:rsid w:val="70207CAA"/>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73E92"/>
    <w:rsid w:val="714479C8"/>
    <w:rsid w:val="714A76D4"/>
    <w:rsid w:val="718D136F"/>
    <w:rsid w:val="719A3A8C"/>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5540DE"/>
    <w:rsid w:val="735A11C6"/>
    <w:rsid w:val="735C724B"/>
    <w:rsid w:val="736E6F7E"/>
    <w:rsid w:val="73751BE6"/>
    <w:rsid w:val="737B402A"/>
    <w:rsid w:val="737C169B"/>
    <w:rsid w:val="737F3F06"/>
    <w:rsid w:val="73907A80"/>
    <w:rsid w:val="73996FA1"/>
    <w:rsid w:val="739A448E"/>
    <w:rsid w:val="73B07597"/>
    <w:rsid w:val="73BF77DA"/>
    <w:rsid w:val="73F275CC"/>
    <w:rsid w:val="73FA64D3"/>
    <w:rsid w:val="73FB52EC"/>
    <w:rsid w:val="73FC458A"/>
    <w:rsid w:val="740022CC"/>
    <w:rsid w:val="74031DBD"/>
    <w:rsid w:val="7404509E"/>
    <w:rsid w:val="741521B8"/>
    <w:rsid w:val="7432729F"/>
    <w:rsid w:val="74582108"/>
    <w:rsid w:val="747D5D5D"/>
    <w:rsid w:val="74934EEE"/>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8E56B6"/>
    <w:rsid w:val="75A45EE7"/>
    <w:rsid w:val="75AB6268"/>
    <w:rsid w:val="75C0373B"/>
    <w:rsid w:val="75C44A38"/>
    <w:rsid w:val="75C92955"/>
    <w:rsid w:val="75E23873"/>
    <w:rsid w:val="75F168C8"/>
    <w:rsid w:val="75F55735"/>
    <w:rsid w:val="76045978"/>
    <w:rsid w:val="7608546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E97048"/>
    <w:rsid w:val="76F20CBD"/>
    <w:rsid w:val="76F215D5"/>
    <w:rsid w:val="77240D9D"/>
    <w:rsid w:val="772B3B04"/>
    <w:rsid w:val="77356731"/>
    <w:rsid w:val="77383B2B"/>
    <w:rsid w:val="774121E0"/>
    <w:rsid w:val="774464EA"/>
    <w:rsid w:val="775070C7"/>
    <w:rsid w:val="775145CF"/>
    <w:rsid w:val="777257BD"/>
    <w:rsid w:val="777A05E8"/>
    <w:rsid w:val="777B66C8"/>
    <w:rsid w:val="77945309"/>
    <w:rsid w:val="77960662"/>
    <w:rsid w:val="77A25449"/>
    <w:rsid w:val="77A80CB1"/>
    <w:rsid w:val="77D575CC"/>
    <w:rsid w:val="77DA0571"/>
    <w:rsid w:val="77DE2D74"/>
    <w:rsid w:val="77EF7CCD"/>
    <w:rsid w:val="77F01AD6"/>
    <w:rsid w:val="77F43DA8"/>
    <w:rsid w:val="77FC7D21"/>
    <w:rsid w:val="77FE4D75"/>
    <w:rsid w:val="78074999"/>
    <w:rsid w:val="780F0D30"/>
    <w:rsid w:val="78104A38"/>
    <w:rsid w:val="782A3DBC"/>
    <w:rsid w:val="78341EC3"/>
    <w:rsid w:val="785E7C83"/>
    <w:rsid w:val="7860333A"/>
    <w:rsid w:val="786C6182"/>
    <w:rsid w:val="7872480D"/>
    <w:rsid w:val="78743289"/>
    <w:rsid w:val="7881799D"/>
    <w:rsid w:val="789256B0"/>
    <w:rsid w:val="78A62E25"/>
    <w:rsid w:val="78A70F68"/>
    <w:rsid w:val="78AC657F"/>
    <w:rsid w:val="78BC253A"/>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96D03"/>
    <w:rsid w:val="7B2B58DE"/>
    <w:rsid w:val="7B2E7A0A"/>
    <w:rsid w:val="7B3F5C18"/>
    <w:rsid w:val="7B470961"/>
    <w:rsid w:val="7B4C27D2"/>
    <w:rsid w:val="7B66335D"/>
    <w:rsid w:val="7B8B0D6B"/>
    <w:rsid w:val="7B9C62A6"/>
    <w:rsid w:val="7BAD0F8C"/>
    <w:rsid w:val="7BAD5B0F"/>
    <w:rsid w:val="7BB87518"/>
    <w:rsid w:val="7BBB10FB"/>
    <w:rsid w:val="7BBC2F7D"/>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D4919"/>
    <w:rsid w:val="7C8E496C"/>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54524"/>
    <w:rsid w:val="7DFD22DC"/>
    <w:rsid w:val="7DFF1847"/>
    <w:rsid w:val="7E0C7AC0"/>
    <w:rsid w:val="7E1352F2"/>
    <w:rsid w:val="7E1D1CCD"/>
    <w:rsid w:val="7E2D1F10"/>
    <w:rsid w:val="7E5D3274"/>
    <w:rsid w:val="7E6A7424"/>
    <w:rsid w:val="7E6E09FF"/>
    <w:rsid w:val="7E7F7D2F"/>
    <w:rsid w:val="7E88183C"/>
    <w:rsid w:val="7E8E459D"/>
    <w:rsid w:val="7E965BB5"/>
    <w:rsid w:val="7EA2082C"/>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1766</Words>
  <Characters>1904</Characters>
  <Lines>6</Lines>
  <Paragraphs>1</Paragraphs>
  <TotalTime>0</TotalTime>
  <ScaleCrop>false</ScaleCrop>
  <LinksUpToDate>false</LinksUpToDate>
  <CharactersWithSpaces>2018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2026-03-20T05:50:02Z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2052-12.1.0.25225</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