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5947369C"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w:t>
      </w:r>
      <w:r w:rsidR="008D10C8">
        <w:rPr>
          <w:rFonts w:ascii="宋体" w:hAnsi="宋体" w:cs="Times New Roman"/>
          <w:sz w:val="24"/>
          <w:szCs w:val="24"/>
        </w:rPr>
        <w:t>6</w:t>
      </w:r>
      <w:r w:rsidR="00D35A77" w:rsidRPr="00186984">
        <w:rPr>
          <w:rFonts w:ascii="宋体" w:hAnsi="宋体" w:cs="Times New Roman"/>
          <w:sz w:val="24"/>
          <w:szCs w:val="24"/>
        </w:rPr>
        <w:t>年</w:t>
      </w:r>
      <w:r w:rsidR="002161D1">
        <w:rPr>
          <w:rFonts w:ascii="宋体" w:hAnsi="宋体" w:cs="Times New Roman"/>
          <w:sz w:val="24"/>
          <w:szCs w:val="24"/>
        </w:rPr>
        <w:t>3</w:t>
      </w:r>
      <w:r w:rsidR="00EA4537">
        <w:rPr>
          <w:rFonts w:ascii="宋体" w:hAnsi="宋体" w:cs="Times New Roman" w:hint="eastAsia"/>
          <w:sz w:val="24"/>
          <w:szCs w:val="24"/>
        </w:rPr>
        <w:t>月</w:t>
      </w:r>
      <w:r w:rsidR="002161D1">
        <w:rPr>
          <w:rFonts w:ascii="宋体" w:hAnsi="宋体" w:cs="Times New Roman"/>
          <w:sz w:val="24"/>
          <w:szCs w:val="24"/>
        </w:rPr>
        <w:t>1</w:t>
      </w:r>
      <w:r w:rsidR="00522379">
        <w:rPr>
          <w:rFonts w:ascii="宋体" w:hAnsi="宋体" w:cs="Times New Roman"/>
          <w:sz w:val="24"/>
          <w:szCs w:val="24"/>
        </w:rPr>
        <w:t>6</w:t>
      </w:r>
      <w:r w:rsidR="00562C90">
        <w:rPr>
          <w:rFonts w:ascii="宋体" w:hAnsi="宋体" w:cs="Times New Roman" w:hint="eastAsia"/>
          <w:sz w:val="24"/>
          <w:szCs w:val="24"/>
        </w:rPr>
        <w:t>日</w:t>
      </w:r>
      <w:r w:rsidR="00876DB7">
        <w:rPr>
          <w:rFonts w:ascii="宋体" w:hAnsi="宋体" w:cs="Times New Roman" w:hint="eastAsia"/>
          <w:sz w:val="24"/>
          <w:szCs w:val="24"/>
        </w:rPr>
        <w:t>-2</w:t>
      </w:r>
      <w:r w:rsidR="00876DB7">
        <w:rPr>
          <w:rFonts w:ascii="宋体" w:hAnsi="宋体" w:cs="Times New Roman"/>
          <w:sz w:val="24"/>
          <w:szCs w:val="24"/>
        </w:rPr>
        <w:t>026</w:t>
      </w:r>
      <w:r w:rsidR="00876DB7">
        <w:rPr>
          <w:rFonts w:ascii="宋体" w:hAnsi="宋体" w:cs="Times New Roman" w:hint="eastAsia"/>
          <w:sz w:val="24"/>
          <w:szCs w:val="24"/>
        </w:rPr>
        <w:t>年3月</w:t>
      </w:r>
      <w:r w:rsidR="00522379">
        <w:rPr>
          <w:rFonts w:ascii="宋体" w:hAnsi="宋体" w:cs="Times New Roman"/>
          <w:sz w:val="24"/>
          <w:szCs w:val="24"/>
        </w:rPr>
        <w:t>20</w:t>
      </w:r>
      <w:r w:rsidR="00876DB7">
        <w:rPr>
          <w:rFonts w:ascii="宋体" w:hAnsi="宋体" w:cs="Times New Roman" w:hint="eastAsia"/>
          <w:sz w:val="24"/>
          <w:szCs w:val="24"/>
        </w:rPr>
        <w:t>日</w:t>
      </w:r>
    </w:p>
    <w:p w14:paraId="33FF5A6D" w14:textId="350BC99A"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085C23">
        <w:rPr>
          <w:rFonts w:ascii="宋体" w:hAnsi="宋体" w:cs="Times New Roman" w:hint="eastAsia"/>
          <w:sz w:val="24"/>
          <w:szCs w:val="24"/>
        </w:rPr>
        <w:t>线上交流</w:t>
      </w:r>
      <w:r w:rsidR="00830218">
        <w:rPr>
          <w:rFonts w:ascii="宋体" w:hAnsi="宋体" w:cs="Times New Roman" w:hint="eastAsia"/>
          <w:sz w:val="24"/>
          <w:szCs w:val="24"/>
        </w:rPr>
        <w:t>、现场交流</w:t>
      </w:r>
    </w:p>
    <w:p w14:paraId="28DBDDD0" w14:textId="35260831" w:rsidR="00E111B5" w:rsidRPr="00E111B5" w:rsidRDefault="00186984" w:rsidP="00E111B5">
      <w:pPr>
        <w:spacing w:line="360" w:lineRule="auto"/>
        <w:rPr>
          <w:rFonts w:ascii="宋体" w:hAnsi="宋体" w:cs="宋体"/>
          <w:kern w:val="0"/>
          <w:sz w:val="24"/>
          <w:szCs w:val="24"/>
        </w:rPr>
      </w:pPr>
      <w:r w:rsidRPr="00186984">
        <w:rPr>
          <w:rFonts w:ascii="宋体" w:hAnsi="宋体" w:cs="宋体" w:hint="eastAsia"/>
          <w:b/>
          <w:bCs/>
          <w:kern w:val="0"/>
          <w:sz w:val="24"/>
          <w:szCs w:val="24"/>
        </w:rPr>
        <w:t>参与交流来访的机构投资者：</w:t>
      </w:r>
      <w:r w:rsidR="00522379" w:rsidRPr="00522379">
        <w:rPr>
          <w:rFonts w:ascii="宋体" w:hAnsi="宋体" w:cs="宋体" w:hint="eastAsia"/>
          <w:kern w:val="0"/>
          <w:sz w:val="24"/>
          <w:szCs w:val="24"/>
        </w:rPr>
        <w:t>银华基金、长盛基金、民生加银、华宝基金、中金资管、东方红、天治基金、申万菱信、光大保德信、国泰海通资管、信达澳亚、金信基金、大成基金、睿远基金、长城财富、招商信诺、创金合信、中信保诚、国寿安保、众安财险</w:t>
      </w:r>
    </w:p>
    <w:p w14:paraId="47E12FC4" w14:textId="6DE926E3" w:rsidR="00071991" w:rsidRDefault="00186984" w:rsidP="0082730E">
      <w:pPr>
        <w:spacing w:line="360" w:lineRule="auto"/>
        <w:rPr>
          <w:rFonts w:ascii="宋体" w:hAnsi="宋体" w:cs="Times New Roman"/>
          <w:sz w:val="24"/>
          <w:szCs w:val="24"/>
        </w:rPr>
      </w:pPr>
      <w:r w:rsidRPr="00186984">
        <w:rPr>
          <w:rFonts w:ascii="宋体" w:hAnsi="宋体" w:cs="宋体" w:hint="eastAsia"/>
          <w:b/>
          <w:bCs/>
          <w:kern w:val="0"/>
          <w:sz w:val="24"/>
          <w:szCs w:val="24"/>
        </w:rPr>
        <w:t>接待人员：</w:t>
      </w:r>
      <w:r w:rsidR="00085C23">
        <w:rPr>
          <w:rFonts w:ascii="宋体" w:hAnsi="宋体" w:cs="Times New Roman" w:hint="eastAsia"/>
          <w:sz w:val="24"/>
          <w:szCs w:val="24"/>
        </w:rPr>
        <w:t>投资部负责人赵新安</w:t>
      </w:r>
    </w:p>
    <w:p w14:paraId="7CF7BAB4" w14:textId="19EF48B0" w:rsidR="00186984" w:rsidRDefault="00186984" w:rsidP="00186984">
      <w:pPr>
        <w:widowControl/>
        <w:spacing w:line="480" w:lineRule="auto"/>
        <w:rPr>
          <w:rFonts w:ascii="宋体" w:hAnsi="宋体" w:cs="宋体"/>
          <w:b/>
          <w:bCs/>
          <w:kern w:val="0"/>
          <w:sz w:val="24"/>
          <w:szCs w:val="24"/>
        </w:rPr>
      </w:pPr>
      <w:r w:rsidRPr="00186984">
        <w:rPr>
          <w:rFonts w:ascii="宋体" w:hAnsi="宋体" w:cs="宋体" w:hint="eastAsia"/>
          <w:b/>
          <w:bCs/>
          <w:kern w:val="0"/>
          <w:sz w:val="24"/>
          <w:szCs w:val="24"/>
        </w:rPr>
        <w:t>二、调研纪要</w:t>
      </w:r>
    </w:p>
    <w:p w14:paraId="734C4786" w14:textId="009E6A5F" w:rsidR="00D574A9" w:rsidRPr="008C408B" w:rsidRDefault="00D574A9" w:rsidP="00D574A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7D7F7F">
        <w:rPr>
          <w:rFonts w:ascii="宋体" w:hAnsi="宋体" w:cs="宋体" w:hint="eastAsia"/>
          <w:b/>
          <w:bCs/>
          <w:kern w:val="0"/>
          <w:sz w:val="24"/>
          <w:szCs w:val="24"/>
        </w:rPr>
        <w:t>订单</w:t>
      </w:r>
      <w:r w:rsidR="00447891" w:rsidRPr="00447891">
        <w:rPr>
          <w:rFonts w:ascii="宋体" w:hAnsi="宋体" w:cs="宋体" w:hint="eastAsia"/>
          <w:b/>
          <w:bCs/>
          <w:kern w:val="0"/>
          <w:sz w:val="24"/>
          <w:szCs w:val="24"/>
        </w:rPr>
        <w:t>增量来源主要是什么</w:t>
      </w:r>
      <w:r w:rsidRPr="00A31F39">
        <w:rPr>
          <w:rFonts w:ascii="宋体" w:hAnsi="宋体" w:cs="宋体" w:hint="eastAsia"/>
          <w:b/>
          <w:bCs/>
          <w:kern w:val="0"/>
          <w:sz w:val="24"/>
          <w:szCs w:val="24"/>
        </w:rPr>
        <w:t>？</w:t>
      </w:r>
    </w:p>
    <w:p w14:paraId="5060C535" w14:textId="3CE6DA42" w:rsidR="00D574A9" w:rsidRDefault="00D574A9" w:rsidP="00E111B5">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574DF6" w:rsidRPr="00574DF6">
        <w:rPr>
          <w:rFonts w:ascii="宋体" w:hAnsi="宋体" w:cs="Times New Roman" w:hint="eastAsia"/>
          <w:kern w:val="0"/>
          <w:sz w:val="24"/>
          <w:szCs w:val="24"/>
        </w:rPr>
        <w:t>随着宏观经济的向好，企业端客户需求恢复较快。与此同时，近年来高校持续扩招，研究生人数增多，也推动了高校需求的持续提升。公司的下游客户行业覆盖面广，像生命科学、新材料、新能源、制药、食品、化工、第三方检测等行业对试剂产品都有需求</w:t>
      </w:r>
      <w:r w:rsidRPr="001C6229">
        <w:rPr>
          <w:rFonts w:ascii="宋体" w:hAnsi="宋体" w:cs="Times New Roman" w:hint="eastAsia"/>
          <w:kern w:val="0"/>
          <w:sz w:val="24"/>
          <w:szCs w:val="24"/>
        </w:rPr>
        <w:t>。</w:t>
      </w:r>
    </w:p>
    <w:p w14:paraId="4791BEE2" w14:textId="77777777" w:rsidR="007D7F7F" w:rsidRPr="008C408B" w:rsidRDefault="007D7F7F" w:rsidP="007D7F7F">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Pr="00447891">
        <w:rPr>
          <w:rFonts w:ascii="宋体" w:hAnsi="宋体" w:cs="宋体" w:hint="eastAsia"/>
          <w:b/>
          <w:bCs/>
          <w:kern w:val="0"/>
          <w:sz w:val="24"/>
          <w:szCs w:val="24"/>
        </w:rPr>
        <w:t>公司会重点开发哪类产品</w:t>
      </w:r>
      <w:r w:rsidRPr="00A31F39">
        <w:rPr>
          <w:rFonts w:ascii="宋体" w:hAnsi="宋体" w:cs="宋体" w:hint="eastAsia"/>
          <w:b/>
          <w:bCs/>
          <w:kern w:val="0"/>
          <w:sz w:val="24"/>
          <w:szCs w:val="24"/>
        </w:rPr>
        <w:t>？</w:t>
      </w:r>
    </w:p>
    <w:p w14:paraId="4377436B" w14:textId="68DB0F34" w:rsidR="007D7F7F" w:rsidRPr="007D7F7F" w:rsidRDefault="007D7F7F" w:rsidP="00E111B5">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447891">
        <w:rPr>
          <w:rFonts w:ascii="宋体" w:hAnsi="宋体" w:cs="Times New Roman" w:hint="eastAsia"/>
          <w:kern w:val="0"/>
          <w:sz w:val="24"/>
          <w:szCs w:val="24"/>
        </w:rPr>
        <w:t>生物试剂需求量比较大，也是公司业务发力的方向。公司在自身开发生物试剂的基础上，同时和瑾萱生物、雅酶生物以及菲鹏生物合作，不断补充阿拉丁的生物试剂产品，快速扩大产品线</w:t>
      </w:r>
      <w:r w:rsidRPr="001C6229">
        <w:rPr>
          <w:rFonts w:ascii="宋体" w:hAnsi="宋体" w:cs="Times New Roman" w:hint="eastAsia"/>
          <w:kern w:val="0"/>
          <w:sz w:val="24"/>
          <w:szCs w:val="24"/>
        </w:rPr>
        <w:t>。</w:t>
      </w:r>
    </w:p>
    <w:p w14:paraId="47FD40F7" w14:textId="7685A972" w:rsidR="00085C23" w:rsidRPr="008C408B" w:rsidRDefault="00085C23" w:rsidP="00085C23">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447891" w:rsidRPr="00447891">
        <w:rPr>
          <w:rFonts w:ascii="宋体" w:hAnsi="宋体" w:cs="宋体" w:hint="eastAsia"/>
          <w:b/>
          <w:bCs/>
          <w:kern w:val="0"/>
          <w:sz w:val="24"/>
          <w:szCs w:val="24"/>
        </w:rPr>
        <w:t>介绍一下</w:t>
      </w:r>
      <w:r w:rsidR="00E93589">
        <w:rPr>
          <w:rFonts w:ascii="宋体" w:hAnsi="宋体" w:cs="宋体" w:hint="eastAsia"/>
          <w:b/>
          <w:bCs/>
          <w:kern w:val="0"/>
          <w:sz w:val="24"/>
          <w:szCs w:val="24"/>
        </w:rPr>
        <w:t>公司</w:t>
      </w:r>
      <w:r w:rsidR="00447891" w:rsidRPr="00447891">
        <w:rPr>
          <w:rFonts w:ascii="宋体" w:hAnsi="宋体" w:cs="宋体" w:hint="eastAsia"/>
          <w:b/>
          <w:bCs/>
          <w:kern w:val="0"/>
          <w:sz w:val="24"/>
          <w:szCs w:val="24"/>
        </w:rPr>
        <w:t>并购的情况</w:t>
      </w:r>
      <w:r w:rsidRPr="00A31F39">
        <w:rPr>
          <w:rFonts w:ascii="宋体" w:hAnsi="宋体" w:cs="宋体" w:hint="eastAsia"/>
          <w:b/>
          <w:bCs/>
          <w:kern w:val="0"/>
          <w:sz w:val="24"/>
          <w:szCs w:val="24"/>
        </w:rPr>
        <w:t>？</w:t>
      </w:r>
    </w:p>
    <w:p w14:paraId="52FC7DC2" w14:textId="77777777" w:rsidR="00447891" w:rsidRPr="00447891" w:rsidRDefault="00085C23" w:rsidP="00447891">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447891" w:rsidRPr="00447891">
        <w:rPr>
          <w:rFonts w:ascii="宋体" w:hAnsi="宋体" w:cs="Times New Roman" w:hint="eastAsia"/>
          <w:kern w:val="0"/>
          <w:sz w:val="24"/>
          <w:szCs w:val="24"/>
        </w:rPr>
        <w:t>最近几年，随着上市节奏的放缓，一级市场估值降低，企业融资困难，为公司对外投资并购提供了良好的时机。自2023年以来，公司共完成7单投资项目，</w:t>
      </w:r>
      <w:r w:rsidR="00447891" w:rsidRPr="00447891">
        <w:rPr>
          <w:rFonts w:ascii="宋体" w:hAnsi="宋体" w:cs="Times New Roman" w:hint="eastAsia"/>
          <w:kern w:val="0"/>
          <w:sz w:val="24"/>
          <w:szCs w:val="24"/>
        </w:rPr>
        <w:lastRenderedPageBreak/>
        <w:t>扩大了重组蛋白、生化试剂、分子酶、蛋白免疫印迹等领域的产品覆盖；为拓展欧洲市场，参股了德国neoLab Migge GmbH。具体项目如下：</w:t>
      </w:r>
    </w:p>
    <w:p w14:paraId="3B716799" w14:textId="589B2B57" w:rsidR="00447891" w:rsidRPr="00447891" w:rsidRDefault="00447891" w:rsidP="00447891">
      <w:pPr>
        <w:widowControl/>
        <w:spacing w:line="360" w:lineRule="auto"/>
        <w:ind w:firstLine="420"/>
        <w:rPr>
          <w:rFonts w:ascii="宋体" w:hAnsi="宋体" w:cs="Times New Roman"/>
          <w:kern w:val="0"/>
          <w:sz w:val="24"/>
          <w:szCs w:val="24"/>
        </w:rPr>
      </w:pPr>
      <w:r w:rsidRPr="00447891">
        <w:rPr>
          <w:rFonts w:ascii="宋体" w:hAnsi="宋体" w:cs="Times New Roman" w:hint="eastAsia"/>
          <w:kern w:val="0"/>
          <w:sz w:val="24"/>
          <w:szCs w:val="24"/>
        </w:rPr>
        <w:t>2023年11月投资武汉瑾萱，持股35%，扩大了重组蛋白产品线；2024年3月收购“上海源叶”51%股权，扩大了生化试剂产品线；2024年10月入股neoLab Migge GmbH，持股10%，布局海外市场；2025年4月入股雅酶生物，持股25%，扩大了蛋白印迹产品线；2025年7月与菲鹏生物合资设立东莞阿拉丁注册完成，持股51%，布局分子酶、免疫类产品系列；2025年8月收购了中科院控股所持喀斯玛控股81.96%的股份，增加电商、信息化竞争力；2025年11月入股佑科仪器，持股35%，丰富公司在实验室通用分析仪器领域的产品线。</w:t>
      </w:r>
    </w:p>
    <w:p w14:paraId="59B2127B" w14:textId="53DA9746" w:rsidR="00085C23" w:rsidRDefault="00447891" w:rsidP="00447891">
      <w:pPr>
        <w:widowControl/>
        <w:spacing w:line="360" w:lineRule="auto"/>
        <w:ind w:firstLine="420"/>
        <w:rPr>
          <w:rFonts w:ascii="宋体" w:hAnsi="宋体" w:cs="Times New Roman"/>
          <w:kern w:val="0"/>
          <w:sz w:val="24"/>
          <w:szCs w:val="24"/>
        </w:rPr>
      </w:pPr>
      <w:r w:rsidRPr="00447891">
        <w:rPr>
          <w:rFonts w:ascii="宋体" w:hAnsi="宋体" w:cs="Times New Roman" w:hint="eastAsia"/>
          <w:kern w:val="0"/>
          <w:sz w:val="24"/>
          <w:szCs w:val="24"/>
        </w:rPr>
        <w:t>后续，公司根据市场情况，将继续加大市场调研，寻找新的合作项目，公司通过外延式投资，快速扩大产品线，并布局新的销售渠道，以对冲行业需求不振带来的负面影响，从而实现跨越式发展</w:t>
      </w:r>
      <w:r w:rsidR="00085C23" w:rsidRPr="00D574A9">
        <w:rPr>
          <w:rFonts w:ascii="宋体" w:hAnsi="宋体" w:cs="Times New Roman" w:hint="eastAsia"/>
          <w:kern w:val="0"/>
          <w:sz w:val="24"/>
          <w:szCs w:val="24"/>
        </w:rPr>
        <w:t>。</w:t>
      </w:r>
    </w:p>
    <w:p w14:paraId="3ECA832C" w14:textId="16BF174F" w:rsidR="00574DF6" w:rsidRPr="008C408B" w:rsidRDefault="00574DF6" w:rsidP="00574DF6">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7D7F7F">
        <w:rPr>
          <w:rFonts w:ascii="宋体" w:hAnsi="宋体" w:cs="宋体" w:hint="eastAsia"/>
          <w:b/>
          <w:bCs/>
          <w:kern w:val="0"/>
          <w:sz w:val="24"/>
          <w:szCs w:val="24"/>
        </w:rPr>
        <w:t>产品需求会持续增长吗</w:t>
      </w:r>
      <w:r w:rsidRPr="00A31F39">
        <w:rPr>
          <w:rFonts w:ascii="宋体" w:hAnsi="宋体" w:cs="宋体" w:hint="eastAsia"/>
          <w:b/>
          <w:bCs/>
          <w:kern w:val="0"/>
          <w:sz w:val="24"/>
          <w:szCs w:val="24"/>
        </w:rPr>
        <w:t>？</w:t>
      </w:r>
    </w:p>
    <w:p w14:paraId="7A1709DF" w14:textId="062948AE" w:rsidR="00574DF6" w:rsidRDefault="00574DF6" w:rsidP="00574DF6">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574DF6">
        <w:rPr>
          <w:rFonts w:ascii="宋体" w:hAnsi="宋体" w:cs="Times New Roman" w:hint="eastAsia"/>
          <w:kern w:val="0"/>
          <w:sz w:val="24"/>
          <w:szCs w:val="24"/>
        </w:rPr>
        <w:t>近年来，国内新技术、新产品不断涌现，技术革新层出不穷，产业升级快速提升，背后的支撑力量就是我国研发经费投入不断加大。据国家统计局统计，2025年，我国全社会研究与试验发展经费投入达39,262亿元，同比增长8.1%。整个“十四五”时期，我国全社会研发经费投入年平均增长10%。全社会研发经费投入的快速增长带动科研服务企业营业收入和利润的增加。2025年以来，特别是2025年下半年以来，公司业务收入的增长主要是受益于国内企业客户和大专院校科研院所的研发经费投入的增加</w:t>
      </w:r>
      <w:r w:rsidRPr="001C6229">
        <w:rPr>
          <w:rFonts w:ascii="宋体" w:hAnsi="宋体" w:cs="Times New Roman" w:hint="eastAsia"/>
          <w:kern w:val="0"/>
          <w:sz w:val="24"/>
          <w:szCs w:val="24"/>
        </w:rPr>
        <w:t>。</w:t>
      </w:r>
      <w:r w:rsidR="007D7F7F" w:rsidRPr="007D7F7F">
        <w:rPr>
          <w:rFonts w:ascii="宋体" w:hAnsi="宋体" w:cs="Times New Roman" w:hint="eastAsia"/>
          <w:kern w:val="0"/>
          <w:sz w:val="24"/>
          <w:szCs w:val="24"/>
        </w:rPr>
        <w:t>随着科研经费投入的增加，作为消耗品的试剂耗材销量也会增加，这个行业的发展长期可期，未来仍能保持较高的增长速度。</w:t>
      </w:r>
    </w:p>
    <w:p w14:paraId="03C96125" w14:textId="10290694" w:rsidR="007A4C43" w:rsidRPr="007A4C43" w:rsidRDefault="007A4C43" w:rsidP="007A4C43">
      <w:pPr>
        <w:widowControl/>
        <w:spacing w:line="360" w:lineRule="auto"/>
        <w:outlineLvl w:val="0"/>
        <w:rPr>
          <w:rFonts w:ascii="宋体" w:hAnsi="宋体" w:cs="宋体"/>
          <w:b/>
          <w:bCs/>
          <w:kern w:val="0"/>
          <w:sz w:val="24"/>
          <w:szCs w:val="24"/>
        </w:rPr>
      </w:pPr>
      <w:r w:rsidRPr="007A4C43">
        <w:rPr>
          <w:rFonts w:ascii="宋体" w:hAnsi="宋体" w:cs="宋体" w:hint="eastAsia"/>
          <w:b/>
          <w:bCs/>
          <w:kern w:val="0"/>
          <w:sz w:val="24"/>
          <w:szCs w:val="24"/>
        </w:rPr>
        <w:t>Q：随着营收增长，</w:t>
      </w:r>
      <w:r>
        <w:rPr>
          <w:rFonts w:ascii="宋体" w:hAnsi="宋体" w:cs="宋体" w:hint="eastAsia"/>
          <w:b/>
          <w:bCs/>
          <w:kern w:val="0"/>
          <w:sz w:val="24"/>
          <w:szCs w:val="24"/>
        </w:rPr>
        <w:t>客户的回款有无压力</w:t>
      </w:r>
      <w:r w:rsidRPr="007A4C43">
        <w:rPr>
          <w:rFonts w:ascii="宋体" w:hAnsi="宋体" w:cs="宋体" w:hint="eastAsia"/>
          <w:b/>
          <w:bCs/>
          <w:kern w:val="0"/>
          <w:sz w:val="24"/>
          <w:szCs w:val="24"/>
        </w:rPr>
        <w:t>？</w:t>
      </w:r>
    </w:p>
    <w:p w14:paraId="5FA07E3D" w14:textId="64A08436" w:rsidR="007A4C43" w:rsidRPr="007A4C43" w:rsidRDefault="007A4C43" w:rsidP="007A4C43">
      <w:pPr>
        <w:widowControl/>
        <w:spacing w:line="360" w:lineRule="auto"/>
        <w:rPr>
          <w:rFonts w:ascii="宋体" w:hAnsi="宋体" w:cs="Times New Roman"/>
          <w:kern w:val="0"/>
          <w:sz w:val="24"/>
          <w:szCs w:val="24"/>
        </w:rPr>
      </w:pPr>
      <w:r w:rsidRPr="007A4C43">
        <w:rPr>
          <w:rFonts w:ascii="宋体" w:hAnsi="宋体" w:cs="Times New Roman" w:hint="eastAsia"/>
          <w:kern w:val="0"/>
          <w:sz w:val="24"/>
          <w:szCs w:val="24"/>
        </w:rPr>
        <w:t>A：我们是电商模式，大部分客户先付款后发货。但也给经销商、大客户等一定的账期。总体来说，公司账期较短，应收账款规模小，回款快，现金流量好。</w:t>
      </w:r>
    </w:p>
    <w:p w14:paraId="3F5044C5" w14:textId="77777777" w:rsidR="00BF1529" w:rsidRPr="00D562F9" w:rsidRDefault="00BF1529" w:rsidP="00B305A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305A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D208" w14:textId="77777777" w:rsidR="00FA2BE8" w:rsidRDefault="00FA2BE8" w:rsidP="00186984">
      <w:r>
        <w:separator/>
      </w:r>
    </w:p>
  </w:endnote>
  <w:endnote w:type="continuationSeparator" w:id="0">
    <w:p w14:paraId="515EA8BD" w14:textId="77777777" w:rsidR="00FA2BE8" w:rsidRDefault="00FA2BE8"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D762" w14:textId="77777777" w:rsidR="00FA2BE8" w:rsidRDefault="00FA2BE8" w:rsidP="00186984">
      <w:r>
        <w:separator/>
      </w:r>
    </w:p>
  </w:footnote>
  <w:footnote w:type="continuationSeparator" w:id="0">
    <w:p w14:paraId="2059C282" w14:textId="77777777" w:rsidR="00FA2BE8" w:rsidRDefault="00FA2BE8"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230B6"/>
    <w:rsid w:val="00031D8B"/>
    <w:rsid w:val="00037B3E"/>
    <w:rsid w:val="000407CB"/>
    <w:rsid w:val="000423E5"/>
    <w:rsid w:val="00042D26"/>
    <w:rsid w:val="00044999"/>
    <w:rsid w:val="00064E02"/>
    <w:rsid w:val="0007021C"/>
    <w:rsid w:val="00071991"/>
    <w:rsid w:val="00074C36"/>
    <w:rsid w:val="000775FD"/>
    <w:rsid w:val="000808C6"/>
    <w:rsid w:val="00082E5D"/>
    <w:rsid w:val="00085C23"/>
    <w:rsid w:val="00087318"/>
    <w:rsid w:val="0009169C"/>
    <w:rsid w:val="0009572A"/>
    <w:rsid w:val="000965F2"/>
    <w:rsid w:val="000A3559"/>
    <w:rsid w:val="000B2223"/>
    <w:rsid w:val="000B2424"/>
    <w:rsid w:val="000B4B05"/>
    <w:rsid w:val="000B4F60"/>
    <w:rsid w:val="000B596D"/>
    <w:rsid w:val="000B5D33"/>
    <w:rsid w:val="000B724B"/>
    <w:rsid w:val="000B7B33"/>
    <w:rsid w:val="000C36F7"/>
    <w:rsid w:val="000C479B"/>
    <w:rsid w:val="000D6D4C"/>
    <w:rsid w:val="000D703C"/>
    <w:rsid w:val="000D7537"/>
    <w:rsid w:val="000D772E"/>
    <w:rsid w:val="000E0087"/>
    <w:rsid w:val="000E0FA0"/>
    <w:rsid w:val="000E4506"/>
    <w:rsid w:val="000E6FAC"/>
    <w:rsid w:val="000E6FED"/>
    <w:rsid w:val="000F2176"/>
    <w:rsid w:val="000F2731"/>
    <w:rsid w:val="000F3FD7"/>
    <w:rsid w:val="000F71F1"/>
    <w:rsid w:val="00100AD4"/>
    <w:rsid w:val="00110A62"/>
    <w:rsid w:val="001137DE"/>
    <w:rsid w:val="00115679"/>
    <w:rsid w:val="00124217"/>
    <w:rsid w:val="00134B8B"/>
    <w:rsid w:val="00137A98"/>
    <w:rsid w:val="00140189"/>
    <w:rsid w:val="001414FD"/>
    <w:rsid w:val="00145B59"/>
    <w:rsid w:val="00150604"/>
    <w:rsid w:val="00152E98"/>
    <w:rsid w:val="001627E5"/>
    <w:rsid w:val="00162AC0"/>
    <w:rsid w:val="00162B96"/>
    <w:rsid w:val="00163FAF"/>
    <w:rsid w:val="0017198A"/>
    <w:rsid w:val="00176645"/>
    <w:rsid w:val="00180E2C"/>
    <w:rsid w:val="00183B97"/>
    <w:rsid w:val="00185FD8"/>
    <w:rsid w:val="00186984"/>
    <w:rsid w:val="00191899"/>
    <w:rsid w:val="001B325B"/>
    <w:rsid w:val="001B47A4"/>
    <w:rsid w:val="001B75A7"/>
    <w:rsid w:val="001B787C"/>
    <w:rsid w:val="001C6229"/>
    <w:rsid w:val="001D10FC"/>
    <w:rsid w:val="001D2652"/>
    <w:rsid w:val="001E3AE8"/>
    <w:rsid w:val="001F2D49"/>
    <w:rsid w:val="001F3306"/>
    <w:rsid w:val="001F4C1C"/>
    <w:rsid w:val="0021114E"/>
    <w:rsid w:val="00212EB7"/>
    <w:rsid w:val="0021448E"/>
    <w:rsid w:val="00214FAA"/>
    <w:rsid w:val="00215D47"/>
    <w:rsid w:val="002161D1"/>
    <w:rsid w:val="0023626C"/>
    <w:rsid w:val="00245AD2"/>
    <w:rsid w:val="00251D52"/>
    <w:rsid w:val="0025363E"/>
    <w:rsid w:val="00255362"/>
    <w:rsid w:val="00255F22"/>
    <w:rsid w:val="00260813"/>
    <w:rsid w:val="0026505F"/>
    <w:rsid w:val="0026541C"/>
    <w:rsid w:val="00265807"/>
    <w:rsid w:val="00266BFB"/>
    <w:rsid w:val="00273C3A"/>
    <w:rsid w:val="00277264"/>
    <w:rsid w:val="0028107B"/>
    <w:rsid w:val="002816A4"/>
    <w:rsid w:val="00281AFC"/>
    <w:rsid w:val="002833F9"/>
    <w:rsid w:val="0028520D"/>
    <w:rsid w:val="002933A9"/>
    <w:rsid w:val="002943B0"/>
    <w:rsid w:val="0029585B"/>
    <w:rsid w:val="00296344"/>
    <w:rsid w:val="002A27E0"/>
    <w:rsid w:val="002A3875"/>
    <w:rsid w:val="002A404A"/>
    <w:rsid w:val="002B2389"/>
    <w:rsid w:val="002B4235"/>
    <w:rsid w:val="002B660E"/>
    <w:rsid w:val="002B75BC"/>
    <w:rsid w:val="002C1C30"/>
    <w:rsid w:val="002C463C"/>
    <w:rsid w:val="002C5114"/>
    <w:rsid w:val="002C518E"/>
    <w:rsid w:val="002D71DA"/>
    <w:rsid w:val="002D79E1"/>
    <w:rsid w:val="002E10ED"/>
    <w:rsid w:val="002F2DAD"/>
    <w:rsid w:val="002F4C02"/>
    <w:rsid w:val="002F4E27"/>
    <w:rsid w:val="00302929"/>
    <w:rsid w:val="0034381B"/>
    <w:rsid w:val="00345429"/>
    <w:rsid w:val="00350E07"/>
    <w:rsid w:val="00350E90"/>
    <w:rsid w:val="00351F04"/>
    <w:rsid w:val="003572AF"/>
    <w:rsid w:val="00357BA5"/>
    <w:rsid w:val="00357C98"/>
    <w:rsid w:val="00361416"/>
    <w:rsid w:val="00361A13"/>
    <w:rsid w:val="00362ADE"/>
    <w:rsid w:val="00362F95"/>
    <w:rsid w:val="00372974"/>
    <w:rsid w:val="00376316"/>
    <w:rsid w:val="00383523"/>
    <w:rsid w:val="00384E1C"/>
    <w:rsid w:val="003901A1"/>
    <w:rsid w:val="00390774"/>
    <w:rsid w:val="003A1266"/>
    <w:rsid w:val="003A6182"/>
    <w:rsid w:val="003A7A82"/>
    <w:rsid w:val="003B248F"/>
    <w:rsid w:val="003B2508"/>
    <w:rsid w:val="003B2967"/>
    <w:rsid w:val="003B3143"/>
    <w:rsid w:val="003B4043"/>
    <w:rsid w:val="003B6EC0"/>
    <w:rsid w:val="003C192D"/>
    <w:rsid w:val="003C3B4E"/>
    <w:rsid w:val="003C600F"/>
    <w:rsid w:val="003C7E2E"/>
    <w:rsid w:val="003D50D7"/>
    <w:rsid w:val="003E09EC"/>
    <w:rsid w:val="003E32E5"/>
    <w:rsid w:val="003F1E0F"/>
    <w:rsid w:val="003F77E4"/>
    <w:rsid w:val="003F79B7"/>
    <w:rsid w:val="00402623"/>
    <w:rsid w:val="0041718A"/>
    <w:rsid w:val="00423458"/>
    <w:rsid w:val="00423881"/>
    <w:rsid w:val="00424C77"/>
    <w:rsid w:val="00425A98"/>
    <w:rsid w:val="00425BF1"/>
    <w:rsid w:val="00432872"/>
    <w:rsid w:val="00432AB8"/>
    <w:rsid w:val="0043315A"/>
    <w:rsid w:val="0044123E"/>
    <w:rsid w:val="00447891"/>
    <w:rsid w:val="0045033F"/>
    <w:rsid w:val="004549F2"/>
    <w:rsid w:val="00457C62"/>
    <w:rsid w:val="00462DDD"/>
    <w:rsid w:val="00475494"/>
    <w:rsid w:val="00483A63"/>
    <w:rsid w:val="004845FD"/>
    <w:rsid w:val="00490C47"/>
    <w:rsid w:val="00493343"/>
    <w:rsid w:val="0049387F"/>
    <w:rsid w:val="004A734A"/>
    <w:rsid w:val="004B08E2"/>
    <w:rsid w:val="004B1645"/>
    <w:rsid w:val="004C16AB"/>
    <w:rsid w:val="004C73E0"/>
    <w:rsid w:val="004D0E4D"/>
    <w:rsid w:val="004D5FB7"/>
    <w:rsid w:val="004D777D"/>
    <w:rsid w:val="004E1DBD"/>
    <w:rsid w:val="004E2FF9"/>
    <w:rsid w:val="004F312F"/>
    <w:rsid w:val="004F74FA"/>
    <w:rsid w:val="00500C28"/>
    <w:rsid w:val="00510EAD"/>
    <w:rsid w:val="00512A0E"/>
    <w:rsid w:val="00513FBF"/>
    <w:rsid w:val="00514C0D"/>
    <w:rsid w:val="00520C30"/>
    <w:rsid w:val="00522379"/>
    <w:rsid w:val="00522C56"/>
    <w:rsid w:val="005331F7"/>
    <w:rsid w:val="0053322C"/>
    <w:rsid w:val="005370B5"/>
    <w:rsid w:val="00546575"/>
    <w:rsid w:val="005625B7"/>
    <w:rsid w:val="00562C90"/>
    <w:rsid w:val="00564B65"/>
    <w:rsid w:val="00565262"/>
    <w:rsid w:val="00565C03"/>
    <w:rsid w:val="0056719B"/>
    <w:rsid w:val="00574DF6"/>
    <w:rsid w:val="00585B58"/>
    <w:rsid w:val="0059250E"/>
    <w:rsid w:val="00595B67"/>
    <w:rsid w:val="005A0BA9"/>
    <w:rsid w:val="005B240C"/>
    <w:rsid w:val="005B251C"/>
    <w:rsid w:val="005B5BDA"/>
    <w:rsid w:val="005D243F"/>
    <w:rsid w:val="005D4BC0"/>
    <w:rsid w:val="005D7657"/>
    <w:rsid w:val="005E0832"/>
    <w:rsid w:val="005E0EEB"/>
    <w:rsid w:val="005E5259"/>
    <w:rsid w:val="005F1519"/>
    <w:rsid w:val="005F276C"/>
    <w:rsid w:val="005F655E"/>
    <w:rsid w:val="0060191E"/>
    <w:rsid w:val="00603B54"/>
    <w:rsid w:val="006069C8"/>
    <w:rsid w:val="00607867"/>
    <w:rsid w:val="00610B5B"/>
    <w:rsid w:val="00613A48"/>
    <w:rsid w:val="00613C55"/>
    <w:rsid w:val="00613C97"/>
    <w:rsid w:val="00622E67"/>
    <w:rsid w:val="006243F6"/>
    <w:rsid w:val="00627874"/>
    <w:rsid w:val="006374B0"/>
    <w:rsid w:val="00651B35"/>
    <w:rsid w:val="00652F22"/>
    <w:rsid w:val="0065651A"/>
    <w:rsid w:val="006605AA"/>
    <w:rsid w:val="006650AB"/>
    <w:rsid w:val="00670CC1"/>
    <w:rsid w:val="00672AE0"/>
    <w:rsid w:val="00673E9F"/>
    <w:rsid w:val="006825A5"/>
    <w:rsid w:val="006829B7"/>
    <w:rsid w:val="00683C75"/>
    <w:rsid w:val="00687645"/>
    <w:rsid w:val="00694E6B"/>
    <w:rsid w:val="00696E1B"/>
    <w:rsid w:val="006A0FD5"/>
    <w:rsid w:val="006A3BAD"/>
    <w:rsid w:val="006B09AE"/>
    <w:rsid w:val="006B5719"/>
    <w:rsid w:val="006C2F4E"/>
    <w:rsid w:val="006C38AA"/>
    <w:rsid w:val="006C5827"/>
    <w:rsid w:val="006D1F87"/>
    <w:rsid w:val="006D7796"/>
    <w:rsid w:val="006E1CE9"/>
    <w:rsid w:val="006E534C"/>
    <w:rsid w:val="006E5A19"/>
    <w:rsid w:val="006E7E79"/>
    <w:rsid w:val="006F66F9"/>
    <w:rsid w:val="00703280"/>
    <w:rsid w:val="007078B9"/>
    <w:rsid w:val="00710378"/>
    <w:rsid w:val="00721E4F"/>
    <w:rsid w:val="00723096"/>
    <w:rsid w:val="00723E02"/>
    <w:rsid w:val="00724344"/>
    <w:rsid w:val="00734820"/>
    <w:rsid w:val="00734CD9"/>
    <w:rsid w:val="00735A83"/>
    <w:rsid w:val="00737005"/>
    <w:rsid w:val="0073775C"/>
    <w:rsid w:val="00743CBB"/>
    <w:rsid w:val="00745EE5"/>
    <w:rsid w:val="007463DD"/>
    <w:rsid w:val="0076256D"/>
    <w:rsid w:val="00773867"/>
    <w:rsid w:val="007768CB"/>
    <w:rsid w:val="00776EFF"/>
    <w:rsid w:val="00777EFE"/>
    <w:rsid w:val="00780D13"/>
    <w:rsid w:val="0078549D"/>
    <w:rsid w:val="007A13B3"/>
    <w:rsid w:val="007A4B2E"/>
    <w:rsid w:val="007A4C43"/>
    <w:rsid w:val="007B05DF"/>
    <w:rsid w:val="007B1C9B"/>
    <w:rsid w:val="007B21C0"/>
    <w:rsid w:val="007C35EF"/>
    <w:rsid w:val="007C53C5"/>
    <w:rsid w:val="007D3C24"/>
    <w:rsid w:val="007D7F7F"/>
    <w:rsid w:val="007F5E1A"/>
    <w:rsid w:val="008057AF"/>
    <w:rsid w:val="00807293"/>
    <w:rsid w:val="00807DB2"/>
    <w:rsid w:val="008107CA"/>
    <w:rsid w:val="00814254"/>
    <w:rsid w:val="00827275"/>
    <w:rsid w:val="0082730E"/>
    <w:rsid w:val="00830218"/>
    <w:rsid w:val="008307EA"/>
    <w:rsid w:val="00831E2C"/>
    <w:rsid w:val="00831FF6"/>
    <w:rsid w:val="00832139"/>
    <w:rsid w:val="00850645"/>
    <w:rsid w:val="0085494A"/>
    <w:rsid w:val="00854A0F"/>
    <w:rsid w:val="008551BC"/>
    <w:rsid w:val="0085700E"/>
    <w:rsid w:val="0085706A"/>
    <w:rsid w:val="00857B52"/>
    <w:rsid w:val="00861E23"/>
    <w:rsid w:val="0087143C"/>
    <w:rsid w:val="00876DB7"/>
    <w:rsid w:val="008A6F44"/>
    <w:rsid w:val="008B419A"/>
    <w:rsid w:val="008B59F9"/>
    <w:rsid w:val="008C408B"/>
    <w:rsid w:val="008C658A"/>
    <w:rsid w:val="008D10C8"/>
    <w:rsid w:val="008D1113"/>
    <w:rsid w:val="008D405A"/>
    <w:rsid w:val="008D435B"/>
    <w:rsid w:val="008E2600"/>
    <w:rsid w:val="008E51CD"/>
    <w:rsid w:val="008E5AF9"/>
    <w:rsid w:val="008E7880"/>
    <w:rsid w:val="008F158A"/>
    <w:rsid w:val="008F28FD"/>
    <w:rsid w:val="008F6273"/>
    <w:rsid w:val="0090209B"/>
    <w:rsid w:val="00905BCF"/>
    <w:rsid w:val="0091040E"/>
    <w:rsid w:val="00922ED1"/>
    <w:rsid w:val="009230E3"/>
    <w:rsid w:val="009322E9"/>
    <w:rsid w:val="009360DC"/>
    <w:rsid w:val="0094322D"/>
    <w:rsid w:val="0094406C"/>
    <w:rsid w:val="00944911"/>
    <w:rsid w:val="009468D3"/>
    <w:rsid w:val="00951BD1"/>
    <w:rsid w:val="009674FB"/>
    <w:rsid w:val="009727F5"/>
    <w:rsid w:val="0098407B"/>
    <w:rsid w:val="0098746D"/>
    <w:rsid w:val="00987847"/>
    <w:rsid w:val="009915BD"/>
    <w:rsid w:val="00996F5B"/>
    <w:rsid w:val="00997004"/>
    <w:rsid w:val="009977F2"/>
    <w:rsid w:val="009A09EF"/>
    <w:rsid w:val="009A2F74"/>
    <w:rsid w:val="009B7B73"/>
    <w:rsid w:val="009C42F5"/>
    <w:rsid w:val="009C4361"/>
    <w:rsid w:val="009D02D9"/>
    <w:rsid w:val="009D6B81"/>
    <w:rsid w:val="009E1ABD"/>
    <w:rsid w:val="009E692D"/>
    <w:rsid w:val="009F03B6"/>
    <w:rsid w:val="009F1725"/>
    <w:rsid w:val="009F4899"/>
    <w:rsid w:val="009F68FC"/>
    <w:rsid w:val="009F79CE"/>
    <w:rsid w:val="00A10911"/>
    <w:rsid w:val="00A11F4A"/>
    <w:rsid w:val="00A17D4A"/>
    <w:rsid w:val="00A30C2E"/>
    <w:rsid w:val="00A31F39"/>
    <w:rsid w:val="00A36D2A"/>
    <w:rsid w:val="00A46B21"/>
    <w:rsid w:val="00A47D0E"/>
    <w:rsid w:val="00A5298D"/>
    <w:rsid w:val="00A5482B"/>
    <w:rsid w:val="00A57E69"/>
    <w:rsid w:val="00A6159B"/>
    <w:rsid w:val="00A63AFC"/>
    <w:rsid w:val="00A659AF"/>
    <w:rsid w:val="00A65ABD"/>
    <w:rsid w:val="00A65ACD"/>
    <w:rsid w:val="00A6714C"/>
    <w:rsid w:val="00A95966"/>
    <w:rsid w:val="00A97070"/>
    <w:rsid w:val="00AA193F"/>
    <w:rsid w:val="00AA1E82"/>
    <w:rsid w:val="00AA5458"/>
    <w:rsid w:val="00AA70DE"/>
    <w:rsid w:val="00AA7E8D"/>
    <w:rsid w:val="00AB3FA9"/>
    <w:rsid w:val="00AB4C9F"/>
    <w:rsid w:val="00AB6D88"/>
    <w:rsid w:val="00AB79BD"/>
    <w:rsid w:val="00AC0AC3"/>
    <w:rsid w:val="00AC1A53"/>
    <w:rsid w:val="00AC39BC"/>
    <w:rsid w:val="00AC557D"/>
    <w:rsid w:val="00AD284B"/>
    <w:rsid w:val="00AD4D46"/>
    <w:rsid w:val="00AD65AC"/>
    <w:rsid w:val="00AE10C9"/>
    <w:rsid w:val="00AE3165"/>
    <w:rsid w:val="00AE630F"/>
    <w:rsid w:val="00AF3343"/>
    <w:rsid w:val="00AF3662"/>
    <w:rsid w:val="00AF74F0"/>
    <w:rsid w:val="00AF7D29"/>
    <w:rsid w:val="00B0592B"/>
    <w:rsid w:val="00B137E3"/>
    <w:rsid w:val="00B138EA"/>
    <w:rsid w:val="00B16239"/>
    <w:rsid w:val="00B22193"/>
    <w:rsid w:val="00B22CAD"/>
    <w:rsid w:val="00B26007"/>
    <w:rsid w:val="00B305A9"/>
    <w:rsid w:val="00B340F5"/>
    <w:rsid w:val="00B46484"/>
    <w:rsid w:val="00B55CA0"/>
    <w:rsid w:val="00B560B4"/>
    <w:rsid w:val="00B574C7"/>
    <w:rsid w:val="00B579FA"/>
    <w:rsid w:val="00B60169"/>
    <w:rsid w:val="00B666B9"/>
    <w:rsid w:val="00B72071"/>
    <w:rsid w:val="00B72A3B"/>
    <w:rsid w:val="00B74547"/>
    <w:rsid w:val="00B7543D"/>
    <w:rsid w:val="00B84AED"/>
    <w:rsid w:val="00B857E7"/>
    <w:rsid w:val="00B91864"/>
    <w:rsid w:val="00B937F0"/>
    <w:rsid w:val="00B94FE4"/>
    <w:rsid w:val="00BC1B51"/>
    <w:rsid w:val="00BC409D"/>
    <w:rsid w:val="00BC723F"/>
    <w:rsid w:val="00BD0088"/>
    <w:rsid w:val="00BD2EB8"/>
    <w:rsid w:val="00BD5AB0"/>
    <w:rsid w:val="00BD7E89"/>
    <w:rsid w:val="00BE1813"/>
    <w:rsid w:val="00BE19E8"/>
    <w:rsid w:val="00BE7355"/>
    <w:rsid w:val="00BF1529"/>
    <w:rsid w:val="00C01007"/>
    <w:rsid w:val="00C02B67"/>
    <w:rsid w:val="00C07965"/>
    <w:rsid w:val="00C17A03"/>
    <w:rsid w:val="00C23CD7"/>
    <w:rsid w:val="00C25749"/>
    <w:rsid w:val="00C26D4F"/>
    <w:rsid w:val="00C26FAB"/>
    <w:rsid w:val="00C27A69"/>
    <w:rsid w:val="00C31CFA"/>
    <w:rsid w:val="00C33131"/>
    <w:rsid w:val="00C3637D"/>
    <w:rsid w:val="00C422FF"/>
    <w:rsid w:val="00C429E4"/>
    <w:rsid w:val="00C44A1C"/>
    <w:rsid w:val="00C55C89"/>
    <w:rsid w:val="00C5733A"/>
    <w:rsid w:val="00C62CB4"/>
    <w:rsid w:val="00C65259"/>
    <w:rsid w:val="00C660E6"/>
    <w:rsid w:val="00C70BA6"/>
    <w:rsid w:val="00C70E32"/>
    <w:rsid w:val="00C713D9"/>
    <w:rsid w:val="00C83257"/>
    <w:rsid w:val="00C87306"/>
    <w:rsid w:val="00C95FFF"/>
    <w:rsid w:val="00C97B9B"/>
    <w:rsid w:val="00CA08CE"/>
    <w:rsid w:val="00CB766A"/>
    <w:rsid w:val="00CB7FCB"/>
    <w:rsid w:val="00CC06E6"/>
    <w:rsid w:val="00CD193F"/>
    <w:rsid w:val="00CD2EF3"/>
    <w:rsid w:val="00CF116B"/>
    <w:rsid w:val="00D00ECB"/>
    <w:rsid w:val="00D0386E"/>
    <w:rsid w:val="00D03F97"/>
    <w:rsid w:val="00D03FC4"/>
    <w:rsid w:val="00D052EB"/>
    <w:rsid w:val="00D10804"/>
    <w:rsid w:val="00D13900"/>
    <w:rsid w:val="00D30E67"/>
    <w:rsid w:val="00D35A77"/>
    <w:rsid w:val="00D373F2"/>
    <w:rsid w:val="00D50518"/>
    <w:rsid w:val="00D511B5"/>
    <w:rsid w:val="00D51232"/>
    <w:rsid w:val="00D539DE"/>
    <w:rsid w:val="00D549CC"/>
    <w:rsid w:val="00D562F9"/>
    <w:rsid w:val="00D574A9"/>
    <w:rsid w:val="00D62FFE"/>
    <w:rsid w:val="00D76268"/>
    <w:rsid w:val="00D76700"/>
    <w:rsid w:val="00D807F7"/>
    <w:rsid w:val="00D81D9E"/>
    <w:rsid w:val="00D82B12"/>
    <w:rsid w:val="00D82E23"/>
    <w:rsid w:val="00D83E75"/>
    <w:rsid w:val="00D8426B"/>
    <w:rsid w:val="00D84D28"/>
    <w:rsid w:val="00D854F6"/>
    <w:rsid w:val="00D863F4"/>
    <w:rsid w:val="00D95744"/>
    <w:rsid w:val="00DA11B9"/>
    <w:rsid w:val="00DA3153"/>
    <w:rsid w:val="00DA67AD"/>
    <w:rsid w:val="00DA7C37"/>
    <w:rsid w:val="00DB111C"/>
    <w:rsid w:val="00DB28D2"/>
    <w:rsid w:val="00DB5B7B"/>
    <w:rsid w:val="00DC57C9"/>
    <w:rsid w:val="00DE4ECC"/>
    <w:rsid w:val="00DE5B93"/>
    <w:rsid w:val="00DE6660"/>
    <w:rsid w:val="00DE693C"/>
    <w:rsid w:val="00DF4BB8"/>
    <w:rsid w:val="00DF6935"/>
    <w:rsid w:val="00DF7FD0"/>
    <w:rsid w:val="00E01027"/>
    <w:rsid w:val="00E0765E"/>
    <w:rsid w:val="00E111B5"/>
    <w:rsid w:val="00E13F7B"/>
    <w:rsid w:val="00E232EF"/>
    <w:rsid w:val="00E23C2E"/>
    <w:rsid w:val="00E26E7E"/>
    <w:rsid w:val="00E30C19"/>
    <w:rsid w:val="00E370AA"/>
    <w:rsid w:val="00E37272"/>
    <w:rsid w:val="00E37772"/>
    <w:rsid w:val="00E37AAD"/>
    <w:rsid w:val="00E4003F"/>
    <w:rsid w:val="00E4473A"/>
    <w:rsid w:val="00E45F06"/>
    <w:rsid w:val="00E50A91"/>
    <w:rsid w:val="00E51E69"/>
    <w:rsid w:val="00E52C0D"/>
    <w:rsid w:val="00E53D91"/>
    <w:rsid w:val="00E546E9"/>
    <w:rsid w:val="00E574EA"/>
    <w:rsid w:val="00E72822"/>
    <w:rsid w:val="00E739A6"/>
    <w:rsid w:val="00E7491E"/>
    <w:rsid w:val="00E845B3"/>
    <w:rsid w:val="00E877E9"/>
    <w:rsid w:val="00E916B5"/>
    <w:rsid w:val="00E92392"/>
    <w:rsid w:val="00E93589"/>
    <w:rsid w:val="00EA4537"/>
    <w:rsid w:val="00EA7430"/>
    <w:rsid w:val="00EB1C1B"/>
    <w:rsid w:val="00EB30CD"/>
    <w:rsid w:val="00EB70A3"/>
    <w:rsid w:val="00EB70F8"/>
    <w:rsid w:val="00EC3074"/>
    <w:rsid w:val="00EC5F90"/>
    <w:rsid w:val="00EE1195"/>
    <w:rsid w:val="00EF12C0"/>
    <w:rsid w:val="00EF2D9A"/>
    <w:rsid w:val="00EF368B"/>
    <w:rsid w:val="00EF3FBC"/>
    <w:rsid w:val="00EF5F53"/>
    <w:rsid w:val="00EF668D"/>
    <w:rsid w:val="00F002FD"/>
    <w:rsid w:val="00F01DC1"/>
    <w:rsid w:val="00F02E43"/>
    <w:rsid w:val="00F07EFA"/>
    <w:rsid w:val="00F16C42"/>
    <w:rsid w:val="00F20712"/>
    <w:rsid w:val="00F24F70"/>
    <w:rsid w:val="00F30B4F"/>
    <w:rsid w:val="00F32A44"/>
    <w:rsid w:val="00F34FDD"/>
    <w:rsid w:val="00F37806"/>
    <w:rsid w:val="00F42886"/>
    <w:rsid w:val="00F50920"/>
    <w:rsid w:val="00F55190"/>
    <w:rsid w:val="00F65821"/>
    <w:rsid w:val="00F67B8B"/>
    <w:rsid w:val="00F72704"/>
    <w:rsid w:val="00F736BC"/>
    <w:rsid w:val="00F75284"/>
    <w:rsid w:val="00F77F57"/>
    <w:rsid w:val="00F81186"/>
    <w:rsid w:val="00F8406A"/>
    <w:rsid w:val="00F86220"/>
    <w:rsid w:val="00F865AF"/>
    <w:rsid w:val="00F87C26"/>
    <w:rsid w:val="00F97FED"/>
    <w:rsid w:val="00FA1A14"/>
    <w:rsid w:val="00FA2BE8"/>
    <w:rsid w:val="00FA5E8E"/>
    <w:rsid w:val="00FB10FC"/>
    <w:rsid w:val="00FB245D"/>
    <w:rsid w:val="00FB76F8"/>
    <w:rsid w:val="00FC093E"/>
    <w:rsid w:val="00FC12FC"/>
    <w:rsid w:val="00FC2E16"/>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4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 w:type="table" w:styleId="a8">
    <w:name w:val="Table Grid"/>
    <w:basedOn w:val="a1"/>
    <w:uiPriority w:val="39"/>
    <w:rsid w:val="00C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141243470">
      <w:bodyDiv w:val="1"/>
      <w:marLeft w:val="0"/>
      <w:marRight w:val="0"/>
      <w:marTop w:val="0"/>
      <w:marBottom w:val="0"/>
      <w:divBdr>
        <w:top w:val="none" w:sz="0" w:space="0" w:color="auto"/>
        <w:left w:val="none" w:sz="0" w:space="0" w:color="auto"/>
        <w:bottom w:val="none" w:sz="0" w:space="0" w:color="auto"/>
        <w:right w:val="none" w:sz="0" w:space="0" w:color="auto"/>
      </w:divBdr>
    </w:div>
    <w:div w:id="177352984">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0168981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51319299">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63578175">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6749263">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20617539">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49299600">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655455036">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1764455637">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3555160">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20</cp:revision>
  <dcterms:created xsi:type="dcterms:W3CDTF">2026-01-20T07:08:00Z</dcterms:created>
  <dcterms:modified xsi:type="dcterms:W3CDTF">2026-03-20T06:35:00Z</dcterms:modified>
</cp:coreProperties>
</file>