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24134" w14:textId="5B40A3B0" w:rsidR="00226B25" w:rsidRDefault="00226B25" w:rsidP="009555DF">
      <w:pPr>
        <w:spacing w:after="0" w:line="240" w:lineRule="auto"/>
        <w:jc w:val="center"/>
        <w:rPr>
          <w:rFonts w:ascii="Times New Roman" w:eastAsia="楷体" w:hAnsi="Times New Roman" w:cs="Times New Roman"/>
          <w:b/>
          <w:sz w:val="28"/>
          <w:szCs w:val="28"/>
        </w:rPr>
      </w:pPr>
      <w:r w:rsidRPr="00215542">
        <w:rPr>
          <w:rFonts w:ascii="Times New Roman" w:eastAsia="楷体" w:hAnsi="Times New Roman" w:cs="Times New Roman"/>
          <w:b/>
          <w:sz w:val="28"/>
          <w:szCs w:val="28"/>
        </w:rPr>
        <w:t>蓝星安迪苏股份有限公司</w:t>
      </w:r>
    </w:p>
    <w:p w14:paraId="70AC398F" w14:textId="5DCFD68B" w:rsidR="00226B25" w:rsidRDefault="008D533C" w:rsidP="009555DF">
      <w:pPr>
        <w:spacing w:after="0" w:line="240" w:lineRule="auto"/>
        <w:jc w:val="center"/>
        <w:rPr>
          <w:rFonts w:ascii="Times New Roman" w:eastAsia="楷体" w:hAnsi="Times New Roman" w:cs="Times New Roman"/>
          <w:b/>
          <w:sz w:val="28"/>
          <w:szCs w:val="28"/>
        </w:rPr>
      </w:pPr>
      <w:r w:rsidRPr="00215542">
        <w:rPr>
          <w:rFonts w:ascii="Times New Roman" w:eastAsia="楷体" w:hAnsi="Times New Roman" w:cs="Times New Roman"/>
          <w:b/>
          <w:sz w:val="28"/>
          <w:szCs w:val="28"/>
        </w:rPr>
        <w:t>202</w:t>
      </w:r>
      <w:r w:rsidR="007A3343">
        <w:rPr>
          <w:rFonts w:ascii="Times New Roman" w:eastAsia="楷体" w:hAnsi="Times New Roman" w:cs="Times New Roman" w:hint="eastAsia"/>
          <w:b/>
          <w:sz w:val="28"/>
          <w:szCs w:val="28"/>
        </w:rPr>
        <w:t>5</w:t>
      </w:r>
      <w:r w:rsidRPr="00215542">
        <w:rPr>
          <w:rFonts w:ascii="Times New Roman" w:eastAsia="楷体" w:hAnsi="Times New Roman" w:cs="Times New Roman"/>
          <w:b/>
          <w:sz w:val="28"/>
          <w:szCs w:val="28"/>
        </w:rPr>
        <w:t>年</w:t>
      </w:r>
      <w:r w:rsidR="00B83E4F">
        <w:rPr>
          <w:rFonts w:ascii="Times New Roman" w:eastAsia="楷体" w:hAnsi="Times New Roman" w:cs="Times New Roman" w:hint="eastAsia"/>
          <w:b/>
          <w:sz w:val="28"/>
          <w:szCs w:val="28"/>
        </w:rPr>
        <w:t>年度</w:t>
      </w:r>
      <w:r w:rsidR="00E150C9" w:rsidRPr="0088462A">
        <w:rPr>
          <w:rFonts w:ascii="Times New Roman" w:eastAsia="楷体" w:hAnsi="Times New Roman" w:cs="Times New Roman"/>
          <w:b/>
          <w:sz w:val="28"/>
          <w:szCs w:val="28"/>
        </w:rPr>
        <w:t>线上投资者沟通</w:t>
      </w:r>
      <w:r w:rsidR="00E150C9">
        <w:rPr>
          <w:rFonts w:ascii="Times New Roman" w:eastAsia="楷体" w:hAnsi="Times New Roman" w:cs="Times New Roman" w:hint="eastAsia"/>
          <w:b/>
          <w:sz w:val="28"/>
          <w:szCs w:val="28"/>
        </w:rPr>
        <w:t>会</w:t>
      </w:r>
      <w:r w:rsidR="00B83E4F" w:rsidRPr="00B83E4F">
        <w:rPr>
          <w:rFonts w:ascii="Times New Roman" w:eastAsia="楷体" w:hAnsi="Times New Roman" w:cs="Times New Roman" w:hint="eastAsia"/>
          <w:b/>
          <w:sz w:val="28"/>
          <w:szCs w:val="28"/>
        </w:rPr>
        <w:t>及业绩说明会</w:t>
      </w:r>
      <w:r w:rsidR="00E150C9">
        <w:rPr>
          <w:rFonts w:ascii="Times New Roman" w:eastAsia="楷体" w:hAnsi="Times New Roman" w:cs="Times New Roman" w:hint="eastAsia"/>
          <w:b/>
          <w:sz w:val="28"/>
          <w:szCs w:val="28"/>
        </w:rPr>
        <w:t>会议记录</w:t>
      </w:r>
    </w:p>
    <w:p w14:paraId="1A2922B4" w14:textId="77777777" w:rsidR="009555DF" w:rsidRPr="00B04FFE" w:rsidRDefault="009555DF" w:rsidP="00B04FFE">
      <w:pPr>
        <w:spacing w:after="0" w:line="240" w:lineRule="auto"/>
        <w:rPr>
          <w:rFonts w:ascii="Times New Roman" w:eastAsia="楷体" w:hAnsi="Times New Roman" w:cs="Times New Roman"/>
          <w:b/>
          <w:sz w:val="24"/>
          <w:szCs w:val="24"/>
        </w:rPr>
      </w:pPr>
    </w:p>
    <w:p w14:paraId="44CAD721" w14:textId="77777777" w:rsidR="00083BD2" w:rsidRDefault="00722932" w:rsidP="00083BD2">
      <w:pPr>
        <w:pStyle w:val="a8"/>
        <w:numPr>
          <w:ilvl w:val="0"/>
          <w:numId w:val="1"/>
        </w:numPr>
        <w:ind w:firstLineChars="0"/>
        <w:rPr>
          <w:rFonts w:ascii="Times New Roman" w:eastAsia="楷体" w:hAnsi="Times New Roman"/>
          <w:sz w:val="24"/>
          <w:szCs w:val="24"/>
        </w:rPr>
      </w:pPr>
      <w:r w:rsidRPr="00083BD2">
        <w:rPr>
          <w:rFonts w:ascii="Times New Roman" w:eastAsia="楷体" w:hAnsi="Times New Roman"/>
          <w:sz w:val="24"/>
          <w:szCs w:val="24"/>
        </w:rPr>
        <w:t>会议</w:t>
      </w:r>
      <w:r w:rsidR="00226B25" w:rsidRPr="00083BD2">
        <w:rPr>
          <w:rFonts w:ascii="Times New Roman" w:eastAsia="楷体" w:hAnsi="Times New Roman"/>
          <w:sz w:val="24"/>
          <w:szCs w:val="24"/>
        </w:rPr>
        <w:t>时间</w:t>
      </w:r>
      <w:r w:rsidR="00083BD2" w:rsidRPr="00083BD2">
        <w:rPr>
          <w:rFonts w:ascii="Times New Roman" w:eastAsia="楷体" w:hAnsi="Times New Roman" w:hint="eastAsia"/>
          <w:sz w:val="24"/>
          <w:szCs w:val="24"/>
        </w:rPr>
        <w:t xml:space="preserve"> </w:t>
      </w:r>
    </w:p>
    <w:p w14:paraId="5F8E76AF" w14:textId="7B6548B4" w:rsidR="00E150C9" w:rsidRDefault="00E150C9" w:rsidP="00305D2B">
      <w:pPr>
        <w:pStyle w:val="a8"/>
        <w:ind w:leftChars="216" w:left="475" w:firstLineChars="0" w:firstLine="0"/>
        <w:rPr>
          <w:rFonts w:ascii="Times New Roman" w:eastAsia="楷体" w:hAnsi="Times New Roman"/>
          <w:sz w:val="24"/>
          <w:szCs w:val="24"/>
        </w:rPr>
      </w:pPr>
      <w:r w:rsidRPr="00E150C9">
        <w:rPr>
          <w:rFonts w:ascii="Times New Roman" w:eastAsia="楷体" w:hAnsi="Times New Roman" w:hint="eastAsia"/>
          <w:sz w:val="24"/>
          <w:szCs w:val="24"/>
        </w:rPr>
        <w:t>公司于</w:t>
      </w:r>
      <w:r w:rsidRPr="00E150C9">
        <w:rPr>
          <w:rFonts w:ascii="Times New Roman" w:eastAsia="楷体" w:hAnsi="Times New Roman" w:hint="eastAsia"/>
          <w:sz w:val="24"/>
          <w:szCs w:val="24"/>
        </w:rPr>
        <w:t>202</w:t>
      </w:r>
      <w:r w:rsidR="00B83E4F">
        <w:rPr>
          <w:rFonts w:ascii="Times New Roman" w:eastAsia="楷体" w:hAnsi="Times New Roman" w:hint="eastAsia"/>
          <w:sz w:val="24"/>
          <w:szCs w:val="24"/>
        </w:rPr>
        <w:t>6</w:t>
      </w:r>
      <w:r w:rsidRPr="00E150C9">
        <w:rPr>
          <w:rFonts w:ascii="Times New Roman" w:eastAsia="楷体" w:hAnsi="Times New Roman" w:hint="eastAsia"/>
          <w:sz w:val="24"/>
          <w:szCs w:val="24"/>
        </w:rPr>
        <w:t>年</w:t>
      </w:r>
      <w:r w:rsidR="00B83E4F">
        <w:rPr>
          <w:rFonts w:ascii="Times New Roman" w:eastAsia="楷体" w:hAnsi="Times New Roman" w:hint="eastAsia"/>
          <w:sz w:val="24"/>
          <w:szCs w:val="24"/>
        </w:rPr>
        <w:t>3</w:t>
      </w:r>
      <w:r w:rsidRPr="00E150C9">
        <w:rPr>
          <w:rFonts w:ascii="Times New Roman" w:eastAsia="楷体" w:hAnsi="Times New Roman" w:hint="eastAsia"/>
          <w:sz w:val="24"/>
          <w:szCs w:val="24"/>
        </w:rPr>
        <w:t>月</w:t>
      </w:r>
      <w:r w:rsidR="007A3343">
        <w:rPr>
          <w:rFonts w:ascii="Times New Roman" w:eastAsia="楷体" w:hAnsi="Times New Roman" w:hint="eastAsia"/>
          <w:sz w:val="24"/>
          <w:szCs w:val="24"/>
        </w:rPr>
        <w:t>1</w:t>
      </w:r>
      <w:r w:rsidR="00B83E4F">
        <w:rPr>
          <w:rFonts w:ascii="Times New Roman" w:eastAsia="楷体" w:hAnsi="Times New Roman" w:hint="eastAsia"/>
          <w:sz w:val="24"/>
          <w:szCs w:val="24"/>
        </w:rPr>
        <w:t>8</w:t>
      </w:r>
      <w:r w:rsidRPr="00E150C9">
        <w:rPr>
          <w:rFonts w:ascii="Times New Roman" w:eastAsia="楷体" w:hAnsi="Times New Roman" w:hint="eastAsia"/>
          <w:sz w:val="24"/>
          <w:szCs w:val="24"/>
        </w:rPr>
        <w:t>日组织召开了</w:t>
      </w:r>
      <w:r w:rsidRPr="00E150C9">
        <w:rPr>
          <w:rFonts w:ascii="Times New Roman" w:eastAsia="楷体" w:hAnsi="Times New Roman" w:hint="eastAsia"/>
          <w:sz w:val="24"/>
          <w:szCs w:val="24"/>
        </w:rPr>
        <w:t>202</w:t>
      </w:r>
      <w:r w:rsidR="007A3343">
        <w:rPr>
          <w:rFonts w:ascii="Times New Roman" w:eastAsia="楷体" w:hAnsi="Times New Roman" w:hint="eastAsia"/>
          <w:sz w:val="24"/>
          <w:szCs w:val="24"/>
        </w:rPr>
        <w:t>5</w:t>
      </w:r>
      <w:r w:rsidRPr="00E150C9">
        <w:rPr>
          <w:rFonts w:ascii="Times New Roman" w:eastAsia="楷体" w:hAnsi="Times New Roman" w:hint="eastAsia"/>
          <w:sz w:val="24"/>
          <w:szCs w:val="24"/>
        </w:rPr>
        <w:t>年</w:t>
      </w:r>
      <w:r w:rsidR="00B83E4F">
        <w:rPr>
          <w:rFonts w:ascii="Times New Roman" w:eastAsia="楷体" w:hAnsi="Times New Roman" w:hint="eastAsia"/>
          <w:sz w:val="24"/>
          <w:szCs w:val="24"/>
        </w:rPr>
        <w:t>年</w:t>
      </w:r>
      <w:r w:rsidR="007A3343">
        <w:rPr>
          <w:rFonts w:ascii="Times New Roman" w:eastAsia="楷体" w:hAnsi="Times New Roman" w:hint="eastAsia"/>
          <w:sz w:val="24"/>
          <w:szCs w:val="24"/>
        </w:rPr>
        <w:t>度</w:t>
      </w:r>
      <w:r w:rsidRPr="00E150C9">
        <w:rPr>
          <w:rFonts w:ascii="Times New Roman" w:eastAsia="楷体" w:hAnsi="Times New Roman" w:hint="eastAsia"/>
          <w:sz w:val="24"/>
          <w:szCs w:val="24"/>
        </w:rPr>
        <w:t>线上投资者沟通会</w:t>
      </w:r>
      <w:r w:rsidR="00B83E4F">
        <w:rPr>
          <w:rFonts w:ascii="Times New Roman" w:eastAsia="楷体" w:hAnsi="Times New Roman" w:hint="eastAsia"/>
          <w:sz w:val="24"/>
          <w:szCs w:val="24"/>
        </w:rPr>
        <w:t>、业绩说明会</w:t>
      </w:r>
      <w:r w:rsidRPr="00E150C9">
        <w:rPr>
          <w:rFonts w:ascii="Times New Roman" w:eastAsia="楷体" w:hAnsi="Times New Roman" w:hint="eastAsia"/>
          <w:sz w:val="24"/>
          <w:szCs w:val="24"/>
        </w:rPr>
        <w:t>。</w:t>
      </w:r>
    </w:p>
    <w:p w14:paraId="2412EC0A" w14:textId="77777777" w:rsidR="00FA3F64" w:rsidRDefault="00F30264" w:rsidP="00030A0E">
      <w:pPr>
        <w:pStyle w:val="a8"/>
        <w:numPr>
          <w:ilvl w:val="0"/>
          <w:numId w:val="1"/>
        </w:numPr>
        <w:spacing w:before="100" w:beforeAutospacing="1"/>
        <w:ind w:firstLineChars="0"/>
        <w:rPr>
          <w:rFonts w:ascii="Times New Roman" w:eastAsia="楷体" w:hAnsi="Times New Roman"/>
          <w:sz w:val="24"/>
          <w:szCs w:val="24"/>
        </w:rPr>
      </w:pPr>
      <w:r w:rsidRPr="00215542">
        <w:rPr>
          <w:rFonts w:ascii="Times New Roman" w:eastAsia="楷体" w:hAnsi="Times New Roman"/>
          <w:sz w:val="24"/>
          <w:szCs w:val="24"/>
        </w:rPr>
        <w:t>参与单位名称及人员姓名</w:t>
      </w:r>
    </w:p>
    <w:p w14:paraId="04F5F688" w14:textId="77777777" w:rsidR="00C338D1" w:rsidRPr="00215542" w:rsidRDefault="00030A0E" w:rsidP="00030A0E">
      <w:pPr>
        <w:pStyle w:val="a8"/>
        <w:ind w:firstLine="480"/>
        <w:rPr>
          <w:rFonts w:ascii="Times New Roman" w:eastAsia="楷体" w:hAnsi="Times New Roman"/>
          <w:sz w:val="24"/>
          <w:szCs w:val="24"/>
        </w:rPr>
      </w:pPr>
      <w:r w:rsidRPr="00215542">
        <w:rPr>
          <w:rFonts w:ascii="Times New Roman" w:eastAsia="楷体" w:hAnsi="Times New Roman"/>
          <w:sz w:val="24"/>
          <w:szCs w:val="24"/>
        </w:rPr>
        <w:t>部分参会机构名单详见附件清单。</w:t>
      </w:r>
    </w:p>
    <w:p w14:paraId="6AFF6A0A" w14:textId="77777777" w:rsidR="00030A0E" w:rsidRDefault="00FB4C84" w:rsidP="00574C82">
      <w:pPr>
        <w:pStyle w:val="a8"/>
        <w:ind w:leftChars="229" w:left="504" w:firstLineChars="0" w:firstLine="0"/>
        <w:rPr>
          <w:rFonts w:ascii="Times New Roman" w:eastAsia="楷体" w:hAnsi="Times New Roman"/>
          <w:sz w:val="24"/>
          <w:szCs w:val="24"/>
        </w:rPr>
      </w:pPr>
      <w:r w:rsidRPr="00215542">
        <w:rPr>
          <w:rFonts w:ascii="Times New Roman" w:eastAsia="楷体" w:hAnsi="Times New Roman"/>
          <w:sz w:val="24"/>
          <w:szCs w:val="24"/>
        </w:rPr>
        <w:t>重要提示：参会机构名单由组织机构提供并经整理后展示。公司无法保证参会机构单位名称的完整性、准确性，敬请投资者注意。</w:t>
      </w:r>
    </w:p>
    <w:p w14:paraId="6393E908" w14:textId="77777777" w:rsidR="001947D3" w:rsidRPr="00215542" w:rsidRDefault="001947D3" w:rsidP="001947D3">
      <w:pPr>
        <w:pStyle w:val="a8"/>
        <w:ind w:firstLine="480"/>
        <w:rPr>
          <w:rFonts w:ascii="Times New Roman" w:eastAsia="楷体" w:hAnsi="Times New Roman"/>
          <w:sz w:val="24"/>
          <w:szCs w:val="24"/>
        </w:rPr>
      </w:pPr>
    </w:p>
    <w:p w14:paraId="3C5FCB39" w14:textId="77777777" w:rsidR="008A7352" w:rsidRDefault="00F30264" w:rsidP="00E810C3">
      <w:pPr>
        <w:pStyle w:val="a8"/>
        <w:numPr>
          <w:ilvl w:val="0"/>
          <w:numId w:val="1"/>
        </w:numPr>
        <w:ind w:left="0" w:firstLineChars="0" w:firstLine="0"/>
        <w:rPr>
          <w:rFonts w:ascii="Times New Roman" w:eastAsia="楷体" w:hAnsi="Times New Roman"/>
          <w:sz w:val="24"/>
          <w:szCs w:val="24"/>
        </w:rPr>
      </w:pPr>
      <w:r w:rsidRPr="00215542">
        <w:rPr>
          <w:rFonts w:ascii="Times New Roman" w:eastAsia="楷体" w:hAnsi="Times New Roman"/>
          <w:sz w:val="24"/>
          <w:szCs w:val="24"/>
        </w:rPr>
        <w:t>公司接待人员</w:t>
      </w:r>
    </w:p>
    <w:p w14:paraId="40BD68DE" w14:textId="77777777" w:rsidR="00E150C9" w:rsidRDefault="008A7352" w:rsidP="00E150C9">
      <w:pPr>
        <w:spacing w:after="0"/>
        <w:ind w:firstLineChars="192" w:firstLine="461"/>
        <w:rPr>
          <w:rFonts w:ascii="Times New Roman" w:eastAsia="楷体" w:hAnsi="Times New Roman" w:cs="Times New Roman"/>
          <w:sz w:val="24"/>
          <w:szCs w:val="24"/>
        </w:rPr>
      </w:pPr>
      <w:r w:rsidRPr="00215542">
        <w:rPr>
          <w:rFonts w:ascii="Times New Roman" w:eastAsia="楷体" w:hAnsi="Times New Roman" w:cs="Times New Roman"/>
          <w:sz w:val="24"/>
          <w:szCs w:val="24"/>
        </w:rPr>
        <w:t>董事长</w:t>
      </w:r>
      <w:r w:rsidR="004462EB" w:rsidRPr="00215542">
        <w:rPr>
          <w:rFonts w:ascii="Times New Roman" w:eastAsia="楷体" w:hAnsi="Times New Roman" w:cs="Times New Roman"/>
          <w:sz w:val="24"/>
          <w:szCs w:val="24"/>
        </w:rPr>
        <w:t>兼总经理</w:t>
      </w:r>
      <w:r w:rsidR="00E60BD8" w:rsidRPr="00215542">
        <w:rPr>
          <w:rFonts w:ascii="Times New Roman" w:eastAsia="楷体" w:hAnsi="Times New Roman" w:cs="Times New Roman"/>
          <w:sz w:val="24"/>
          <w:szCs w:val="24"/>
        </w:rPr>
        <w:t>（</w:t>
      </w:r>
      <w:r w:rsidR="00E60BD8" w:rsidRPr="00215542">
        <w:rPr>
          <w:rFonts w:ascii="Times New Roman" w:eastAsia="楷体" w:hAnsi="Times New Roman" w:cs="Times New Roman"/>
          <w:sz w:val="24"/>
          <w:szCs w:val="24"/>
        </w:rPr>
        <w:t>CEO</w:t>
      </w:r>
      <w:r w:rsidR="00E60BD8" w:rsidRPr="00215542">
        <w:rPr>
          <w:rFonts w:ascii="Times New Roman" w:eastAsia="楷体" w:hAnsi="Times New Roman" w:cs="Times New Roman"/>
          <w:sz w:val="24"/>
          <w:szCs w:val="24"/>
        </w:rPr>
        <w:t>）</w:t>
      </w:r>
      <w:r w:rsidRPr="00215542">
        <w:rPr>
          <w:rFonts w:ascii="Times New Roman" w:eastAsia="楷体" w:hAnsi="Times New Roman" w:cs="Times New Roman"/>
          <w:sz w:val="24"/>
          <w:szCs w:val="24"/>
        </w:rPr>
        <w:t>：郝志刚先生</w:t>
      </w:r>
    </w:p>
    <w:p w14:paraId="30336256" w14:textId="18AB78D0" w:rsidR="00B83E4F" w:rsidRDefault="00B83E4F" w:rsidP="00E150C9">
      <w:pPr>
        <w:spacing w:after="0"/>
        <w:ind w:firstLineChars="192" w:firstLine="461"/>
        <w:rPr>
          <w:rFonts w:ascii="Times New Roman" w:eastAsia="楷体" w:hAnsi="Times New Roman" w:cs="Times New Roman"/>
          <w:sz w:val="24"/>
          <w:szCs w:val="24"/>
        </w:rPr>
      </w:pPr>
      <w:r>
        <w:rPr>
          <w:rFonts w:ascii="Times New Roman" w:eastAsia="楷体" w:hAnsi="Times New Roman" w:cs="Times New Roman" w:hint="eastAsia"/>
          <w:sz w:val="24"/>
          <w:szCs w:val="24"/>
        </w:rPr>
        <w:t>独立董事：臧恒昌先生</w:t>
      </w:r>
    </w:p>
    <w:p w14:paraId="3136C1AA" w14:textId="77777777" w:rsidR="008A7352" w:rsidRPr="00215542" w:rsidRDefault="008A7352" w:rsidP="008A7352">
      <w:pPr>
        <w:spacing w:after="0"/>
        <w:ind w:firstLineChars="192" w:firstLine="461"/>
        <w:rPr>
          <w:rFonts w:ascii="Times New Roman" w:eastAsia="楷体" w:hAnsi="Times New Roman" w:cs="Times New Roman"/>
          <w:sz w:val="24"/>
          <w:szCs w:val="24"/>
        </w:rPr>
      </w:pPr>
      <w:r w:rsidRPr="00215542">
        <w:rPr>
          <w:rFonts w:ascii="Times New Roman" w:eastAsia="楷体" w:hAnsi="Times New Roman" w:cs="Times New Roman"/>
          <w:sz w:val="24"/>
          <w:szCs w:val="24"/>
        </w:rPr>
        <w:t>首席运营官</w:t>
      </w:r>
      <w:r w:rsidR="006E6E1C" w:rsidRPr="00215542">
        <w:rPr>
          <w:rFonts w:ascii="Times New Roman" w:eastAsia="楷体" w:hAnsi="Times New Roman" w:cs="Times New Roman"/>
          <w:sz w:val="24"/>
          <w:szCs w:val="24"/>
        </w:rPr>
        <w:t>兼副总经理</w:t>
      </w:r>
      <w:r w:rsidRPr="00215542">
        <w:rPr>
          <w:rFonts w:ascii="Times New Roman" w:eastAsia="楷体" w:hAnsi="Times New Roman" w:cs="Times New Roman"/>
          <w:sz w:val="24"/>
          <w:szCs w:val="24"/>
        </w:rPr>
        <w:t>：</w:t>
      </w:r>
      <w:r w:rsidRPr="00215542">
        <w:rPr>
          <w:rFonts w:ascii="Times New Roman" w:eastAsia="楷体" w:hAnsi="Times New Roman" w:cs="Times New Roman"/>
          <w:sz w:val="24"/>
          <w:szCs w:val="24"/>
        </w:rPr>
        <w:t>Frederic Jacquin</w:t>
      </w:r>
      <w:r w:rsidRPr="00215542">
        <w:rPr>
          <w:rFonts w:ascii="Times New Roman" w:eastAsia="楷体" w:hAnsi="Times New Roman" w:cs="Times New Roman"/>
          <w:sz w:val="24"/>
          <w:szCs w:val="24"/>
        </w:rPr>
        <w:t>先生</w:t>
      </w:r>
    </w:p>
    <w:p w14:paraId="1CB07146" w14:textId="77777777" w:rsidR="004462EB" w:rsidRPr="00215542" w:rsidRDefault="008A7352" w:rsidP="008A7352">
      <w:pPr>
        <w:spacing w:after="0"/>
        <w:ind w:firstLineChars="192" w:firstLine="461"/>
        <w:rPr>
          <w:rFonts w:ascii="Times New Roman" w:eastAsia="楷体" w:hAnsi="Times New Roman" w:cs="Times New Roman"/>
          <w:sz w:val="24"/>
          <w:szCs w:val="24"/>
        </w:rPr>
      </w:pPr>
      <w:r w:rsidRPr="00215542">
        <w:rPr>
          <w:rFonts w:ascii="Times New Roman" w:eastAsia="楷体" w:hAnsi="Times New Roman" w:cs="Times New Roman"/>
          <w:sz w:val="24"/>
          <w:szCs w:val="24"/>
        </w:rPr>
        <w:t>首席财务官：</w:t>
      </w:r>
      <w:r w:rsidRPr="00215542">
        <w:rPr>
          <w:rFonts w:ascii="Times New Roman" w:eastAsia="楷体" w:hAnsi="Times New Roman" w:cs="Times New Roman"/>
          <w:sz w:val="24"/>
          <w:szCs w:val="24"/>
        </w:rPr>
        <w:t>Virginie Cayatte</w:t>
      </w:r>
      <w:r w:rsidRPr="00215542">
        <w:rPr>
          <w:rFonts w:ascii="Times New Roman" w:eastAsia="楷体" w:hAnsi="Times New Roman" w:cs="Times New Roman"/>
          <w:sz w:val="24"/>
          <w:szCs w:val="24"/>
        </w:rPr>
        <w:t>女士</w:t>
      </w:r>
    </w:p>
    <w:p w14:paraId="37F64E17" w14:textId="77777777" w:rsidR="008A7352" w:rsidRDefault="004462EB" w:rsidP="008A7352">
      <w:pPr>
        <w:spacing w:after="0"/>
        <w:ind w:firstLineChars="192" w:firstLine="461"/>
        <w:rPr>
          <w:rFonts w:ascii="Times New Roman" w:eastAsia="楷体" w:hAnsi="Times New Roman" w:cs="Times New Roman"/>
          <w:sz w:val="24"/>
          <w:szCs w:val="24"/>
        </w:rPr>
      </w:pPr>
      <w:r w:rsidRPr="00215542">
        <w:rPr>
          <w:rFonts w:ascii="Times New Roman" w:eastAsia="楷体" w:hAnsi="Times New Roman" w:cs="Times New Roman"/>
          <w:sz w:val="24"/>
          <w:szCs w:val="24"/>
        </w:rPr>
        <w:t>董事会秘书</w:t>
      </w:r>
      <w:r w:rsidR="008A7352" w:rsidRPr="00215542">
        <w:rPr>
          <w:rFonts w:ascii="Times New Roman" w:eastAsia="楷体" w:hAnsi="Times New Roman" w:cs="Times New Roman"/>
          <w:sz w:val="24"/>
          <w:szCs w:val="24"/>
        </w:rPr>
        <w:t>：蔡昀女士</w:t>
      </w:r>
    </w:p>
    <w:p w14:paraId="7F1EA304" w14:textId="77777777" w:rsidR="009555DF" w:rsidRDefault="00722932" w:rsidP="00854A00">
      <w:pPr>
        <w:pStyle w:val="a8"/>
        <w:numPr>
          <w:ilvl w:val="0"/>
          <w:numId w:val="1"/>
        </w:numPr>
        <w:spacing w:before="100" w:beforeAutospacing="1"/>
        <w:ind w:left="0" w:firstLineChars="0" w:firstLine="0"/>
        <w:rPr>
          <w:rFonts w:ascii="Times New Roman" w:eastAsia="楷体" w:hAnsi="Times New Roman"/>
          <w:sz w:val="24"/>
          <w:szCs w:val="24"/>
        </w:rPr>
      </w:pPr>
      <w:r w:rsidRPr="00215542">
        <w:rPr>
          <w:rFonts w:ascii="Times New Roman" w:eastAsia="楷体" w:hAnsi="Times New Roman"/>
          <w:sz w:val="24"/>
          <w:szCs w:val="24"/>
        </w:rPr>
        <w:t>会议</w:t>
      </w:r>
      <w:r w:rsidR="003A15CB" w:rsidRPr="00215542">
        <w:rPr>
          <w:rFonts w:ascii="Times New Roman" w:eastAsia="楷体" w:hAnsi="Times New Roman"/>
          <w:sz w:val="24"/>
          <w:szCs w:val="24"/>
        </w:rPr>
        <w:t>地点</w:t>
      </w:r>
    </w:p>
    <w:p w14:paraId="5560C86A" w14:textId="64F2DFC3" w:rsidR="009555DF" w:rsidRDefault="00B83E4F" w:rsidP="00854A00">
      <w:pPr>
        <w:pStyle w:val="a8"/>
        <w:ind w:leftChars="216" w:left="475" w:firstLineChars="0" w:firstLine="0"/>
        <w:rPr>
          <w:rFonts w:ascii="Times New Roman" w:eastAsia="楷体" w:hAnsi="Times New Roman"/>
          <w:sz w:val="24"/>
          <w:szCs w:val="24"/>
        </w:rPr>
      </w:pPr>
      <w:r w:rsidRPr="00B83E4F">
        <w:rPr>
          <w:rFonts w:ascii="Times New Roman" w:eastAsia="楷体" w:hAnsi="Times New Roman" w:hint="eastAsia"/>
          <w:sz w:val="24"/>
          <w:szCs w:val="24"/>
        </w:rPr>
        <w:t>Teams</w:t>
      </w:r>
      <w:r w:rsidRPr="00B83E4F">
        <w:rPr>
          <w:rFonts w:ascii="Times New Roman" w:eastAsia="楷体" w:hAnsi="Times New Roman" w:hint="eastAsia"/>
          <w:sz w:val="24"/>
          <w:szCs w:val="24"/>
        </w:rPr>
        <w:t>线上会议、上交所路演平台</w:t>
      </w:r>
    </w:p>
    <w:p w14:paraId="7CF55D00" w14:textId="77777777" w:rsidR="00CF7F64" w:rsidRDefault="00CE7A04" w:rsidP="00D32ABB">
      <w:pPr>
        <w:pStyle w:val="a8"/>
        <w:numPr>
          <w:ilvl w:val="0"/>
          <w:numId w:val="2"/>
        </w:numPr>
        <w:snapToGrid w:val="0"/>
        <w:spacing w:before="100" w:beforeAutospacing="1"/>
        <w:ind w:firstLineChars="0"/>
        <w:rPr>
          <w:rFonts w:ascii="Times New Roman" w:eastAsia="楷体" w:hAnsi="Times New Roman"/>
          <w:sz w:val="24"/>
          <w:szCs w:val="24"/>
        </w:rPr>
      </w:pPr>
      <w:r w:rsidRPr="00215542">
        <w:rPr>
          <w:rFonts w:ascii="Times New Roman" w:eastAsia="楷体" w:hAnsi="Times New Roman"/>
          <w:sz w:val="24"/>
          <w:szCs w:val="24"/>
        </w:rPr>
        <w:t>主要</w:t>
      </w:r>
      <w:r w:rsidR="00226B25" w:rsidRPr="00215542">
        <w:rPr>
          <w:rFonts w:ascii="Times New Roman" w:eastAsia="楷体" w:hAnsi="Times New Roman"/>
          <w:sz w:val="24"/>
          <w:szCs w:val="24"/>
        </w:rPr>
        <w:t>内容</w:t>
      </w:r>
    </w:p>
    <w:p w14:paraId="4EC9A9B0" w14:textId="24312653" w:rsidR="00A044E5" w:rsidRDefault="000130C0" w:rsidP="009F6893">
      <w:pPr>
        <w:pStyle w:val="a8"/>
        <w:ind w:left="480" w:firstLineChars="0" w:firstLine="0"/>
        <w:rPr>
          <w:rFonts w:ascii="Times New Roman" w:eastAsia="楷体" w:hAnsi="Times New Roman"/>
          <w:sz w:val="24"/>
          <w:szCs w:val="24"/>
        </w:rPr>
      </w:pPr>
      <w:r w:rsidRPr="000130C0">
        <w:rPr>
          <w:rFonts w:ascii="Times New Roman" w:eastAsia="楷体" w:hAnsi="Times New Roman"/>
          <w:sz w:val="24"/>
          <w:szCs w:val="24"/>
        </w:rPr>
        <w:t>公司就投资者普遍关注的问题进行回答。沟通内容如下：</w:t>
      </w:r>
    </w:p>
    <w:p w14:paraId="3D6AF029" w14:textId="77777777" w:rsidR="009F6893" w:rsidRPr="009F6893" w:rsidRDefault="009F6893" w:rsidP="009F6893">
      <w:pPr>
        <w:pStyle w:val="a8"/>
        <w:ind w:left="480" w:firstLineChars="0" w:firstLine="0"/>
        <w:rPr>
          <w:rFonts w:ascii="Times New Roman" w:eastAsia="楷体" w:hAnsi="Times New Roman"/>
          <w:sz w:val="24"/>
          <w:szCs w:val="24"/>
        </w:rPr>
      </w:pPr>
    </w:p>
    <w:p w14:paraId="7CDFDB86" w14:textId="109D4B01" w:rsidR="009F6893" w:rsidRPr="00B04FFE" w:rsidRDefault="009F6893" w:rsidP="00B04FFE">
      <w:pPr>
        <w:pStyle w:val="a8"/>
        <w:numPr>
          <w:ilvl w:val="3"/>
          <w:numId w:val="1"/>
        </w:numPr>
        <w:ind w:left="434" w:firstLineChars="0"/>
        <w:rPr>
          <w:rFonts w:ascii="Times New Roman" w:eastAsia="楷体" w:hAnsi="Times New Roman"/>
          <w:sz w:val="24"/>
          <w:szCs w:val="24"/>
        </w:rPr>
      </w:pPr>
      <w:r w:rsidRPr="00B04FFE">
        <w:rPr>
          <w:rFonts w:ascii="Times New Roman" w:eastAsia="楷体" w:hAnsi="Times New Roman"/>
          <w:sz w:val="24"/>
          <w:szCs w:val="24"/>
        </w:rPr>
        <w:t>蛋氨酸</w:t>
      </w:r>
      <w:r w:rsidR="007E2FCE" w:rsidRPr="00B04FFE">
        <w:rPr>
          <w:rFonts w:ascii="Times New Roman" w:eastAsia="楷体" w:hAnsi="Times New Roman" w:hint="eastAsia"/>
          <w:sz w:val="24"/>
          <w:szCs w:val="24"/>
        </w:rPr>
        <w:t>的</w:t>
      </w:r>
      <w:r w:rsidRPr="00B04FFE">
        <w:rPr>
          <w:rFonts w:ascii="Times New Roman" w:eastAsia="楷体" w:hAnsi="Times New Roman"/>
          <w:sz w:val="24"/>
          <w:szCs w:val="24"/>
        </w:rPr>
        <w:t>价格</w:t>
      </w:r>
      <w:r w:rsidR="007E2FCE" w:rsidRPr="00B04FFE">
        <w:rPr>
          <w:rFonts w:ascii="Times New Roman" w:eastAsia="楷体" w:hAnsi="Times New Roman" w:hint="eastAsia"/>
          <w:sz w:val="24"/>
          <w:szCs w:val="24"/>
        </w:rPr>
        <w:t>趋势</w:t>
      </w:r>
      <w:r w:rsidRPr="00B04FFE">
        <w:rPr>
          <w:rFonts w:ascii="Times New Roman" w:eastAsia="楷体" w:hAnsi="Times New Roman"/>
          <w:sz w:val="24"/>
          <w:szCs w:val="24"/>
        </w:rPr>
        <w:t>？</w:t>
      </w:r>
    </w:p>
    <w:p w14:paraId="46D57258" w14:textId="23E47080" w:rsidR="009A7AAB" w:rsidRPr="00096C2E" w:rsidRDefault="007E2FCE" w:rsidP="009F6893">
      <w:pPr>
        <w:pStyle w:val="a8"/>
        <w:numPr>
          <w:ilvl w:val="0"/>
          <w:numId w:val="5"/>
        </w:numPr>
        <w:spacing w:after="160" w:line="278" w:lineRule="auto"/>
        <w:ind w:firstLineChars="0"/>
        <w:contextualSpacing/>
        <w:rPr>
          <w:rFonts w:ascii="Times New Roman" w:eastAsia="楷体" w:hAnsi="Times New Roman"/>
          <w:color w:val="5B9BD5" w:themeColor="accent1"/>
          <w:sz w:val="24"/>
          <w:szCs w:val="24"/>
        </w:rPr>
      </w:pPr>
      <w:r w:rsidRPr="00096C2E">
        <w:rPr>
          <w:rFonts w:ascii="Times New Roman" w:eastAsia="楷体" w:hAnsi="Times New Roman" w:hint="eastAsia"/>
          <w:color w:val="5B9BD5" w:themeColor="accent1"/>
          <w:sz w:val="24"/>
          <w:szCs w:val="24"/>
        </w:rPr>
        <w:t>近期中东地缘局势升级，蛋氨</w:t>
      </w:r>
      <w:proofErr w:type="gramStart"/>
      <w:r w:rsidRPr="00096C2E">
        <w:rPr>
          <w:rFonts w:ascii="Times New Roman" w:eastAsia="楷体" w:hAnsi="Times New Roman" w:hint="eastAsia"/>
          <w:color w:val="5B9BD5" w:themeColor="accent1"/>
          <w:sz w:val="24"/>
          <w:szCs w:val="24"/>
        </w:rPr>
        <w:t>酸核心</w:t>
      </w:r>
      <w:proofErr w:type="gramEnd"/>
      <w:r w:rsidRPr="00096C2E">
        <w:rPr>
          <w:rFonts w:ascii="Times New Roman" w:eastAsia="楷体" w:hAnsi="Times New Roman" w:hint="eastAsia"/>
          <w:color w:val="5B9BD5" w:themeColor="accent1"/>
          <w:sz w:val="24"/>
          <w:szCs w:val="24"/>
        </w:rPr>
        <w:t>原料成本随之抬升，市场价格出现明显</w:t>
      </w:r>
      <w:r w:rsidR="00EA3C91">
        <w:rPr>
          <w:rFonts w:ascii="Times New Roman" w:eastAsia="楷体" w:hAnsi="Times New Roman" w:hint="eastAsia"/>
          <w:color w:val="5B9BD5" w:themeColor="accent1"/>
          <w:sz w:val="24"/>
          <w:szCs w:val="24"/>
        </w:rPr>
        <w:t>上涨</w:t>
      </w:r>
      <w:r w:rsidRPr="00096C2E">
        <w:rPr>
          <w:rFonts w:ascii="Times New Roman" w:eastAsia="楷体" w:hAnsi="Times New Roman" w:hint="eastAsia"/>
          <w:color w:val="5B9BD5" w:themeColor="accent1"/>
          <w:sz w:val="24"/>
          <w:szCs w:val="24"/>
        </w:rPr>
        <w:t>。供应端：地缘冲突影响下，中东局势直接影响到原材料供应及成本，导致部分供应商短期供应收紧；需求端：蛋氨</w:t>
      </w:r>
      <w:proofErr w:type="gramStart"/>
      <w:r w:rsidRPr="00096C2E">
        <w:rPr>
          <w:rFonts w:ascii="Times New Roman" w:eastAsia="楷体" w:hAnsi="Times New Roman" w:hint="eastAsia"/>
          <w:color w:val="5B9BD5" w:themeColor="accent1"/>
          <w:sz w:val="24"/>
          <w:szCs w:val="24"/>
        </w:rPr>
        <w:t>酸需求</w:t>
      </w:r>
      <w:proofErr w:type="gramEnd"/>
      <w:r w:rsidR="0045774E">
        <w:rPr>
          <w:rFonts w:ascii="Times New Roman" w:eastAsia="楷体" w:hAnsi="Times New Roman" w:hint="eastAsia"/>
          <w:color w:val="5B9BD5" w:themeColor="accent1"/>
          <w:sz w:val="24"/>
          <w:szCs w:val="24"/>
        </w:rPr>
        <w:t>保持强劲</w:t>
      </w:r>
      <w:r w:rsidRPr="00096C2E">
        <w:rPr>
          <w:rFonts w:ascii="Times New Roman" w:eastAsia="楷体" w:hAnsi="Times New Roman" w:hint="eastAsia"/>
          <w:color w:val="5B9BD5" w:themeColor="accent1"/>
          <w:sz w:val="24"/>
          <w:szCs w:val="24"/>
        </w:rPr>
        <w:t>，对价格形成支撑。</w:t>
      </w:r>
      <w:r w:rsidR="00D50738">
        <w:rPr>
          <w:rFonts w:ascii="Times New Roman" w:eastAsia="楷体" w:hAnsi="Times New Roman" w:hint="eastAsia"/>
          <w:color w:val="5B9BD5" w:themeColor="accent1"/>
          <w:sz w:val="24"/>
          <w:szCs w:val="24"/>
        </w:rPr>
        <w:t>当前</w:t>
      </w:r>
      <w:r w:rsidRPr="00096C2E">
        <w:rPr>
          <w:rFonts w:ascii="Times New Roman" w:eastAsia="楷体" w:hAnsi="Times New Roman" w:hint="eastAsia"/>
          <w:color w:val="5B9BD5" w:themeColor="accent1"/>
          <w:sz w:val="24"/>
          <w:szCs w:val="24"/>
        </w:rPr>
        <w:t>供需</w:t>
      </w:r>
      <w:r w:rsidR="00D52BFA">
        <w:rPr>
          <w:rFonts w:ascii="Times New Roman" w:eastAsia="楷体" w:hAnsi="Times New Roman" w:hint="eastAsia"/>
          <w:color w:val="5B9BD5" w:themeColor="accent1"/>
          <w:sz w:val="24"/>
          <w:szCs w:val="24"/>
        </w:rPr>
        <w:t>条件</w:t>
      </w:r>
      <w:r w:rsidRPr="00096C2E">
        <w:rPr>
          <w:rFonts w:ascii="Times New Roman" w:eastAsia="楷体" w:hAnsi="Times New Roman" w:hint="eastAsia"/>
          <w:color w:val="5B9BD5" w:themeColor="accent1"/>
          <w:sz w:val="24"/>
          <w:szCs w:val="24"/>
        </w:rPr>
        <w:t>下，价格或延续上涨态势。</w:t>
      </w:r>
      <w:r w:rsidR="009A7AAB" w:rsidRPr="00096C2E">
        <w:rPr>
          <w:rFonts w:ascii="Times New Roman" w:eastAsia="楷体" w:hAnsi="Times New Roman" w:hint="eastAsia"/>
          <w:color w:val="5B9BD5" w:themeColor="accent1"/>
          <w:sz w:val="24"/>
          <w:szCs w:val="24"/>
          <w:lang w:val="fr-FR"/>
        </w:rPr>
        <w:t>长期而言，蛋氨酸的市场价格仍取决于行业供需关系，市场需求的增长将逐步消化已进入或即将进入市场的新增产能，市场仍将呈现韧性</w:t>
      </w:r>
      <w:r w:rsidR="009A7AAB" w:rsidRPr="00096C2E">
        <w:rPr>
          <w:rFonts w:ascii="Times New Roman" w:eastAsia="楷体" w:hAnsi="Times New Roman"/>
          <w:color w:val="5B9BD5" w:themeColor="accent1"/>
          <w:sz w:val="24"/>
          <w:szCs w:val="24"/>
          <w:lang w:val="fr-FR"/>
        </w:rPr>
        <w:t>。</w:t>
      </w:r>
    </w:p>
    <w:p w14:paraId="128C544E" w14:textId="77777777" w:rsidR="009A7AAB" w:rsidRPr="00096C2E" w:rsidRDefault="007E2FCE" w:rsidP="009F6893">
      <w:pPr>
        <w:pStyle w:val="a8"/>
        <w:numPr>
          <w:ilvl w:val="0"/>
          <w:numId w:val="5"/>
        </w:numPr>
        <w:spacing w:after="160" w:line="278" w:lineRule="auto"/>
        <w:ind w:firstLineChars="0"/>
        <w:contextualSpacing/>
        <w:rPr>
          <w:rFonts w:ascii="Times New Roman" w:eastAsia="楷体" w:hAnsi="Times New Roman"/>
          <w:color w:val="5B9BD5" w:themeColor="accent1"/>
          <w:sz w:val="24"/>
          <w:szCs w:val="24"/>
        </w:rPr>
      </w:pPr>
      <w:r w:rsidRPr="00096C2E">
        <w:rPr>
          <w:rFonts w:ascii="Times New Roman" w:eastAsia="楷体" w:hAnsi="Times New Roman" w:hint="eastAsia"/>
          <w:color w:val="5B9BD5" w:themeColor="accent1"/>
          <w:sz w:val="24"/>
          <w:szCs w:val="24"/>
        </w:rPr>
        <w:t>安迪苏作为具备全球供应链布局与成本领先优势的头部企业，依托稳健的产能扩张策略与国际化运营体系，能够灵活调配资源应对地缘政治局势引发的市场波动，持续巩固行业竞争优势地位。</w:t>
      </w:r>
    </w:p>
    <w:p w14:paraId="12FB1505" w14:textId="0590795B" w:rsidR="007E2FCE" w:rsidRPr="00096C2E" w:rsidRDefault="007E2FCE" w:rsidP="009F6893">
      <w:pPr>
        <w:pStyle w:val="a8"/>
        <w:numPr>
          <w:ilvl w:val="0"/>
          <w:numId w:val="5"/>
        </w:numPr>
        <w:spacing w:after="160" w:line="278" w:lineRule="auto"/>
        <w:ind w:firstLineChars="0"/>
        <w:contextualSpacing/>
        <w:rPr>
          <w:rFonts w:ascii="Times New Roman" w:eastAsia="楷体" w:hAnsi="Times New Roman"/>
          <w:color w:val="5B9BD5" w:themeColor="accent1"/>
          <w:sz w:val="24"/>
          <w:szCs w:val="24"/>
        </w:rPr>
      </w:pPr>
      <w:r w:rsidRPr="00096C2E">
        <w:rPr>
          <w:rFonts w:ascii="Times New Roman" w:eastAsia="楷体" w:hAnsi="Times New Roman" w:hint="eastAsia"/>
          <w:color w:val="5B9BD5" w:themeColor="accent1"/>
          <w:sz w:val="24"/>
          <w:szCs w:val="24"/>
        </w:rPr>
        <w:t>后续，公司将持续密切关注中东地缘局势进展，及时评估相关风险，全力落实各项应对措施，尽力保障公司经营业绩的稳定性与可持续性。</w:t>
      </w:r>
    </w:p>
    <w:p w14:paraId="59817F9E" w14:textId="77777777" w:rsidR="009F6893" w:rsidRPr="00BE5625" w:rsidRDefault="009F6893" w:rsidP="009F6893">
      <w:pPr>
        <w:pStyle w:val="a8"/>
        <w:spacing w:after="160" w:line="278" w:lineRule="auto"/>
        <w:ind w:left="800" w:firstLineChars="0" w:firstLine="0"/>
        <w:contextualSpacing/>
        <w:rPr>
          <w:rFonts w:ascii="Times New Roman" w:eastAsia="楷体" w:hAnsi="Times New Roman"/>
          <w:color w:val="5B9BD5" w:themeColor="accent1"/>
          <w:sz w:val="24"/>
          <w:szCs w:val="24"/>
        </w:rPr>
      </w:pPr>
    </w:p>
    <w:p w14:paraId="23ABA471" w14:textId="4B26F8DF" w:rsidR="007E2FCE" w:rsidRPr="00B04FFE" w:rsidRDefault="007E2FCE" w:rsidP="00B04FFE">
      <w:pPr>
        <w:pStyle w:val="a8"/>
        <w:numPr>
          <w:ilvl w:val="3"/>
          <w:numId w:val="1"/>
        </w:numPr>
        <w:ind w:left="434" w:firstLineChars="0"/>
        <w:rPr>
          <w:rFonts w:ascii="Times New Roman" w:eastAsia="楷体" w:hAnsi="Times New Roman"/>
          <w:sz w:val="24"/>
          <w:szCs w:val="24"/>
        </w:rPr>
      </w:pPr>
      <w:r w:rsidRPr="00B04FFE">
        <w:rPr>
          <w:rFonts w:ascii="Times New Roman" w:eastAsia="楷体" w:hAnsi="Times New Roman" w:hint="eastAsia"/>
          <w:sz w:val="24"/>
          <w:szCs w:val="24"/>
        </w:rPr>
        <w:t>目前原材料价格上涨对欧洲工厂成本的影响？</w:t>
      </w:r>
    </w:p>
    <w:p w14:paraId="0C37DB2F" w14:textId="608A5831" w:rsidR="009423B3" w:rsidRPr="000E3FAF" w:rsidRDefault="009423B3" w:rsidP="009423B3">
      <w:pPr>
        <w:pStyle w:val="a8"/>
        <w:numPr>
          <w:ilvl w:val="0"/>
          <w:numId w:val="5"/>
        </w:numPr>
        <w:spacing w:line="278" w:lineRule="auto"/>
        <w:ind w:firstLineChars="0"/>
        <w:contextualSpacing/>
        <w:rPr>
          <w:rFonts w:ascii="Times New Roman" w:eastAsia="楷体" w:hAnsi="Times New Roman"/>
          <w:color w:val="5B9BD5" w:themeColor="accent1"/>
          <w:sz w:val="24"/>
        </w:rPr>
      </w:pPr>
      <w:r w:rsidRPr="000E3FAF">
        <w:rPr>
          <w:rFonts w:ascii="Times New Roman" w:eastAsia="楷体" w:hAnsi="Times New Roman" w:hint="eastAsia"/>
          <w:color w:val="5B9BD5" w:themeColor="accent1"/>
          <w:sz w:val="24"/>
        </w:rPr>
        <w:t>短期来看，</w:t>
      </w:r>
      <w:r w:rsidR="00096C2E" w:rsidRPr="000E3FAF">
        <w:rPr>
          <w:rFonts w:ascii="Times New Roman" w:eastAsia="楷体" w:hAnsi="Times New Roman" w:hint="eastAsia"/>
          <w:color w:val="5B9BD5" w:themeColor="accent1"/>
          <w:sz w:val="24"/>
        </w:rPr>
        <w:t>尽管受宏观局势影响化工原料价格出现波动，但公司凭借稳健的采购策略与供应链议价能力，控制了</w:t>
      </w:r>
      <w:r w:rsidR="006E5769">
        <w:rPr>
          <w:rFonts w:ascii="Times New Roman" w:eastAsia="楷体" w:hAnsi="Times New Roman" w:hint="eastAsia"/>
          <w:color w:val="5B9BD5" w:themeColor="accent1"/>
          <w:sz w:val="24"/>
        </w:rPr>
        <w:t>部分原材料</w:t>
      </w:r>
      <w:r w:rsidR="00096C2E" w:rsidRPr="000E3FAF">
        <w:rPr>
          <w:rFonts w:ascii="Times New Roman" w:eastAsia="楷体" w:hAnsi="Times New Roman" w:hint="eastAsia"/>
          <w:color w:val="5B9BD5" w:themeColor="accent1"/>
          <w:sz w:val="24"/>
        </w:rPr>
        <w:t>成本传导节奏，使</w:t>
      </w:r>
      <w:r w:rsidR="00096C2E" w:rsidRPr="000E3FAF">
        <w:rPr>
          <w:rFonts w:ascii="Times New Roman" w:eastAsia="楷体" w:hAnsi="Times New Roman" w:hint="eastAsia"/>
          <w:color w:val="5B9BD5" w:themeColor="accent1"/>
          <w:sz w:val="24"/>
        </w:rPr>
        <w:lastRenderedPageBreak/>
        <w:t>得部分原材料成本尚未完全同步上涨。同时，公司依托动态定价策略，</w:t>
      </w:r>
      <w:r w:rsidR="006F7DE9">
        <w:rPr>
          <w:rFonts w:ascii="Times New Roman" w:eastAsia="楷体" w:hAnsi="Times New Roman" w:hint="eastAsia"/>
          <w:color w:val="5B9BD5" w:themeColor="accent1"/>
          <w:sz w:val="24"/>
        </w:rPr>
        <w:t>力争</w:t>
      </w:r>
      <w:r w:rsidR="00096C2E" w:rsidRPr="000E3FAF">
        <w:rPr>
          <w:rFonts w:ascii="Times New Roman" w:eastAsia="楷体" w:hAnsi="Times New Roman" w:hint="eastAsia"/>
          <w:color w:val="5B9BD5" w:themeColor="accent1"/>
          <w:sz w:val="24"/>
        </w:rPr>
        <w:t>实现</w:t>
      </w:r>
      <w:r w:rsidR="00DA02EF" w:rsidRPr="000E3FAF">
        <w:rPr>
          <w:rFonts w:ascii="Times New Roman" w:eastAsia="楷体" w:hAnsi="Times New Roman" w:hint="eastAsia"/>
          <w:color w:val="5B9BD5" w:themeColor="accent1"/>
          <w:sz w:val="24"/>
        </w:rPr>
        <w:t>售价</w:t>
      </w:r>
      <w:r w:rsidR="00407755">
        <w:rPr>
          <w:rFonts w:ascii="Times New Roman" w:eastAsia="楷体" w:hAnsi="Times New Roman" w:hint="eastAsia"/>
          <w:color w:val="5B9BD5" w:themeColor="accent1"/>
          <w:sz w:val="24"/>
        </w:rPr>
        <w:t>与</w:t>
      </w:r>
      <w:r w:rsidR="00096C2E" w:rsidRPr="000E3FAF">
        <w:rPr>
          <w:rFonts w:ascii="Times New Roman" w:eastAsia="楷体" w:hAnsi="Times New Roman" w:hint="eastAsia"/>
          <w:color w:val="5B9BD5" w:themeColor="accent1"/>
          <w:sz w:val="24"/>
        </w:rPr>
        <w:t>成本</w:t>
      </w:r>
      <w:r w:rsidR="00407755">
        <w:rPr>
          <w:rFonts w:ascii="Times New Roman" w:eastAsia="楷体" w:hAnsi="Times New Roman" w:hint="eastAsia"/>
          <w:color w:val="5B9BD5" w:themeColor="accent1"/>
          <w:sz w:val="24"/>
        </w:rPr>
        <w:t>之间的</w:t>
      </w:r>
      <w:r w:rsidR="00096C2E" w:rsidRPr="000E3FAF">
        <w:rPr>
          <w:rFonts w:ascii="Times New Roman" w:eastAsia="楷体" w:hAnsi="Times New Roman" w:hint="eastAsia"/>
          <w:color w:val="5B9BD5" w:themeColor="accent1"/>
          <w:sz w:val="24"/>
        </w:rPr>
        <w:t>有效对冲。</w:t>
      </w:r>
    </w:p>
    <w:p w14:paraId="2A75D427" w14:textId="0CED157D" w:rsidR="009423B3" w:rsidRPr="00C701A4" w:rsidRDefault="009423B3" w:rsidP="00C701A4">
      <w:pPr>
        <w:pStyle w:val="a8"/>
        <w:numPr>
          <w:ilvl w:val="0"/>
          <w:numId w:val="5"/>
        </w:numPr>
        <w:spacing w:after="160" w:line="278" w:lineRule="auto"/>
        <w:ind w:firstLineChars="0"/>
        <w:contextualSpacing/>
        <w:rPr>
          <w:rFonts w:ascii="Times New Roman" w:eastAsia="楷体" w:hAnsi="Times New Roman"/>
          <w:color w:val="5B9BD5" w:themeColor="accent1"/>
          <w:sz w:val="24"/>
        </w:rPr>
      </w:pPr>
      <w:r w:rsidRPr="00C701A4">
        <w:rPr>
          <w:rFonts w:ascii="Times New Roman" w:eastAsia="楷体" w:hAnsi="Times New Roman" w:hint="eastAsia"/>
          <w:color w:val="5B9BD5" w:themeColor="accent1"/>
          <w:sz w:val="24"/>
        </w:rPr>
        <w:t>长期而言，安迪苏凭借中</w:t>
      </w:r>
      <w:r w:rsidR="00D52CA5" w:rsidRPr="00C701A4">
        <w:rPr>
          <w:rFonts w:ascii="Times New Roman" w:eastAsia="楷体" w:hAnsi="Times New Roman" w:hint="eastAsia"/>
          <w:color w:val="5B9BD5" w:themeColor="accent1"/>
          <w:sz w:val="24"/>
        </w:rPr>
        <w:t>、</w:t>
      </w:r>
      <w:r w:rsidRPr="00C701A4">
        <w:rPr>
          <w:rFonts w:ascii="Times New Roman" w:eastAsia="楷体" w:hAnsi="Times New Roman" w:hint="eastAsia"/>
          <w:color w:val="5B9BD5" w:themeColor="accent1"/>
          <w:sz w:val="24"/>
        </w:rPr>
        <w:t>欧双平台生产布局、国际化销售网络以及全品类供应的优势，通过全球产业链布局抵御风险。南京工厂凭借全流程一体化的生产工艺、世界级的生产水平，持续不断提升成本竞争优势；而</w:t>
      </w:r>
      <w:r w:rsidR="000E3FAF" w:rsidRPr="00C701A4">
        <w:rPr>
          <w:rFonts w:ascii="Times New Roman" w:eastAsia="楷体" w:hAnsi="Times New Roman"/>
          <w:color w:val="5B9BD5" w:themeColor="accent1"/>
          <w:sz w:val="24"/>
          <w:lang w:val="fr-FR"/>
        </w:rPr>
        <w:t>欧洲工厂则聚焦本土化供应链重构（包括产能优化项目</w:t>
      </w:r>
      <w:r w:rsidRPr="00C701A4">
        <w:rPr>
          <w:rFonts w:ascii="Times New Roman" w:eastAsia="楷体" w:hAnsi="Times New Roman" w:hint="eastAsia"/>
          <w:color w:val="5B9BD5" w:themeColor="accent1"/>
          <w:sz w:val="24"/>
        </w:rPr>
        <w:t>、技术降本增效</w:t>
      </w:r>
      <w:r w:rsidR="00096C2E" w:rsidRPr="00C701A4">
        <w:rPr>
          <w:rFonts w:ascii="Times New Roman" w:eastAsia="楷体" w:hAnsi="Times New Roman" w:hint="eastAsia"/>
          <w:color w:val="5B9BD5" w:themeColor="accent1"/>
          <w:sz w:val="24"/>
        </w:rPr>
        <w:t>等措施</w:t>
      </w:r>
      <w:r w:rsidR="000E3FAF" w:rsidRPr="00C701A4">
        <w:rPr>
          <w:rFonts w:ascii="Times New Roman" w:eastAsia="楷体" w:hAnsi="Times New Roman" w:hint="eastAsia"/>
          <w:color w:val="5B9BD5" w:themeColor="accent1"/>
          <w:sz w:val="24"/>
        </w:rPr>
        <w:t>）</w:t>
      </w:r>
      <w:r w:rsidR="00096C2E" w:rsidRPr="00C701A4">
        <w:rPr>
          <w:rFonts w:ascii="Times New Roman" w:eastAsia="楷体" w:hAnsi="Times New Roman" w:hint="eastAsia"/>
          <w:color w:val="5B9BD5" w:themeColor="accent1"/>
          <w:sz w:val="24"/>
        </w:rPr>
        <w:t>进一步提升</w:t>
      </w:r>
      <w:r w:rsidRPr="00C701A4">
        <w:rPr>
          <w:rFonts w:ascii="Times New Roman" w:eastAsia="楷体" w:hAnsi="Times New Roman" w:hint="eastAsia"/>
          <w:color w:val="5B9BD5" w:themeColor="accent1"/>
          <w:sz w:val="24"/>
        </w:rPr>
        <w:t>本地竞争力。</w:t>
      </w:r>
      <w:r w:rsidR="00D52CA5" w:rsidRPr="00C701A4">
        <w:rPr>
          <w:rFonts w:ascii="Times New Roman" w:eastAsia="楷体" w:hAnsi="Times New Roman" w:hint="eastAsia"/>
          <w:color w:val="5B9BD5" w:themeColor="accent1"/>
          <w:sz w:val="24"/>
        </w:rPr>
        <w:t>当前市场对蛋氨酸的需求刚性仍将支撑盈利中枢，</w:t>
      </w:r>
      <w:r w:rsidR="001F54C2" w:rsidRPr="00C701A4">
        <w:rPr>
          <w:rFonts w:ascii="Times New Roman" w:eastAsia="楷体" w:hAnsi="Times New Roman" w:hint="eastAsia"/>
          <w:color w:val="5B9BD5" w:themeColor="accent1"/>
          <w:sz w:val="24"/>
        </w:rPr>
        <w:t>在地缘政治对贸易影响不断增加的背景下，市场波动性和不确定性预计将持续存在。</w:t>
      </w:r>
      <w:r w:rsidR="001F54C2" w:rsidRPr="00C701A4">
        <w:rPr>
          <w:rFonts w:ascii="Times New Roman" w:eastAsia="楷体" w:hAnsi="Times New Roman" w:hint="eastAsia"/>
          <w:color w:val="5B9BD5" w:themeColor="accent1"/>
          <w:sz w:val="24"/>
        </w:rPr>
        <w:t xml:space="preserve"> </w:t>
      </w:r>
      <w:r w:rsidR="001F54C2" w:rsidRPr="00C701A4">
        <w:rPr>
          <w:rFonts w:ascii="Times New Roman" w:eastAsia="楷体" w:hAnsi="Times New Roman" w:hint="eastAsia"/>
          <w:color w:val="5B9BD5" w:themeColor="accent1"/>
          <w:sz w:val="24"/>
        </w:rPr>
        <w:t>但市场需求预计将保持强劲，</w:t>
      </w:r>
      <w:r w:rsidR="00C701A4" w:rsidRPr="00C701A4">
        <w:rPr>
          <w:rFonts w:ascii="Times New Roman" w:eastAsia="楷体" w:hAnsi="Times New Roman" w:hint="eastAsia"/>
          <w:color w:val="5B9BD5" w:themeColor="accent1"/>
          <w:sz w:val="24"/>
        </w:rPr>
        <w:t>同时未来</w:t>
      </w:r>
      <w:r w:rsidR="001F54C2" w:rsidRPr="00C701A4">
        <w:rPr>
          <w:rFonts w:ascii="Times New Roman" w:eastAsia="楷体" w:hAnsi="Times New Roman" w:hint="eastAsia"/>
          <w:color w:val="5B9BD5" w:themeColor="accent1"/>
          <w:sz w:val="24"/>
        </w:rPr>
        <w:t>新增的蛋氨酸产能进入市场使得行业竞争更加激烈。安迪苏将全力以赴加强公司在饲料添加剂行业的领先优势，提升盈利水平，为未来增长持续投入。</w:t>
      </w:r>
    </w:p>
    <w:p w14:paraId="68B235F1" w14:textId="77777777" w:rsidR="009F6893" w:rsidRPr="000E3FAF" w:rsidRDefault="009F6893" w:rsidP="009F6893">
      <w:pPr>
        <w:pStyle w:val="a8"/>
        <w:spacing w:after="160" w:line="278" w:lineRule="auto"/>
        <w:ind w:left="800" w:firstLineChars="0" w:firstLine="0"/>
        <w:contextualSpacing/>
        <w:rPr>
          <w:rFonts w:ascii="Times New Roman" w:eastAsia="楷体" w:hAnsi="Times New Roman"/>
          <w:color w:val="5B9BD5" w:themeColor="accent1"/>
          <w:sz w:val="24"/>
        </w:rPr>
      </w:pPr>
    </w:p>
    <w:p w14:paraId="40F7D3A5" w14:textId="12794326" w:rsidR="009F6893" w:rsidRPr="00B04FFE" w:rsidRDefault="00E152DF" w:rsidP="00B04FFE">
      <w:pPr>
        <w:pStyle w:val="a8"/>
        <w:numPr>
          <w:ilvl w:val="3"/>
          <w:numId w:val="1"/>
        </w:numPr>
        <w:ind w:left="434" w:firstLineChars="0"/>
        <w:rPr>
          <w:rFonts w:ascii="Times New Roman" w:eastAsia="楷体" w:hAnsi="Times New Roman"/>
          <w:sz w:val="24"/>
          <w:szCs w:val="24"/>
        </w:rPr>
      </w:pPr>
      <w:r w:rsidRPr="00B04FFE">
        <w:rPr>
          <w:rFonts w:ascii="Times New Roman" w:eastAsia="楷体" w:hAnsi="Times New Roman" w:hint="eastAsia"/>
          <w:sz w:val="24"/>
          <w:szCs w:val="24"/>
        </w:rPr>
        <w:t>公司</w:t>
      </w:r>
      <w:proofErr w:type="gramStart"/>
      <w:r w:rsidRPr="00B04FFE">
        <w:rPr>
          <w:rFonts w:ascii="Times New Roman" w:eastAsia="楷体" w:hAnsi="Times New Roman" w:hint="eastAsia"/>
          <w:sz w:val="24"/>
          <w:szCs w:val="24"/>
        </w:rPr>
        <w:t>定增的募投项目</w:t>
      </w:r>
      <w:proofErr w:type="gramEnd"/>
      <w:r w:rsidRPr="00B04FFE">
        <w:rPr>
          <w:rFonts w:ascii="Times New Roman" w:eastAsia="楷体" w:hAnsi="Times New Roman" w:hint="eastAsia"/>
          <w:sz w:val="24"/>
          <w:szCs w:val="24"/>
        </w:rPr>
        <w:t>的泉州蛋氨</w:t>
      </w:r>
      <w:proofErr w:type="gramStart"/>
      <w:r w:rsidRPr="00B04FFE">
        <w:rPr>
          <w:rFonts w:ascii="Times New Roman" w:eastAsia="楷体" w:hAnsi="Times New Roman" w:hint="eastAsia"/>
          <w:sz w:val="24"/>
          <w:szCs w:val="24"/>
        </w:rPr>
        <w:t>酸项目</w:t>
      </w:r>
      <w:proofErr w:type="gramEnd"/>
      <w:r w:rsidRPr="00B04FFE">
        <w:rPr>
          <w:rFonts w:ascii="Times New Roman" w:eastAsia="楷体" w:hAnsi="Times New Roman" w:hint="eastAsia"/>
          <w:sz w:val="24"/>
          <w:szCs w:val="24"/>
        </w:rPr>
        <w:t>及国、内外特种产品建设项目进展情况以及未来投产节奏？</w:t>
      </w:r>
      <w:r w:rsidRPr="00B04FFE">
        <w:rPr>
          <w:rFonts w:ascii="Times New Roman" w:eastAsia="楷体" w:hAnsi="Times New Roman"/>
          <w:sz w:val="24"/>
          <w:szCs w:val="24"/>
        </w:rPr>
        <w:t xml:space="preserve"> </w:t>
      </w:r>
    </w:p>
    <w:p w14:paraId="72031877" w14:textId="7A7FFE87" w:rsidR="009F6893" w:rsidRPr="00C65F24" w:rsidRDefault="00C65F24" w:rsidP="004E04C9">
      <w:pPr>
        <w:pStyle w:val="a8"/>
        <w:numPr>
          <w:ilvl w:val="0"/>
          <w:numId w:val="6"/>
        </w:numPr>
        <w:spacing w:after="160" w:line="278" w:lineRule="auto"/>
        <w:ind w:firstLineChars="0" w:hanging="394"/>
        <w:contextualSpacing/>
        <w:rPr>
          <w:rFonts w:ascii="Times New Roman" w:eastAsia="楷体" w:hAnsi="Times New Roman"/>
          <w:color w:val="5B9BD5" w:themeColor="accent1"/>
          <w:sz w:val="24"/>
        </w:rPr>
      </w:pPr>
      <w:r w:rsidRPr="00C65F24">
        <w:rPr>
          <w:rFonts w:ascii="Times New Roman" w:eastAsia="楷体" w:hAnsi="Times New Roman" w:hint="eastAsia"/>
          <w:color w:val="5B9BD5" w:themeColor="accent1"/>
          <w:sz w:val="24"/>
        </w:rPr>
        <w:t>目前，</w:t>
      </w:r>
      <w:r w:rsidR="002A5C8D" w:rsidRPr="00C65F24">
        <w:rPr>
          <w:rFonts w:ascii="Times New Roman" w:eastAsia="楷体" w:hAnsi="Times New Roman" w:hint="eastAsia"/>
          <w:color w:val="5B9BD5" w:themeColor="accent1"/>
          <w:sz w:val="24"/>
        </w:rPr>
        <w:t>公司</w:t>
      </w:r>
      <w:r w:rsidR="004E04C9" w:rsidRPr="00C65F24">
        <w:rPr>
          <w:rFonts w:ascii="Times New Roman" w:eastAsia="楷体" w:hAnsi="Times New Roman" w:hint="eastAsia"/>
          <w:color w:val="5B9BD5" w:themeColor="accent1"/>
          <w:sz w:val="24"/>
        </w:rPr>
        <w:t>的四个</w:t>
      </w:r>
      <w:proofErr w:type="gramStart"/>
      <w:r w:rsidR="002A5C8D" w:rsidRPr="00C65F24">
        <w:rPr>
          <w:rFonts w:ascii="Times New Roman" w:eastAsia="楷体" w:hAnsi="Times New Roman" w:hint="eastAsia"/>
          <w:color w:val="5B9BD5" w:themeColor="accent1"/>
          <w:sz w:val="24"/>
        </w:rPr>
        <w:t>募投项目</w:t>
      </w:r>
      <w:proofErr w:type="gramEnd"/>
      <w:r w:rsidR="00F578F9">
        <w:rPr>
          <w:rFonts w:ascii="Times New Roman" w:eastAsia="楷体" w:hAnsi="Times New Roman" w:hint="eastAsia"/>
          <w:color w:val="5B9BD5" w:themeColor="accent1"/>
          <w:sz w:val="24"/>
        </w:rPr>
        <w:t>均持续</w:t>
      </w:r>
      <w:r w:rsidR="00444FBD">
        <w:rPr>
          <w:rFonts w:ascii="Times New Roman" w:eastAsia="楷体" w:hAnsi="Times New Roman" w:hint="eastAsia"/>
          <w:color w:val="5B9BD5" w:themeColor="accent1"/>
          <w:sz w:val="24"/>
        </w:rPr>
        <w:t>推进</w:t>
      </w:r>
      <w:r w:rsidR="002A5C8D" w:rsidRPr="00C65F24">
        <w:rPr>
          <w:rFonts w:ascii="Times New Roman" w:eastAsia="楷体" w:hAnsi="Times New Roman" w:hint="eastAsia"/>
          <w:color w:val="5B9BD5" w:themeColor="accent1"/>
          <w:sz w:val="24"/>
        </w:rPr>
        <w:t>：福建泉州年产</w:t>
      </w:r>
      <w:r w:rsidR="002A5C8D" w:rsidRPr="00C65F24">
        <w:rPr>
          <w:rFonts w:ascii="Times New Roman" w:eastAsia="楷体" w:hAnsi="Times New Roman" w:hint="eastAsia"/>
          <w:color w:val="5B9BD5" w:themeColor="accent1"/>
          <w:sz w:val="24"/>
        </w:rPr>
        <w:t>15</w:t>
      </w:r>
      <w:r w:rsidR="002A5C8D" w:rsidRPr="00C65F24">
        <w:rPr>
          <w:rFonts w:ascii="Times New Roman" w:eastAsia="楷体" w:hAnsi="Times New Roman" w:hint="eastAsia"/>
          <w:color w:val="5B9BD5" w:themeColor="accent1"/>
          <w:sz w:val="24"/>
        </w:rPr>
        <w:t>万吨固体蛋氨</w:t>
      </w:r>
      <w:proofErr w:type="gramStart"/>
      <w:r w:rsidR="002A5C8D" w:rsidRPr="00C65F24">
        <w:rPr>
          <w:rFonts w:ascii="Times New Roman" w:eastAsia="楷体" w:hAnsi="Times New Roman" w:hint="eastAsia"/>
          <w:color w:val="5B9BD5" w:themeColor="accent1"/>
          <w:sz w:val="24"/>
        </w:rPr>
        <w:t>酸工厂</w:t>
      </w:r>
      <w:proofErr w:type="gramEnd"/>
      <w:r w:rsidR="002A5C8D" w:rsidRPr="00C65F24">
        <w:rPr>
          <w:rFonts w:ascii="Times New Roman" w:eastAsia="楷体" w:hAnsi="Times New Roman" w:hint="eastAsia"/>
          <w:color w:val="5B9BD5" w:themeColor="accent1"/>
          <w:sz w:val="24"/>
        </w:rPr>
        <w:t>以及配套的硫酸生产装置项目正加速推进，已完成超过</w:t>
      </w:r>
      <w:r w:rsidR="002A5C8D" w:rsidRPr="00C65F24">
        <w:rPr>
          <w:rFonts w:ascii="Times New Roman" w:eastAsia="楷体" w:hAnsi="Times New Roman" w:hint="eastAsia"/>
          <w:color w:val="5B9BD5" w:themeColor="accent1"/>
          <w:sz w:val="24"/>
        </w:rPr>
        <w:t>80%</w:t>
      </w:r>
      <w:r w:rsidR="002A5C8D" w:rsidRPr="00C65F24">
        <w:rPr>
          <w:rFonts w:ascii="Times New Roman" w:eastAsia="楷体" w:hAnsi="Times New Roman" w:hint="eastAsia"/>
          <w:color w:val="5B9BD5" w:themeColor="accent1"/>
          <w:sz w:val="24"/>
        </w:rPr>
        <w:t>的施工建设，预计将于</w:t>
      </w:r>
      <w:r w:rsidR="002A5C8D" w:rsidRPr="00C65F24">
        <w:rPr>
          <w:rFonts w:ascii="Times New Roman" w:eastAsia="楷体" w:hAnsi="Times New Roman" w:hint="eastAsia"/>
          <w:color w:val="5B9BD5" w:themeColor="accent1"/>
          <w:sz w:val="24"/>
        </w:rPr>
        <w:t>2026</w:t>
      </w:r>
      <w:r w:rsidR="002A5C8D" w:rsidRPr="00C65F24">
        <w:rPr>
          <w:rFonts w:ascii="Times New Roman" w:eastAsia="楷体" w:hAnsi="Times New Roman" w:hint="eastAsia"/>
          <w:color w:val="5B9BD5" w:themeColor="accent1"/>
          <w:sz w:val="24"/>
        </w:rPr>
        <w:t>年年</w:t>
      </w:r>
      <w:proofErr w:type="gramStart"/>
      <w:r w:rsidR="002A5C8D" w:rsidRPr="00C65F24">
        <w:rPr>
          <w:rFonts w:ascii="Times New Roman" w:eastAsia="楷体" w:hAnsi="Times New Roman" w:hint="eastAsia"/>
          <w:color w:val="5B9BD5" w:themeColor="accent1"/>
          <w:sz w:val="24"/>
        </w:rPr>
        <w:t>底启动</w:t>
      </w:r>
      <w:proofErr w:type="gramEnd"/>
      <w:r w:rsidR="002A5C8D" w:rsidRPr="00C65F24">
        <w:rPr>
          <w:rFonts w:ascii="Times New Roman" w:eastAsia="楷体" w:hAnsi="Times New Roman" w:hint="eastAsia"/>
          <w:color w:val="5B9BD5" w:themeColor="accent1"/>
          <w:sz w:val="24"/>
        </w:rPr>
        <w:t>试运行；全新的南京特种产品饲料添加剂工厂（一期）已建成并盈利，为中国市场量身定制并推出</w:t>
      </w:r>
      <w:r w:rsidR="002A5C8D" w:rsidRPr="00C65F24">
        <w:rPr>
          <w:rFonts w:ascii="Times New Roman" w:eastAsia="楷体" w:hAnsi="Times New Roman" w:hint="eastAsia"/>
          <w:color w:val="5B9BD5" w:themeColor="accent1"/>
          <w:sz w:val="24"/>
        </w:rPr>
        <w:t>23</w:t>
      </w:r>
      <w:r w:rsidR="002A5C8D" w:rsidRPr="00C65F24">
        <w:rPr>
          <w:rFonts w:ascii="Times New Roman" w:eastAsia="楷体" w:hAnsi="Times New Roman" w:hint="eastAsia"/>
          <w:color w:val="5B9BD5" w:themeColor="accent1"/>
          <w:sz w:val="24"/>
        </w:rPr>
        <w:t>个新产品，为</w:t>
      </w:r>
      <w:r w:rsidR="004E04C9" w:rsidRPr="00C65F24">
        <w:rPr>
          <w:rFonts w:ascii="Times New Roman" w:eastAsia="楷体" w:hAnsi="Times New Roman" w:hint="eastAsia"/>
          <w:color w:val="5B9BD5" w:themeColor="accent1"/>
          <w:sz w:val="24"/>
        </w:rPr>
        <w:t>国内</w:t>
      </w:r>
      <w:r w:rsidR="002A5C8D" w:rsidRPr="00C65F24">
        <w:rPr>
          <w:rFonts w:ascii="Times New Roman" w:eastAsia="楷体" w:hAnsi="Times New Roman" w:hint="eastAsia"/>
          <w:color w:val="5B9BD5" w:themeColor="accent1"/>
          <w:sz w:val="24"/>
        </w:rPr>
        <w:t>特种品市场</w:t>
      </w:r>
      <w:r w:rsidR="004E04C9" w:rsidRPr="00C65F24">
        <w:rPr>
          <w:rFonts w:ascii="Times New Roman" w:eastAsia="楷体" w:hAnsi="Times New Roman" w:hint="eastAsia"/>
          <w:color w:val="5B9BD5" w:themeColor="accent1"/>
          <w:sz w:val="24"/>
        </w:rPr>
        <w:t>的</w:t>
      </w:r>
      <w:r w:rsidR="002A5C8D" w:rsidRPr="00C65F24">
        <w:rPr>
          <w:rFonts w:ascii="Times New Roman" w:eastAsia="楷体" w:hAnsi="Times New Roman" w:hint="eastAsia"/>
          <w:color w:val="5B9BD5" w:themeColor="accent1"/>
          <w:sz w:val="24"/>
        </w:rPr>
        <w:t>发展奠定基础；西班牙布尔戈斯工厂将关键反刍动物产品酯化生产过程从委外转为内部生产的项目，由于推行更严格的安全控制举措而推迟启动试运行，但该产品供应连续性仍然得以保障；南京工厂的废水处理再利用项目（丙烯酸废水处理项目）持续产能爬坡，预计将于</w:t>
      </w:r>
      <w:r w:rsidR="002A5C8D" w:rsidRPr="00C65F24">
        <w:rPr>
          <w:rFonts w:ascii="Times New Roman" w:eastAsia="楷体" w:hAnsi="Times New Roman" w:hint="eastAsia"/>
          <w:color w:val="5B9BD5" w:themeColor="accent1"/>
          <w:sz w:val="24"/>
        </w:rPr>
        <w:t>2026</w:t>
      </w:r>
      <w:r w:rsidR="002A5C8D" w:rsidRPr="00C65F24">
        <w:rPr>
          <w:rFonts w:ascii="Times New Roman" w:eastAsia="楷体" w:hAnsi="Times New Roman" w:hint="eastAsia"/>
          <w:color w:val="5B9BD5" w:themeColor="accent1"/>
          <w:sz w:val="24"/>
        </w:rPr>
        <w:t>年</w:t>
      </w:r>
      <w:r w:rsidR="002A5C8D" w:rsidRPr="00C65F24">
        <w:rPr>
          <w:rFonts w:ascii="Times New Roman" w:eastAsia="楷体" w:hAnsi="Times New Roman" w:hint="eastAsia"/>
          <w:color w:val="5B9BD5" w:themeColor="accent1"/>
          <w:sz w:val="24"/>
        </w:rPr>
        <w:t>6</w:t>
      </w:r>
      <w:r w:rsidR="002A5C8D" w:rsidRPr="00C65F24">
        <w:rPr>
          <w:rFonts w:ascii="Times New Roman" w:eastAsia="楷体" w:hAnsi="Times New Roman" w:hint="eastAsia"/>
          <w:color w:val="5B9BD5" w:themeColor="accent1"/>
          <w:sz w:val="24"/>
        </w:rPr>
        <w:t>月正式投入使用。</w:t>
      </w:r>
    </w:p>
    <w:p w14:paraId="5BF78DD1" w14:textId="77777777" w:rsidR="002A5C8D" w:rsidRPr="009B1161" w:rsidRDefault="002A5C8D" w:rsidP="002A5C8D">
      <w:pPr>
        <w:pStyle w:val="a8"/>
        <w:spacing w:after="160" w:line="278" w:lineRule="auto"/>
        <w:ind w:left="800" w:firstLineChars="0" w:firstLine="0"/>
        <w:contextualSpacing/>
        <w:rPr>
          <w:highlight w:val="yellow"/>
        </w:rPr>
      </w:pPr>
    </w:p>
    <w:p w14:paraId="3F11A1B1" w14:textId="47259A58" w:rsidR="009F6893" w:rsidRPr="00B04FFE" w:rsidRDefault="004E04C9" w:rsidP="00B04FFE">
      <w:pPr>
        <w:pStyle w:val="a8"/>
        <w:numPr>
          <w:ilvl w:val="3"/>
          <w:numId w:val="1"/>
        </w:numPr>
        <w:ind w:left="434" w:firstLineChars="0"/>
        <w:rPr>
          <w:rFonts w:ascii="Times New Roman" w:eastAsia="楷体" w:hAnsi="Times New Roman"/>
          <w:sz w:val="24"/>
          <w:szCs w:val="24"/>
        </w:rPr>
      </w:pPr>
      <w:r w:rsidRPr="00B04FFE">
        <w:rPr>
          <w:rFonts w:ascii="Times New Roman" w:eastAsia="楷体" w:hAnsi="Times New Roman" w:hint="eastAsia"/>
          <w:sz w:val="24"/>
          <w:szCs w:val="24"/>
        </w:rPr>
        <w:t>公司南京工厂及欧洲工厂的产、销量比例</w:t>
      </w:r>
      <w:r w:rsidR="009F6893" w:rsidRPr="00B04FFE">
        <w:rPr>
          <w:rFonts w:ascii="Times New Roman" w:eastAsia="楷体" w:hAnsi="Times New Roman" w:hint="eastAsia"/>
          <w:sz w:val="24"/>
          <w:szCs w:val="24"/>
        </w:rPr>
        <w:t>？</w:t>
      </w:r>
    </w:p>
    <w:p w14:paraId="1B83C68D" w14:textId="4BF67246" w:rsidR="00BB4980" w:rsidRPr="000E3FAF" w:rsidRDefault="00BB4980" w:rsidP="1AD71EF9">
      <w:pPr>
        <w:pStyle w:val="a8"/>
        <w:numPr>
          <w:ilvl w:val="0"/>
          <w:numId w:val="6"/>
        </w:numPr>
        <w:spacing w:after="160" w:line="278" w:lineRule="auto"/>
        <w:ind w:firstLineChars="0" w:hanging="394"/>
        <w:contextualSpacing/>
        <w:rPr>
          <w:rFonts w:ascii="Times New Roman" w:eastAsia="楷体" w:hAnsi="Times New Roman"/>
          <w:color w:val="5B9BD5" w:themeColor="accent1"/>
          <w:sz w:val="24"/>
          <w:szCs w:val="24"/>
        </w:rPr>
      </w:pPr>
      <w:r w:rsidRPr="000E3FAF">
        <w:rPr>
          <w:rFonts w:ascii="Times New Roman" w:eastAsia="楷体" w:hAnsi="Times New Roman" w:hint="eastAsia"/>
          <w:color w:val="5B9BD5" w:themeColor="accent1"/>
          <w:sz w:val="24"/>
          <w:szCs w:val="24"/>
        </w:rPr>
        <w:t>作为一家全球化动物营养添加剂生产企业，安迪苏的销售和分销网络、产能以及研发和创新实力分布在世界各地。公司根据各地区客户的分布情况，相应建立了高效便捷的本地供应链系统。当前全球贸易环境与关税壁垒或将持续存在，在此宏观环境下，公司继续充分深挖并扩大全球化产业布局优势，即中国生产平台主要供应亚洲、中东、南美等区域，同时依托其产业</w:t>
      </w:r>
      <w:proofErr w:type="gramStart"/>
      <w:r w:rsidRPr="000E3FAF">
        <w:rPr>
          <w:rFonts w:ascii="Times New Roman" w:eastAsia="楷体" w:hAnsi="Times New Roman" w:hint="eastAsia"/>
          <w:color w:val="5B9BD5" w:themeColor="accent1"/>
          <w:sz w:val="24"/>
          <w:szCs w:val="24"/>
        </w:rPr>
        <w:t>链配套</w:t>
      </w:r>
      <w:proofErr w:type="gramEnd"/>
      <w:r w:rsidRPr="000E3FAF">
        <w:rPr>
          <w:rFonts w:ascii="Times New Roman" w:eastAsia="楷体" w:hAnsi="Times New Roman" w:hint="eastAsia"/>
          <w:color w:val="5B9BD5" w:themeColor="accent1"/>
          <w:sz w:val="24"/>
          <w:szCs w:val="24"/>
        </w:rPr>
        <w:t>优势持续提升产能经济性，欧洲生产平台主要供应欧洲、北美、南美等区域并通过持续技术升级和成本优化强化本土竞争力。未来行业竞争将呈现</w:t>
      </w:r>
      <w:r w:rsidRPr="000E3FAF">
        <w:rPr>
          <w:rFonts w:ascii="Times New Roman" w:eastAsia="楷体" w:hAnsi="Times New Roman" w:hint="eastAsia"/>
          <w:color w:val="5B9BD5" w:themeColor="accent1"/>
          <w:sz w:val="24"/>
          <w:szCs w:val="24"/>
        </w:rPr>
        <w:t>"</w:t>
      </w:r>
      <w:r w:rsidRPr="000E3FAF">
        <w:rPr>
          <w:rFonts w:ascii="Times New Roman" w:eastAsia="楷体" w:hAnsi="Times New Roman" w:hint="eastAsia"/>
          <w:color w:val="5B9BD5" w:themeColor="accent1"/>
          <w:sz w:val="24"/>
          <w:szCs w:val="24"/>
        </w:rPr>
        <w:t>区域深耕、多元协同</w:t>
      </w:r>
      <w:r w:rsidRPr="000E3FAF">
        <w:rPr>
          <w:rFonts w:ascii="Times New Roman" w:eastAsia="楷体" w:hAnsi="Times New Roman" w:hint="eastAsia"/>
          <w:color w:val="5B9BD5" w:themeColor="accent1"/>
          <w:sz w:val="24"/>
          <w:szCs w:val="24"/>
        </w:rPr>
        <w:t>"</w:t>
      </w:r>
      <w:r w:rsidRPr="000E3FAF">
        <w:rPr>
          <w:rFonts w:ascii="Times New Roman" w:eastAsia="楷体" w:hAnsi="Times New Roman" w:hint="eastAsia"/>
          <w:color w:val="5B9BD5" w:themeColor="accent1"/>
          <w:sz w:val="24"/>
          <w:szCs w:val="24"/>
        </w:rPr>
        <w:t>格局，各区域生产平台需立足本地化优势构建核心竞争力，形成全球化与区域化协同的战略体系，以应对贸易环境不确定性并增强供应链韧性。</w:t>
      </w:r>
    </w:p>
    <w:p w14:paraId="551A31E2" w14:textId="77777777" w:rsidR="009F6893" w:rsidRPr="00D41D87" w:rsidRDefault="009F6893" w:rsidP="009F6893">
      <w:pPr>
        <w:pStyle w:val="a8"/>
        <w:ind w:left="360"/>
      </w:pPr>
    </w:p>
    <w:p w14:paraId="5CE79ECC" w14:textId="4EAD1E64" w:rsidR="001E352E" w:rsidRPr="00B04FFE" w:rsidRDefault="001E352E" w:rsidP="00B04FFE">
      <w:pPr>
        <w:pStyle w:val="a8"/>
        <w:numPr>
          <w:ilvl w:val="3"/>
          <w:numId w:val="1"/>
        </w:numPr>
        <w:ind w:left="434" w:firstLineChars="0"/>
        <w:rPr>
          <w:rFonts w:ascii="Times New Roman" w:eastAsia="楷体" w:hAnsi="Times New Roman"/>
          <w:sz w:val="24"/>
          <w:szCs w:val="24"/>
        </w:rPr>
      </w:pPr>
      <w:bookmarkStart w:id="0" w:name="OLE_LINK3"/>
      <w:r w:rsidRPr="00B04FFE">
        <w:rPr>
          <w:rFonts w:ascii="Times New Roman" w:eastAsia="楷体" w:hAnsi="Times New Roman" w:hint="eastAsia"/>
          <w:sz w:val="24"/>
          <w:szCs w:val="24"/>
        </w:rPr>
        <w:t>年报中披露的南京工厂与欧洲工厂盈利差异较大的原因，以及这个趋势的延续性？</w:t>
      </w:r>
    </w:p>
    <w:bookmarkEnd w:id="0"/>
    <w:p w14:paraId="5B6285FD" w14:textId="21E071E7" w:rsidR="00231422" w:rsidRPr="00D41D87" w:rsidRDefault="00AF510F" w:rsidP="00C65F24">
      <w:pPr>
        <w:pStyle w:val="a8"/>
        <w:numPr>
          <w:ilvl w:val="0"/>
          <w:numId w:val="6"/>
        </w:numPr>
        <w:spacing w:line="278" w:lineRule="auto"/>
        <w:ind w:firstLineChars="0"/>
        <w:contextualSpacing/>
        <w:rPr>
          <w:rFonts w:ascii="Times New Roman" w:eastAsia="楷体" w:hAnsi="Times New Roman"/>
          <w:color w:val="5B9BD5" w:themeColor="accent1"/>
          <w:sz w:val="24"/>
          <w:szCs w:val="24"/>
        </w:rPr>
      </w:pPr>
      <w:r>
        <w:rPr>
          <w:rFonts w:ascii="Times New Roman" w:eastAsia="楷体" w:hAnsi="Times New Roman" w:hint="eastAsia"/>
          <w:color w:val="5B9BD5" w:themeColor="accent1"/>
          <w:sz w:val="24"/>
          <w:szCs w:val="24"/>
        </w:rPr>
        <w:lastRenderedPageBreak/>
        <w:t>公司</w:t>
      </w:r>
      <w:r w:rsidR="005E347E">
        <w:rPr>
          <w:rFonts w:ascii="Times New Roman" w:eastAsia="楷体" w:hAnsi="Times New Roman" w:hint="eastAsia"/>
          <w:color w:val="5B9BD5" w:themeColor="accent1"/>
          <w:sz w:val="24"/>
          <w:szCs w:val="24"/>
        </w:rPr>
        <w:t>的</w:t>
      </w:r>
      <w:r>
        <w:rPr>
          <w:rFonts w:ascii="Times New Roman" w:eastAsia="楷体" w:hAnsi="Times New Roman" w:hint="eastAsia"/>
          <w:color w:val="5B9BD5" w:themeColor="accent1"/>
          <w:sz w:val="24"/>
          <w:szCs w:val="24"/>
        </w:rPr>
        <w:t>年度报告中，</w:t>
      </w:r>
      <w:r w:rsidR="005E347E" w:rsidRPr="005E347E">
        <w:rPr>
          <w:rFonts w:ascii="Times New Roman" w:eastAsia="楷体" w:hAnsi="Times New Roman" w:hint="eastAsia"/>
          <w:color w:val="5B9BD5" w:themeColor="accent1"/>
          <w:sz w:val="24"/>
          <w:szCs w:val="24"/>
        </w:rPr>
        <w:t>蓝星安迪苏南京有限公司</w:t>
      </w:r>
      <w:r w:rsidR="005E347E">
        <w:rPr>
          <w:rFonts w:ascii="Times New Roman" w:eastAsia="楷体" w:hAnsi="Times New Roman" w:hint="eastAsia"/>
          <w:color w:val="5B9BD5" w:themeColor="accent1"/>
          <w:sz w:val="24"/>
          <w:szCs w:val="24"/>
        </w:rPr>
        <w:t>即为</w:t>
      </w:r>
      <w:r w:rsidR="004B278F" w:rsidRPr="005E347E">
        <w:rPr>
          <w:rFonts w:ascii="Times New Roman" w:eastAsia="楷体" w:hAnsi="Times New Roman" w:hint="eastAsia"/>
          <w:color w:val="5B9BD5" w:themeColor="accent1"/>
          <w:sz w:val="24"/>
          <w:szCs w:val="24"/>
        </w:rPr>
        <w:t>南京工厂</w:t>
      </w:r>
      <w:r w:rsidR="005E347E">
        <w:rPr>
          <w:rFonts w:ascii="Times New Roman" w:eastAsia="楷体" w:hAnsi="Times New Roman" w:hint="eastAsia"/>
          <w:color w:val="5B9BD5" w:themeColor="accent1"/>
          <w:sz w:val="24"/>
          <w:szCs w:val="24"/>
        </w:rPr>
        <w:t>，该工厂</w:t>
      </w:r>
      <w:r w:rsidR="004B278F" w:rsidRPr="005E347E">
        <w:rPr>
          <w:rFonts w:ascii="Times New Roman" w:eastAsia="楷体" w:hAnsi="Times New Roman" w:hint="eastAsia"/>
          <w:color w:val="5B9BD5" w:themeColor="accent1"/>
          <w:sz w:val="24"/>
          <w:szCs w:val="24"/>
        </w:rPr>
        <w:t>作为</w:t>
      </w:r>
      <w:r w:rsidRPr="005E347E">
        <w:rPr>
          <w:rFonts w:ascii="Times New Roman" w:eastAsia="楷体" w:hAnsi="Times New Roman" w:hint="eastAsia"/>
          <w:color w:val="5B9BD5" w:themeColor="accent1"/>
          <w:sz w:val="24"/>
          <w:szCs w:val="24"/>
        </w:rPr>
        <w:t>公司</w:t>
      </w:r>
      <w:r w:rsidR="004B278F" w:rsidRPr="005E347E">
        <w:rPr>
          <w:rFonts w:ascii="Times New Roman" w:eastAsia="楷体" w:hAnsi="Times New Roman" w:hint="eastAsia"/>
          <w:color w:val="5B9BD5" w:themeColor="accent1"/>
          <w:sz w:val="24"/>
          <w:szCs w:val="24"/>
        </w:rPr>
        <w:t>液体蛋氨酸基地，</w:t>
      </w:r>
      <w:r w:rsidRPr="005E347E">
        <w:rPr>
          <w:rFonts w:ascii="Times New Roman" w:eastAsia="楷体" w:hAnsi="Times New Roman" w:hint="eastAsia"/>
          <w:color w:val="5B9BD5" w:themeColor="accent1"/>
          <w:sz w:val="24"/>
          <w:szCs w:val="24"/>
        </w:rPr>
        <w:t>专注于</w:t>
      </w:r>
      <w:r w:rsidR="00AA0C99">
        <w:rPr>
          <w:rFonts w:ascii="Times New Roman" w:eastAsia="楷体" w:hAnsi="Times New Roman" w:hint="eastAsia"/>
          <w:color w:val="5B9BD5" w:themeColor="accent1"/>
          <w:sz w:val="24"/>
          <w:szCs w:val="24"/>
        </w:rPr>
        <w:t>液体蛋氨</w:t>
      </w:r>
      <w:proofErr w:type="gramStart"/>
      <w:r w:rsidR="00AA0C99">
        <w:rPr>
          <w:rFonts w:ascii="Times New Roman" w:eastAsia="楷体" w:hAnsi="Times New Roman" w:hint="eastAsia"/>
          <w:color w:val="5B9BD5" w:themeColor="accent1"/>
          <w:sz w:val="24"/>
          <w:szCs w:val="24"/>
        </w:rPr>
        <w:t>酸</w:t>
      </w:r>
      <w:r w:rsidRPr="005E347E">
        <w:rPr>
          <w:rFonts w:ascii="Times New Roman" w:eastAsia="楷体" w:hAnsi="Times New Roman" w:hint="eastAsia"/>
          <w:color w:val="5B9BD5" w:themeColor="accent1"/>
          <w:sz w:val="24"/>
          <w:szCs w:val="24"/>
        </w:rPr>
        <w:t>产品</w:t>
      </w:r>
      <w:proofErr w:type="gramEnd"/>
      <w:r w:rsidR="00AA0C99">
        <w:rPr>
          <w:rFonts w:ascii="Times New Roman" w:eastAsia="楷体" w:hAnsi="Times New Roman" w:hint="eastAsia"/>
          <w:color w:val="5B9BD5" w:themeColor="accent1"/>
          <w:sz w:val="24"/>
          <w:szCs w:val="24"/>
        </w:rPr>
        <w:t>的</w:t>
      </w:r>
      <w:r w:rsidRPr="005E347E">
        <w:rPr>
          <w:rFonts w:ascii="Times New Roman" w:eastAsia="楷体" w:hAnsi="Times New Roman" w:hint="eastAsia"/>
          <w:color w:val="5B9BD5" w:themeColor="accent1"/>
          <w:sz w:val="24"/>
          <w:szCs w:val="24"/>
        </w:rPr>
        <w:t>生产</w:t>
      </w:r>
      <w:r w:rsidR="00AA0C99">
        <w:rPr>
          <w:rFonts w:ascii="Times New Roman" w:eastAsia="楷体" w:hAnsi="Times New Roman" w:hint="eastAsia"/>
          <w:color w:val="5B9BD5" w:themeColor="accent1"/>
          <w:sz w:val="24"/>
          <w:szCs w:val="24"/>
        </w:rPr>
        <w:t>和研发</w:t>
      </w:r>
      <w:r w:rsidRPr="005E347E">
        <w:rPr>
          <w:rFonts w:ascii="Times New Roman" w:eastAsia="楷体" w:hAnsi="Times New Roman" w:hint="eastAsia"/>
          <w:color w:val="5B9BD5" w:themeColor="accent1"/>
          <w:sz w:val="24"/>
          <w:szCs w:val="24"/>
        </w:rPr>
        <w:t>，</w:t>
      </w:r>
      <w:r w:rsidRPr="005E347E">
        <w:rPr>
          <w:rFonts w:ascii="Times New Roman" w:eastAsia="楷体" w:hAnsi="Times New Roman" w:hint="eastAsia"/>
          <w:color w:val="5B9BD5" w:themeColor="accent1"/>
          <w:sz w:val="24"/>
          <w:szCs w:val="24"/>
        </w:rPr>
        <w:t>2025</w:t>
      </w:r>
      <w:r w:rsidRPr="005E347E">
        <w:rPr>
          <w:rFonts w:ascii="Times New Roman" w:eastAsia="楷体" w:hAnsi="Times New Roman" w:hint="eastAsia"/>
          <w:color w:val="5B9BD5" w:themeColor="accent1"/>
          <w:sz w:val="24"/>
          <w:szCs w:val="24"/>
        </w:rPr>
        <w:t>年在产量、安全表现和成本竞争力方面再创新高。</w:t>
      </w:r>
      <w:r w:rsidR="004B278F" w:rsidRPr="005E347E">
        <w:rPr>
          <w:rFonts w:ascii="Times New Roman" w:eastAsia="楷体" w:hAnsi="Times New Roman" w:hint="eastAsia"/>
          <w:color w:val="5B9BD5" w:themeColor="accent1"/>
          <w:sz w:val="24"/>
          <w:szCs w:val="24"/>
        </w:rPr>
        <w:t>凭借规模化效应与技术迭代实现成本领先优势，</w:t>
      </w:r>
      <w:r w:rsidR="00AA0C99">
        <w:rPr>
          <w:rFonts w:ascii="Times New Roman" w:eastAsia="楷体" w:hAnsi="Times New Roman" w:hint="eastAsia"/>
          <w:color w:val="5B9BD5" w:themeColor="accent1"/>
          <w:sz w:val="24"/>
          <w:szCs w:val="24"/>
        </w:rPr>
        <w:t>实现了优异的</w:t>
      </w:r>
      <w:r w:rsidR="004B278F" w:rsidRPr="005E347E">
        <w:rPr>
          <w:rFonts w:ascii="Times New Roman" w:eastAsia="楷体" w:hAnsi="Times New Roman" w:hint="eastAsia"/>
          <w:color w:val="5B9BD5" w:themeColor="accent1"/>
          <w:sz w:val="24"/>
          <w:szCs w:val="24"/>
        </w:rPr>
        <w:t>盈利水平</w:t>
      </w:r>
      <w:r w:rsidR="005E347E">
        <w:rPr>
          <w:rFonts w:ascii="Times New Roman" w:eastAsia="楷体" w:hAnsi="Times New Roman" w:hint="eastAsia"/>
          <w:color w:val="5B9BD5" w:themeColor="accent1"/>
          <w:sz w:val="24"/>
          <w:szCs w:val="24"/>
        </w:rPr>
        <w:t>。报告中的</w:t>
      </w:r>
      <w:r w:rsidR="005E347E" w:rsidRPr="005E347E">
        <w:rPr>
          <w:rFonts w:ascii="Times New Roman" w:eastAsia="楷体" w:hAnsi="Times New Roman"/>
          <w:color w:val="5B9BD5" w:themeColor="accent1"/>
          <w:sz w:val="24"/>
          <w:szCs w:val="24"/>
        </w:rPr>
        <w:t>Adisseo</w:t>
      </w:r>
      <w:r w:rsidR="005E347E">
        <w:rPr>
          <w:rFonts w:ascii="Times New Roman" w:eastAsia="楷体" w:hAnsi="Times New Roman" w:hint="eastAsia"/>
          <w:color w:val="5B9BD5" w:themeColor="accent1"/>
          <w:sz w:val="24"/>
          <w:szCs w:val="24"/>
        </w:rPr>
        <w:t xml:space="preserve"> </w:t>
      </w:r>
      <w:r w:rsidR="005E347E" w:rsidRPr="005E347E">
        <w:rPr>
          <w:rFonts w:ascii="Times New Roman" w:eastAsia="楷体" w:hAnsi="Times New Roman"/>
          <w:color w:val="5B9BD5" w:themeColor="accent1"/>
          <w:sz w:val="24"/>
          <w:szCs w:val="24"/>
        </w:rPr>
        <w:t>France SAS</w:t>
      </w:r>
      <w:r w:rsidR="004B278F" w:rsidRPr="005E347E">
        <w:rPr>
          <w:rFonts w:ascii="Times New Roman" w:eastAsia="楷体" w:hAnsi="Times New Roman" w:hint="eastAsia"/>
          <w:color w:val="5B9BD5" w:themeColor="accent1"/>
          <w:sz w:val="24"/>
          <w:szCs w:val="24"/>
        </w:rPr>
        <w:t>则承担</w:t>
      </w:r>
      <w:r w:rsidRPr="005E347E">
        <w:rPr>
          <w:rFonts w:ascii="Times New Roman" w:eastAsia="楷体" w:hAnsi="Times New Roman" w:hint="eastAsia"/>
          <w:color w:val="5B9BD5" w:themeColor="accent1"/>
          <w:sz w:val="24"/>
          <w:szCs w:val="24"/>
        </w:rPr>
        <w:t>公司在</w:t>
      </w:r>
      <w:r w:rsidR="004B278F" w:rsidRPr="005E347E">
        <w:rPr>
          <w:rFonts w:ascii="Times New Roman" w:eastAsia="楷体" w:hAnsi="Times New Roman" w:hint="eastAsia"/>
          <w:color w:val="5B9BD5" w:themeColor="accent1"/>
          <w:sz w:val="24"/>
          <w:szCs w:val="24"/>
        </w:rPr>
        <w:t>管理</w:t>
      </w:r>
      <w:r w:rsidRPr="005E347E">
        <w:rPr>
          <w:rFonts w:ascii="Times New Roman" w:eastAsia="楷体" w:hAnsi="Times New Roman" w:hint="eastAsia"/>
          <w:color w:val="5B9BD5" w:themeColor="accent1"/>
          <w:sz w:val="24"/>
          <w:szCs w:val="24"/>
        </w:rPr>
        <w:t>、生产、运营等</w:t>
      </w:r>
      <w:r w:rsidR="004B278F" w:rsidRPr="005E347E">
        <w:rPr>
          <w:rFonts w:ascii="Times New Roman" w:eastAsia="楷体" w:hAnsi="Times New Roman" w:hint="eastAsia"/>
          <w:color w:val="5B9BD5" w:themeColor="accent1"/>
          <w:sz w:val="24"/>
          <w:szCs w:val="24"/>
        </w:rPr>
        <w:t>协同职能，</w:t>
      </w:r>
      <w:r w:rsidRPr="005E347E">
        <w:rPr>
          <w:rFonts w:ascii="Times New Roman" w:eastAsia="楷体" w:hAnsi="Times New Roman" w:hint="eastAsia"/>
          <w:color w:val="5B9BD5" w:themeColor="accent1"/>
          <w:sz w:val="24"/>
          <w:szCs w:val="24"/>
        </w:rPr>
        <w:t>且</w:t>
      </w:r>
      <w:r w:rsidR="004B278F" w:rsidRPr="005E347E">
        <w:rPr>
          <w:rFonts w:ascii="Times New Roman" w:eastAsia="楷体" w:hAnsi="Times New Roman" w:hint="eastAsia"/>
          <w:color w:val="5B9BD5" w:themeColor="accent1"/>
          <w:sz w:val="24"/>
          <w:szCs w:val="24"/>
        </w:rPr>
        <w:t>涵盖液体</w:t>
      </w:r>
      <w:r w:rsidR="004B278F" w:rsidRPr="005E347E">
        <w:rPr>
          <w:rFonts w:ascii="Times New Roman" w:eastAsia="楷体" w:hAnsi="Times New Roman" w:hint="eastAsia"/>
          <w:color w:val="5B9BD5" w:themeColor="accent1"/>
          <w:sz w:val="24"/>
          <w:szCs w:val="24"/>
        </w:rPr>
        <w:t>/</w:t>
      </w:r>
      <w:r w:rsidR="004B278F" w:rsidRPr="005E347E">
        <w:rPr>
          <w:rFonts w:ascii="Times New Roman" w:eastAsia="楷体" w:hAnsi="Times New Roman" w:hint="eastAsia"/>
          <w:color w:val="5B9BD5" w:themeColor="accent1"/>
          <w:sz w:val="24"/>
          <w:szCs w:val="24"/>
        </w:rPr>
        <w:t>固体蛋氨酸、维生素及特种品多业务板块。</w:t>
      </w:r>
      <w:r w:rsidRPr="005E347E">
        <w:rPr>
          <w:rFonts w:ascii="Times New Roman" w:eastAsia="楷体" w:hAnsi="Times New Roman" w:hint="eastAsia"/>
          <w:color w:val="5B9BD5" w:themeColor="accent1"/>
          <w:sz w:val="24"/>
          <w:szCs w:val="24"/>
        </w:rPr>
        <w:t>2025</w:t>
      </w:r>
      <w:r w:rsidRPr="005E347E">
        <w:rPr>
          <w:rFonts w:ascii="Times New Roman" w:eastAsia="楷体" w:hAnsi="Times New Roman" w:hint="eastAsia"/>
          <w:color w:val="5B9BD5" w:themeColor="accent1"/>
          <w:sz w:val="24"/>
          <w:szCs w:val="24"/>
        </w:rPr>
        <w:t>年，</w:t>
      </w:r>
      <w:r w:rsidR="004B278F" w:rsidRPr="005E347E">
        <w:rPr>
          <w:rFonts w:ascii="Times New Roman" w:eastAsia="楷体" w:hAnsi="Times New Roman" w:hint="eastAsia"/>
          <w:color w:val="5B9BD5" w:themeColor="accent1"/>
          <w:sz w:val="24"/>
          <w:szCs w:val="24"/>
        </w:rPr>
        <w:t>受维生素产品（尤其是维生素</w:t>
      </w:r>
      <w:r w:rsidR="005E347E">
        <w:rPr>
          <w:rFonts w:ascii="Times New Roman" w:eastAsia="楷体" w:hAnsi="Times New Roman" w:hint="eastAsia"/>
          <w:color w:val="5B9BD5" w:themeColor="accent1"/>
          <w:sz w:val="24"/>
          <w:szCs w:val="24"/>
        </w:rPr>
        <w:t>A</w:t>
      </w:r>
      <w:r w:rsidR="005E347E">
        <w:rPr>
          <w:rFonts w:ascii="Times New Roman" w:eastAsia="楷体" w:hAnsi="Times New Roman" w:hint="eastAsia"/>
          <w:color w:val="5B9BD5" w:themeColor="accent1"/>
          <w:sz w:val="24"/>
          <w:szCs w:val="24"/>
        </w:rPr>
        <w:t>、</w:t>
      </w:r>
      <w:r w:rsidR="004B278F" w:rsidRPr="005E347E">
        <w:rPr>
          <w:rFonts w:ascii="Times New Roman" w:eastAsia="楷体" w:hAnsi="Times New Roman" w:hint="eastAsia"/>
          <w:color w:val="5B9BD5" w:themeColor="accent1"/>
          <w:sz w:val="24"/>
          <w:szCs w:val="24"/>
        </w:rPr>
        <w:t>E</w:t>
      </w:r>
      <w:r w:rsidR="004B278F" w:rsidRPr="005E347E">
        <w:rPr>
          <w:rFonts w:ascii="Times New Roman" w:eastAsia="楷体" w:hAnsi="Times New Roman" w:hint="eastAsia"/>
          <w:color w:val="5B9BD5" w:themeColor="accent1"/>
          <w:sz w:val="24"/>
          <w:szCs w:val="24"/>
        </w:rPr>
        <w:t>）价格回落、</w:t>
      </w:r>
      <w:r w:rsidR="005E347E">
        <w:rPr>
          <w:rFonts w:ascii="Times New Roman" w:eastAsia="楷体" w:hAnsi="Times New Roman" w:hint="eastAsia"/>
          <w:color w:val="5B9BD5" w:themeColor="accent1"/>
          <w:sz w:val="24"/>
          <w:szCs w:val="24"/>
        </w:rPr>
        <w:t>原材料价格上涨、</w:t>
      </w:r>
      <w:r w:rsidR="004B278F" w:rsidRPr="005E347E">
        <w:rPr>
          <w:rFonts w:ascii="Times New Roman" w:eastAsia="楷体" w:hAnsi="Times New Roman" w:hint="eastAsia"/>
          <w:color w:val="5B9BD5" w:themeColor="accent1"/>
          <w:sz w:val="24"/>
          <w:szCs w:val="24"/>
        </w:rPr>
        <w:t>关税上调等多重因素影响，</w:t>
      </w:r>
      <w:r w:rsidR="005E347E" w:rsidRPr="005E347E">
        <w:rPr>
          <w:rFonts w:ascii="Times New Roman" w:eastAsia="楷体" w:hAnsi="Times New Roman"/>
          <w:color w:val="5B9BD5" w:themeColor="accent1"/>
          <w:sz w:val="24"/>
          <w:szCs w:val="24"/>
        </w:rPr>
        <w:t>Adisseo</w:t>
      </w:r>
      <w:r w:rsidR="005E347E">
        <w:rPr>
          <w:rFonts w:ascii="Times New Roman" w:eastAsia="楷体" w:hAnsi="Times New Roman" w:hint="eastAsia"/>
          <w:color w:val="5B9BD5" w:themeColor="accent1"/>
          <w:sz w:val="24"/>
          <w:szCs w:val="24"/>
        </w:rPr>
        <w:t xml:space="preserve"> </w:t>
      </w:r>
      <w:r w:rsidR="005E347E" w:rsidRPr="005E347E">
        <w:rPr>
          <w:rFonts w:ascii="Times New Roman" w:eastAsia="楷体" w:hAnsi="Times New Roman"/>
          <w:color w:val="5B9BD5" w:themeColor="accent1"/>
          <w:sz w:val="24"/>
          <w:szCs w:val="24"/>
        </w:rPr>
        <w:t>France SAS</w:t>
      </w:r>
      <w:r w:rsidR="004B278F" w:rsidRPr="005E347E">
        <w:rPr>
          <w:rFonts w:ascii="Times New Roman" w:eastAsia="楷体" w:hAnsi="Times New Roman" w:hint="eastAsia"/>
          <w:color w:val="5B9BD5" w:themeColor="accent1"/>
          <w:sz w:val="24"/>
          <w:szCs w:val="24"/>
        </w:rPr>
        <w:t>整体利润率承压。</w:t>
      </w:r>
      <w:r w:rsidR="00C13EE4">
        <w:rPr>
          <w:rFonts w:ascii="Times New Roman" w:eastAsia="楷体" w:hAnsi="Times New Roman" w:hint="eastAsia"/>
          <w:color w:val="5B9BD5" w:themeColor="accent1"/>
          <w:sz w:val="24"/>
          <w:szCs w:val="24"/>
        </w:rPr>
        <w:t>在</w:t>
      </w:r>
      <w:r w:rsidR="00C13EE4">
        <w:rPr>
          <w:rFonts w:ascii="Times New Roman" w:eastAsia="楷体" w:hAnsi="Times New Roman" w:hint="eastAsia"/>
          <w:color w:val="5B9BD5" w:themeColor="accent1"/>
          <w:sz w:val="24"/>
          <w:szCs w:val="24"/>
        </w:rPr>
        <w:t>2026</w:t>
      </w:r>
      <w:r w:rsidR="00C13EE4">
        <w:rPr>
          <w:rFonts w:ascii="Times New Roman" w:eastAsia="楷体" w:hAnsi="Times New Roman" w:hint="eastAsia"/>
          <w:color w:val="5B9BD5" w:themeColor="accent1"/>
          <w:sz w:val="24"/>
          <w:szCs w:val="24"/>
        </w:rPr>
        <w:t>年，</w:t>
      </w:r>
      <w:r w:rsidR="005E347E">
        <w:rPr>
          <w:rFonts w:ascii="Times New Roman" w:eastAsia="楷体" w:hAnsi="Times New Roman" w:hint="eastAsia"/>
          <w:color w:val="5B9BD5" w:themeColor="accent1"/>
          <w:sz w:val="24"/>
          <w:szCs w:val="24"/>
        </w:rPr>
        <w:t>公司</w:t>
      </w:r>
      <w:r w:rsidR="00C13EE4">
        <w:rPr>
          <w:rFonts w:ascii="Times New Roman" w:eastAsia="楷体" w:hAnsi="Times New Roman" w:hint="eastAsia"/>
          <w:color w:val="5B9BD5" w:themeColor="accent1"/>
          <w:sz w:val="24"/>
          <w:szCs w:val="24"/>
        </w:rPr>
        <w:t>将</w:t>
      </w:r>
      <w:r w:rsidR="005E347E">
        <w:rPr>
          <w:rFonts w:ascii="Times New Roman" w:eastAsia="楷体" w:hAnsi="Times New Roman" w:hint="eastAsia"/>
          <w:color w:val="5B9BD5" w:themeColor="accent1"/>
          <w:sz w:val="24"/>
          <w:szCs w:val="24"/>
        </w:rPr>
        <w:t>通过蛋氨</w:t>
      </w:r>
      <w:proofErr w:type="gramStart"/>
      <w:r w:rsidR="005E347E">
        <w:rPr>
          <w:rFonts w:ascii="Times New Roman" w:eastAsia="楷体" w:hAnsi="Times New Roman" w:hint="eastAsia"/>
          <w:color w:val="5B9BD5" w:themeColor="accent1"/>
          <w:sz w:val="24"/>
          <w:szCs w:val="24"/>
        </w:rPr>
        <w:t>酸工</w:t>
      </w:r>
      <w:r w:rsidR="005E347E" w:rsidRPr="00D41D87">
        <w:rPr>
          <w:rFonts w:ascii="Times New Roman" w:eastAsia="楷体" w:hAnsi="Times New Roman" w:hint="eastAsia"/>
          <w:color w:val="5B9BD5" w:themeColor="accent1"/>
          <w:sz w:val="24"/>
          <w:szCs w:val="24"/>
        </w:rPr>
        <w:t>厂</w:t>
      </w:r>
      <w:proofErr w:type="gramEnd"/>
      <w:r w:rsidR="00B21D75">
        <w:rPr>
          <w:rFonts w:ascii="Times New Roman" w:eastAsia="楷体" w:hAnsi="Times New Roman" w:hint="eastAsia"/>
          <w:color w:val="5B9BD5" w:themeColor="accent1"/>
          <w:sz w:val="24"/>
          <w:szCs w:val="24"/>
        </w:rPr>
        <w:t>持续提升的运营绩效</w:t>
      </w:r>
      <w:r w:rsidR="005E347E" w:rsidRPr="00D41D87">
        <w:rPr>
          <w:rFonts w:ascii="Times New Roman" w:eastAsia="楷体" w:hAnsi="Times New Roman" w:hint="eastAsia"/>
          <w:color w:val="5B9BD5" w:themeColor="accent1"/>
          <w:sz w:val="24"/>
          <w:szCs w:val="24"/>
        </w:rPr>
        <w:t>、</w:t>
      </w:r>
      <w:r w:rsidR="005E347E" w:rsidRPr="00D41D87">
        <w:rPr>
          <w:rFonts w:ascii="Times New Roman" w:eastAsia="楷体" w:hAnsi="Times New Roman" w:hint="eastAsia"/>
          <w:color w:val="5B9BD5" w:themeColor="accent1"/>
          <w:sz w:val="24"/>
          <w:szCs w:val="24"/>
          <w:lang w:val="fr-FR"/>
        </w:rPr>
        <w:t>调整维生素</w:t>
      </w:r>
      <w:r w:rsidR="00D34B37">
        <w:rPr>
          <w:rFonts w:ascii="Times New Roman" w:eastAsia="楷体" w:hAnsi="Times New Roman" w:hint="eastAsia"/>
          <w:color w:val="5B9BD5" w:themeColor="accent1"/>
          <w:sz w:val="24"/>
          <w:szCs w:val="24"/>
          <w:lang w:val="fr-FR"/>
        </w:rPr>
        <w:t>A</w:t>
      </w:r>
      <w:r w:rsidR="005E347E" w:rsidRPr="00D41D87">
        <w:rPr>
          <w:rFonts w:ascii="Times New Roman" w:eastAsia="楷体" w:hAnsi="Times New Roman" w:hint="eastAsia"/>
          <w:color w:val="5B9BD5" w:themeColor="accent1"/>
          <w:sz w:val="24"/>
          <w:szCs w:val="24"/>
          <w:lang w:val="fr-FR"/>
        </w:rPr>
        <w:t>产量和优化采购策略、</w:t>
      </w:r>
      <w:r w:rsidR="00685061">
        <w:rPr>
          <w:rFonts w:ascii="Times New Roman" w:eastAsia="楷体" w:hAnsi="Times New Roman" w:hint="eastAsia"/>
          <w:color w:val="5B9BD5" w:themeColor="accent1"/>
          <w:sz w:val="24"/>
          <w:szCs w:val="24"/>
          <w:lang w:val="fr-FR"/>
        </w:rPr>
        <w:t>积极主动的</w:t>
      </w:r>
      <w:r w:rsidR="005E347E" w:rsidRPr="00D41D87">
        <w:rPr>
          <w:rFonts w:ascii="Times New Roman" w:eastAsia="楷体" w:hAnsi="Times New Roman" w:hint="eastAsia"/>
          <w:color w:val="5B9BD5" w:themeColor="accent1"/>
          <w:sz w:val="24"/>
          <w:szCs w:val="24"/>
        </w:rPr>
        <w:t>特种产品价格</w:t>
      </w:r>
      <w:r w:rsidR="00685061">
        <w:rPr>
          <w:rFonts w:ascii="Times New Roman" w:eastAsia="楷体" w:hAnsi="Times New Roman" w:hint="eastAsia"/>
          <w:color w:val="5B9BD5" w:themeColor="accent1"/>
          <w:sz w:val="24"/>
          <w:szCs w:val="24"/>
          <w:lang w:val="fr-FR"/>
        </w:rPr>
        <w:t>管理</w:t>
      </w:r>
      <w:r w:rsidR="00FB1A15">
        <w:rPr>
          <w:rFonts w:ascii="Times New Roman" w:eastAsia="楷体" w:hAnsi="Times New Roman" w:hint="eastAsia"/>
          <w:color w:val="5B9BD5" w:themeColor="accent1"/>
          <w:sz w:val="24"/>
          <w:szCs w:val="24"/>
        </w:rPr>
        <w:t>以及</w:t>
      </w:r>
      <w:r w:rsidR="008075ED" w:rsidRPr="008075ED">
        <w:rPr>
          <w:rFonts w:ascii="Times New Roman" w:eastAsia="楷体" w:hAnsi="Times New Roman" w:hint="eastAsia"/>
          <w:color w:val="5B9BD5" w:themeColor="accent1"/>
          <w:sz w:val="24"/>
          <w:szCs w:val="24"/>
        </w:rPr>
        <w:t>继续高效开展运营效率提升计划</w:t>
      </w:r>
      <w:r w:rsidR="0016320B">
        <w:rPr>
          <w:rFonts w:ascii="Times New Roman" w:eastAsia="楷体" w:hAnsi="Times New Roman" w:hint="eastAsia"/>
          <w:color w:val="5B9BD5" w:themeColor="accent1"/>
          <w:sz w:val="24"/>
          <w:szCs w:val="24"/>
        </w:rPr>
        <w:t>(</w:t>
      </w:r>
      <w:r w:rsidR="008075ED" w:rsidRPr="008075ED">
        <w:rPr>
          <w:rFonts w:ascii="Times New Roman" w:eastAsia="楷体" w:hAnsi="Times New Roman" w:hint="eastAsia"/>
          <w:color w:val="5B9BD5" w:themeColor="accent1"/>
          <w:sz w:val="24"/>
          <w:szCs w:val="24"/>
        </w:rPr>
        <w:t>尤其是针对运营表现仍有提升空间</w:t>
      </w:r>
      <w:r w:rsidR="00294ACF">
        <w:rPr>
          <w:rFonts w:ascii="Times New Roman" w:eastAsia="楷体" w:hAnsi="Times New Roman" w:hint="eastAsia"/>
          <w:color w:val="5B9BD5" w:themeColor="accent1"/>
          <w:sz w:val="24"/>
          <w:szCs w:val="24"/>
        </w:rPr>
        <w:t>的</w:t>
      </w:r>
      <w:r w:rsidR="008075ED" w:rsidRPr="008075ED">
        <w:rPr>
          <w:rFonts w:ascii="Times New Roman" w:eastAsia="楷体" w:hAnsi="Times New Roman" w:hint="eastAsia"/>
          <w:color w:val="5B9BD5" w:themeColor="accent1"/>
          <w:sz w:val="24"/>
          <w:szCs w:val="24"/>
        </w:rPr>
        <w:t>业务</w:t>
      </w:r>
      <w:r w:rsidR="0016320B">
        <w:rPr>
          <w:rFonts w:ascii="Times New Roman" w:eastAsia="楷体" w:hAnsi="Times New Roman" w:hint="eastAsia"/>
          <w:color w:val="5B9BD5" w:themeColor="accent1"/>
          <w:sz w:val="24"/>
          <w:szCs w:val="24"/>
        </w:rPr>
        <w:t>)</w:t>
      </w:r>
      <w:r w:rsidR="008075ED">
        <w:rPr>
          <w:rFonts w:ascii="Times New Roman" w:eastAsia="楷体" w:hAnsi="Times New Roman" w:hint="eastAsia"/>
          <w:color w:val="5B9BD5" w:themeColor="accent1"/>
          <w:sz w:val="24"/>
          <w:szCs w:val="24"/>
        </w:rPr>
        <w:t>等综合</w:t>
      </w:r>
      <w:r w:rsidR="005E347E" w:rsidRPr="00D41D87">
        <w:rPr>
          <w:rFonts w:ascii="Times New Roman" w:eastAsia="楷体" w:hAnsi="Times New Roman" w:hint="eastAsia"/>
          <w:color w:val="5B9BD5" w:themeColor="accent1"/>
          <w:sz w:val="24"/>
          <w:szCs w:val="24"/>
        </w:rPr>
        <w:t>管理</w:t>
      </w:r>
      <w:r w:rsidR="00294ACF">
        <w:rPr>
          <w:rFonts w:ascii="Times New Roman" w:eastAsia="楷体" w:hAnsi="Times New Roman" w:hint="eastAsia"/>
          <w:color w:val="5B9BD5" w:themeColor="accent1"/>
          <w:sz w:val="24"/>
          <w:szCs w:val="24"/>
        </w:rPr>
        <w:t>手段</w:t>
      </w:r>
      <w:r w:rsidR="005E347E" w:rsidRPr="00D41D87">
        <w:rPr>
          <w:rFonts w:ascii="Times New Roman" w:eastAsia="楷体" w:hAnsi="Times New Roman" w:hint="eastAsia"/>
          <w:color w:val="5B9BD5" w:themeColor="accent1"/>
          <w:sz w:val="24"/>
          <w:szCs w:val="24"/>
        </w:rPr>
        <w:t>来提升</w:t>
      </w:r>
      <w:r w:rsidR="005E347E" w:rsidRPr="00D41D87">
        <w:rPr>
          <w:rFonts w:ascii="Times New Roman" w:eastAsia="楷体" w:hAnsi="Times New Roman"/>
          <w:color w:val="5B9BD5" w:themeColor="accent1"/>
          <w:sz w:val="24"/>
          <w:szCs w:val="24"/>
        </w:rPr>
        <w:t>Adisseo</w:t>
      </w:r>
      <w:r w:rsidR="005E347E" w:rsidRPr="00D41D87">
        <w:rPr>
          <w:rFonts w:ascii="Times New Roman" w:eastAsia="楷体" w:hAnsi="Times New Roman" w:hint="eastAsia"/>
          <w:color w:val="5B9BD5" w:themeColor="accent1"/>
          <w:sz w:val="24"/>
          <w:szCs w:val="24"/>
        </w:rPr>
        <w:t xml:space="preserve"> </w:t>
      </w:r>
      <w:r w:rsidR="005E347E" w:rsidRPr="00D41D87">
        <w:rPr>
          <w:rFonts w:ascii="Times New Roman" w:eastAsia="楷体" w:hAnsi="Times New Roman"/>
          <w:color w:val="5B9BD5" w:themeColor="accent1"/>
          <w:sz w:val="24"/>
          <w:szCs w:val="24"/>
        </w:rPr>
        <w:t>France SAS</w:t>
      </w:r>
      <w:r w:rsidR="005E347E" w:rsidRPr="00D41D87">
        <w:rPr>
          <w:rFonts w:ascii="Times New Roman" w:eastAsia="楷体" w:hAnsi="Times New Roman" w:hint="eastAsia"/>
          <w:color w:val="5B9BD5" w:themeColor="accent1"/>
          <w:sz w:val="24"/>
          <w:szCs w:val="24"/>
        </w:rPr>
        <w:t>的整体盈利能力。</w:t>
      </w:r>
    </w:p>
    <w:p w14:paraId="02DA0D19" w14:textId="77777777" w:rsidR="00C65F24" w:rsidRPr="00D41D87" w:rsidRDefault="00C65F24" w:rsidP="00C65F24">
      <w:pPr>
        <w:pStyle w:val="a8"/>
        <w:spacing w:line="278" w:lineRule="auto"/>
        <w:ind w:left="800" w:firstLineChars="0" w:firstLine="0"/>
        <w:contextualSpacing/>
        <w:rPr>
          <w:rFonts w:ascii="Times New Roman" w:eastAsia="楷体" w:hAnsi="Times New Roman"/>
          <w:color w:val="5B9BD5" w:themeColor="accent1"/>
          <w:sz w:val="24"/>
          <w:szCs w:val="24"/>
        </w:rPr>
      </w:pPr>
    </w:p>
    <w:p w14:paraId="0B4D72E0" w14:textId="688C83DA" w:rsidR="00231422" w:rsidRPr="00BB7989" w:rsidRDefault="00231422" w:rsidP="00BB7989">
      <w:pPr>
        <w:pStyle w:val="a8"/>
        <w:numPr>
          <w:ilvl w:val="3"/>
          <w:numId w:val="1"/>
        </w:numPr>
        <w:ind w:left="434" w:firstLineChars="0"/>
        <w:rPr>
          <w:rFonts w:ascii="Times New Roman" w:eastAsia="楷体" w:hAnsi="Times New Roman"/>
          <w:sz w:val="24"/>
          <w:szCs w:val="24"/>
        </w:rPr>
      </w:pPr>
      <w:r w:rsidRPr="00BB7989">
        <w:rPr>
          <w:rFonts w:ascii="Times New Roman" w:eastAsia="楷体" w:hAnsi="Times New Roman" w:hint="eastAsia"/>
          <w:sz w:val="24"/>
          <w:szCs w:val="24"/>
        </w:rPr>
        <w:t>与目前市场中生产蛋氨酸的竞争对手相比，安迪苏的竞争优势是什么？</w:t>
      </w:r>
    </w:p>
    <w:p w14:paraId="18312183" w14:textId="77777777" w:rsidR="0044328B" w:rsidRDefault="00056292" w:rsidP="0044328B">
      <w:pPr>
        <w:pStyle w:val="a8"/>
        <w:numPr>
          <w:ilvl w:val="0"/>
          <w:numId w:val="9"/>
        </w:numPr>
        <w:spacing w:line="278" w:lineRule="auto"/>
        <w:ind w:firstLineChars="0"/>
        <w:rPr>
          <w:rFonts w:ascii="Times New Roman" w:eastAsia="楷体" w:hAnsi="Times New Roman"/>
          <w:color w:val="5B9BD5" w:themeColor="accent1"/>
          <w:sz w:val="24"/>
          <w:szCs w:val="24"/>
        </w:rPr>
      </w:pPr>
      <w:r w:rsidRPr="0044328B">
        <w:rPr>
          <w:rFonts w:ascii="Times New Roman" w:eastAsia="楷体" w:hAnsi="Times New Roman" w:hint="eastAsia"/>
          <w:color w:val="5B9BD5" w:themeColor="accent1"/>
          <w:sz w:val="24"/>
          <w:szCs w:val="24"/>
        </w:rPr>
        <w:t>长期来看，具备国际化供应链布局、全球化销售网络及多元化产品结构的企业将占据优势。安迪苏凭借</w:t>
      </w:r>
      <w:proofErr w:type="gramStart"/>
      <w:r w:rsidRPr="0044328B">
        <w:rPr>
          <w:rFonts w:ascii="Times New Roman" w:eastAsia="楷体" w:hAnsi="Times New Roman" w:hint="eastAsia"/>
          <w:color w:val="5B9BD5" w:themeColor="accent1"/>
          <w:sz w:val="24"/>
          <w:szCs w:val="24"/>
        </w:rPr>
        <w:t>中欧双</w:t>
      </w:r>
      <w:proofErr w:type="gramEnd"/>
      <w:r w:rsidRPr="0044328B">
        <w:rPr>
          <w:rFonts w:ascii="Times New Roman" w:eastAsia="楷体" w:hAnsi="Times New Roman" w:hint="eastAsia"/>
          <w:color w:val="5B9BD5" w:themeColor="accent1"/>
          <w:sz w:val="24"/>
          <w:szCs w:val="24"/>
        </w:rPr>
        <w:t>平台生产布局、国际化销售网络以及全品类供应（安迪苏是目前全球为数不多可以同时生产固体和液体蛋氨酸的生产商之一）的优势，通过全球产业链布局抵御风险，依托覆盖多区域的销售和服务网络抢占市场，同时拥有领先的液体蛋氨酸技术及成本竞争力，预计液体蛋氨</w:t>
      </w:r>
      <w:proofErr w:type="gramStart"/>
      <w:r w:rsidRPr="0044328B">
        <w:rPr>
          <w:rFonts w:ascii="Times New Roman" w:eastAsia="楷体" w:hAnsi="Times New Roman" w:hint="eastAsia"/>
          <w:color w:val="5B9BD5" w:themeColor="accent1"/>
          <w:sz w:val="24"/>
          <w:szCs w:val="24"/>
        </w:rPr>
        <w:t>酸产品</w:t>
      </w:r>
      <w:proofErr w:type="gramEnd"/>
      <w:r w:rsidRPr="0044328B">
        <w:rPr>
          <w:rFonts w:ascii="Times New Roman" w:eastAsia="楷体" w:hAnsi="Times New Roman" w:hint="eastAsia"/>
          <w:color w:val="5B9BD5" w:themeColor="accent1"/>
          <w:sz w:val="24"/>
          <w:szCs w:val="24"/>
        </w:rPr>
        <w:t>市场渗透率将持续提升。</w:t>
      </w:r>
    </w:p>
    <w:p w14:paraId="60946944" w14:textId="48AC61CF" w:rsidR="00056292" w:rsidRPr="0044328B" w:rsidRDefault="00056292" w:rsidP="0044328B">
      <w:pPr>
        <w:pStyle w:val="a8"/>
        <w:numPr>
          <w:ilvl w:val="0"/>
          <w:numId w:val="9"/>
        </w:numPr>
        <w:spacing w:line="278" w:lineRule="auto"/>
        <w:ind w:firstLineChars="0"/>
        <w:rPr>
          <w:rFonts w:ascii="Times New Roman" w:eastAsia="楷体" w:hAnsi="Times New Roman"/>
          <w:color w:val="5B9BD5" w:themeColor="accent1"/>
          <w:sz w:val="24"/>
          <w:szCs w:val="24"/>
        </w:rPr>
      </w:pPr>
      <w:r w:rsidRPr="0044328B">
        <w:rPr>
          <w:rFonts w:ascii="Times New Roman" w:eastAsia="楷体" w:hAnsi="Times New Roman" w:hint="eastAsia"/>
          <w:color w:val="5B9BD5" w:themeColor="accent1"/>
          <w:sz w:val="24"/>
          <w:szCs w:val="24"/>
        </w:rPr>
        <w:t>中国生产平台</w:t>
      </w:r>
    </w:p>
    <w:p w14:paraId="6221EA13" w14:textId="0D30FA43" w:rsidR="00056292" w:rsidRPr="00056292" w:rsidRDefault="00056292" w:rsidP="00056292">
      <w:pPr>
        <w:pStyle w:val="a8"/>
        <w:numPr>
          <w:ilvl w:val="0"/>
          <w:numId w:val="8"/>
        </w:numPr>
        <w:spacing w:line="278" w:lineRule="auto"/>
        <w:ind w:firstLineChars="0"/>
        <w:contextualSpacing/>
        <w:rPr>
          <w:rFonts w:ascii="Times New Roman" w:eastAsia="楷体" w:hAnsi="Times New Roman"/>
          <w:color w:val="5B9BD5" w:themeColor="accent1"/>
          <w:sz w:val="24"/>
          <w:szCs w:val="24"/>
        </w:rPr>
      </w:pPr>
      <w:r w:rsidRPr="00056292">
        <w:rPr>
          <w:rFonts w:ascii="Times New Roman" w:eastAsia="楷体" w:hAnsi="Times New Roman" w:hint="eastAsia"/>
          <w:color w:val="5B9BD5" w:themeColor="accent1"/>
          <w:sz w:val="24"/>
          <w:szCs w:val="24"/>
        </w:rPr>
        <w:t>南京液体蛋氨酸工厂：凭借全流程一体化的生产工艺、世界级的生产水平，南京工厂已成为世界上最大、技术最先进、最具竞争力的液态蛋氨酸生产平台之一。在充分发挥一体化生产平台优势的基础上，通过持续研发投入而实现生产工艺的优化，以及通过不断扩大投资和脱瓶颈提升产能，南京工厂持续不断提升成本竞争优势，有效地抓住了中国蛋氨</w:t>
      </w:r>
      <w:proofErr w:type="gramStart"/>
      <w:r w:rsidRPr="00056292">
        <w:rPr>
          <w:rFonts w:ascii="Times New Roman" w:eastAsia="楷体" w:hAnsi="Times New Roman" w:hint="eastAsia"/>
          <w:color w:val="5B9BD5" w:themeColor="accent1"/>
          <w:sz w:val="24"/>
          <w:szCs w:val="24"/>
        </w:rPr>
        <w:t>酸市场</w:t>
      </w:r>
      <w:proofErr w:type="gramEnd"/>
      <w:r w:rsidRPr="00056292">
        <w:rPr>
          <w:rFonts w:ascii="Times New Roman" w:eastAsia="楷体" w:hAnsi="Times New Roman" w:hint="eastAsia"/>
          <w:color w:val="5B9BD5" w:themeColor="accent1"/>
          <w:sz w:val="24"/>
          <w:szCs w:val="24"/>
        </w:rPr>
        <w:t>需求的高速增长机遇，快速应对市场变化，从而进一步增强了安迪苏的竞争实力和市场领先地位。</w:t>
      </w:r>
      <w:r w:rsidRPr="00056292">
        <w:rPr>
          <w:rFonts w:ascii="Times New Roman" w:eastAsia="楷体" w:hAnsi="Times New Roman" w:hint="eastAsia"/>
          <w:color w:val="5B9BD5" w:themeColor="accent1"/>
          <w:sz w:val="24"/>
          <w:szCs w:val="24"/>
        </w:rPr>
        <w:t>2025</w:t>
      </w:r>
      <w:r w:rsidRPr="00056292">
        <w:rPr>
          <w:rFonts w:ascii="Times New Roman" w:eastAsia="楷体" w:hAnsi="Times New Roman" w:hint="eastAsia"/>
          <w:color w:val="5B9BD5" w:themeColor="accent1"/>
          <w:sz w:val="24"/>
          <w:szCs w:val="24"/>
        </w:rPr>
        <w:t>年，南京工厂在产量、安全表现和成本竞争力方面再创新高。</w:t>
      </w:r>
    </w:p>
    <w:p w14:paraId="4A1DB80A" w14:textId="42AF5D2F" w:rsidR="00056292" w:rsidRPr="00056292" w:rsidRDefault="00056292" w:rsidP="00056292">
      <w:pPr>
        <w:pStyle w:val="a8"/>
        <w:numPr>
          <w:ilvl w:val="0"/>
          <w:numId w:val="8"/>
        </w:numPr>
        <w:spacing w:line="278" w:lineRule="auto"/>
        <w:ind w:firstLineChars="0"/>
        <w:contextualSpacing/>
        <w:rPr>
          <w:rFonts w:ascii="Times New Roman" w:eastAsia="楷体" w:hAnsi="Times New Roman"/>
          <w:color w:val="5B9BD5" w:themeColor="accent1"/>
          <w:sz w:val="24"/>
          <w:szCs w:val="24"/>
        </w:rPr>
      </w:pPr>
      <w:r w:rsidRPr="00056292">
        <w:rPr>
          <w:rFonts w:ascii="Times New Roman" w:eastAsia="楷体" w:hAnsi="Times New Roman" w:hint="eastAsia"/>
          <w:color w:val="5B9BD5" w:themeColor="accent1"/>
          <w:sz w:val="24"/>
          <w:szCs w:val="24"/>
        </w:rPr>
        <w:t>泉州固体蛋氨酸工厂：福建泉州年产</w:t>
      </w:r>
      <w:r w:rsidRPr="00056292">
        <w:rPr>
          <w:rFonts w:ascii="Times New Roman" w:eastAsia="楷体" w:hAnsi="Times New Roman" w:hint="eastAsia"/>
          <w:color w:val="5B9BD5" w:themeColor="accent1"/>
          <w:sz w:val="24"/>
          <w:szCs w:val="24"/>
        </w:rPr>
        <w:t>15</w:t>
      </w:r>
      <w:r w:rsidRPr="00056292">
        <w:rPr>
          <w:rFonts w:ascii="Times New Roman" w:eastAsia="楷体" w:hAnsi="Times New Roman" w:hint="eastAsia"/>
          <w:color w:val="5B9BD5" w:themeColor="accent1"/>
          <w:sz w:val="24"/>
          <w:szCs w:val="24"/>
        </w:rPr>
        <w:t>万吨固体蛋氨</w:t>
      </w:r>
      <w:proofErr w:type="gramStart"/>
      <w:r w:rsidRPr="00056292">
        <w:rPr>
          <w:rFonts w:ascii="Times New Roman" w:eastAsia="楷体" w:hAnsi="Times New Roman" w:hint="eastAsia"/>
          <w:color w:val="5B9BD5" w:themeColor="accent1"/>
          <w:sz w:val="24"/>
          <w:szCs w:val="24"/>
        </w:rPr>
        <w:t>酸工厂</w:t>
      </w:r>
      <w:proofErr w:type="gramEnd"/>
      <w:r w:rsidRPr="00056292">
        <w:rPr>
          <w:rFonts w:ascii="Times New Roman" w:eastAsia="楷体" w:hAnsi="Times New Roman" w:hint="eastAsia"/>
          <w:color w:val="5B9BD5" w:themeColor="accent1"/>
          <w:sz w:val="24"/>
          <w:szCs w:val="24"/>
        </w:rPr>
        <w:t>以及配套的硫酸生产装置项目已完成超过</w:t>
      </w:r>
      <w:r w:rsidRPr="00056292">
        <w:rPr>
          <w:rFonts w:ascii="Times New Roman" w:eastAsia="楷体" w:hAnsi="Times New Roman" w:hint="eastAsia"/>
          <w:color w:val="5B9BD5" w:themeColor="accent1"/>
          <w:sz w:val="24"/>
          <w:szCs w:val="24"/>
        </w:rPr>
        <w:t>80%</w:t>
      </w:r>
      <w:r w:rsidRPr="00056292">
        <w:rPr>
          <w:rFonts w:ascii="Times New Roman" w:eastAsia="楷体" w:hAnsi="Times New Roman" w:hint="eastAsia"/>
          <w:color w:val="5B9BD5" w:themeColor="accent1"/>
          <w:sz w:val="24"/>
          <w:szCs w:val="24"/>
        </w:rPr>
        <w:t>的施工建设，预计将于</w:t>
      </w:r>
      <w:r w:rsidRPr="00056292">
        <w:rPr>
          <w:rFonts w:ascii="Times New Roman" w:eastAsia="楷体" w:hAnsi="Times New Roman" w:hint="eastAsia"/>
          <w:color w:val="5B9BD5" w:themeColor="accent1"/>
          <w:sz w:val="24"/>
          <w:szCs w:val="24"/>
        </w:rPr>
        <w:t>2026</w:t>
      </w:r>
      <w:r w:rsidRPr="00056292">
        <w:rPr>
          <w:rFonts w:ascii="Times New Roman" w:eastAsia="楷体" w:hAnsi="Times New Roman" w:hint="eastAsia"/>
          <w:color w:val="5B9BD5" w:themeColor="accent1"/>
          <w:sz w:val="24"/>
          <w:szCs w:val="24"/>
        </w:rPr>
        <w:t>年年</w:t>
      </w:r>
      <w:proofErr w:type="gramStart"/>
      <w:r w:rsidRPr="00056292">
        <w:rPr>
          <w:rFonts w:ascii="Times New Roman" w:eastAsia="楷体" w:hAnsi="Times New Roman" w:hint="eastAsia"/>
          <w:color w:val="5B9BD5" w:themeColor="accent1"/>
          <w:sz w:val="24"/>
          <w:szCs w:val="24"/>
        </w:rPr>
        <w:t>底启动</w:t>
      </w:r>
      <w:proofErr w:type="gramEnd"/>
      <w:r w:rsidRPr="00056292">
        <w:rPr>
          <w:rFonts w:ascii="Times New Roman" w:eastAsia="楷体" w:hAnsi="Times New Roman" w:hint="eastAsia"/>
          <w:color w:val="5B9BD5" w:themeColor="accent1"/>
          <w:sz w:val="24"/>
          <w:szCs w:val="24"/>
        </w:rPr>
        <w:t>试运行。新的固体蛋氨</w:t>
      </w:r>
      <w:proofErr w:type="gramStart"/>
      <w:r w:rsidRPr="00056292">
        <w:rPr>
          <w:rFonts w:ascii="Times New Roman" w:eastAsia="楷体" w:hAnsi="Times New Roman" w:hint="eastAsia"/>
          <w:color w:val="5B9BD5" w:themeColor="accent1"/>
          <w:sz w:val="24"/>
          <w:szCs w:val="24"/>
        </w:rPr>
        <w:t>酸工厂</w:t>
      </w:r>
      <w:proofErr w:type="gramEnd"/>
      <w:r w:rsidRPr="00056292">
        <w:rPr>
          <w:rFonts w:ascii="Times New Roman" w:eastAsia="楷体" w:hAnsi="Times New Roman" w:hint="eastAsia"/>
          <w:color w:val="5B9BD5" w:themeColor="accent1"/>
          <w:sz w:val="24"/>
          <w:szCs w:val="24"/>
        </w:rPr>
        <w:t>将应用新的技术，以确保其卓越的制造能力，加之毗邻中化泉州石化有限公司，该项目将充分利用中国中化内部协同资源，进一步提升成本竞争能力。</w:t>
      </w:r>
    </w:p>
    <w:p w14:paraId="712A2901" w14:textId="77777777" w:rsidR="00056292" w:rsidRPr="00056292" w:rsidRDefault="00056292" w:rsidP="00056292">
      <w:pPr>
        <w:pStyle w:val="a8"/>
        <w:numPr>
          <w:ilvl w:val="0"/>
          <w:numId w:val="6"/>
        </w:numPr>
        <w:spacing w:line="278" w:lineRule="auto"/>
        <w:ind w:firstLineChars="0"/>
        <w:contextualSpacing/>
        <w:rPr>
          <w:rFonts w:ascii="Times New Roman" w:eastAsia="楷体" w:hAnsi="Times New Roman"/>
          <w:color w:val="5B9BD5" w:themeColor="accent1"/>
          <w:sz w:val="24"/>
          <w:szCs w:val="24"/>
        </w:rPr>
      </w:pPr>
      <w:r w:rsidRPr="00056292">
        <w:rPr>
          <w:rFonts w:ascii="Times New Roman" w:eastAsia="楷体" w:hAnsi="Times New Roman" w:hint="eastAsia"/>
          <w:color w:val="5B9BD5" w:themeColor="accent1"/>
          <w:sz w:val="24"/>
          <w:szCs w:val="24"/>
        </w:rPr>
        <w:t>欧洲生产平台</w:t>
      </w:r>
    </w:p>
    <w:p w14:paraId="7973EF3D" w14:textId="77777777" w:rsidR="00056292" w:rsidRPr="00056292" w:rsidRDefault="00056292" w:rsidP="00056292">
      <w:pPr>
        <w:pStyle w:val="a8"/>
        <w:spacing w:line="278" w:lineRule="auto"/>
        <w:ind w:left="800" w:firstLineChars="0" w:firstLine="0"/>
        <w:contextualSpacing/>
        <w:rPr>
          <w:rFonts w:ascii="Times New Roman" w:eastAsia="楷体" w:hAnsi="Times New Roman"/>
          <w:color w:val="5B9BD5" w:themeColor="accent1"/>
          <w:sz w:val="24"/>
          <w:szCs w:val="24"/>
        </w:rPr>
      </w:pPr>
      <w:r w:rsidRPr="00056292">
        <w:rPr>
          <w:rFonts w:ascii="Times New Roman" w:eastAsia="楷体" w:hAnsi="Times New Roman" w:hint="eastAsia"/>
          <w:color w:val="5B9BD5" w:themeColor="accent1"/>
          <w:sz w:val="24"/>
          <w:szCs w:val="24"/>
        </w:rPr>
        <w:t>为了增加在欧洲西班牙地区的液体蛋氨酸产量，公司</w:t>
      </w:r>
      <w:r w:rsidRPr="00056292">
        <w:rPr>
          <w:rFonts w:ascii="Times New Roman" w:eastAsia="楷体" w:hAnsi="Times New Roman" w:hint="eastAsia"/>
          <w:color w:val="5B9BD5" w:themeColor="accent1"/>
          <w:sz w:val="24"/>
          <w:szCs w:val="24"/>
        </w:rPr>
        <w:t>2025</w:t>
      </w:r>
      <w:r w:rsidRPr="00056292">
        <w:rPr>
          <w:rFonts w:ascii="Times New Roman" w:eastAsia="楷体" w:hAnsi="Times New Roman" w:hint="eastAsia"/>
          <w:color w:val="5B9BD5" w:themeColor="accent1"/>
          <w:sz w:val="24"/>
          <w:szCs w:val="24"/>
        </w:rPr>
        <w:t>年实施了脱瓶颈扩能项目（</w:t>
      </w:r>
      <w:r w:rsidRPr="00056292">
        <w:rPr>
          <w:rFonts w:ascii="Times New Roman" w:eastAsia="楷体" w:hAnsi="Times New Roman" w:hint="eastAsia"/>
          <w:color w:val="5B9BD5" w:themeColor="accent1"/>
          <w:sz w:val="24"/>
          <w:szCs w:val="24"/>
        </w:rPr>
        <w:t>4</w:t>
      </w:r>
      <w:r w:rsidRPr="00056292">
        <w:rPr>
          <w:rFonts w:ascii="Times New Roman" w:eastAsia="楷体" w:hAnsi="Times New Roman" w:hint="eastAsia"/>
          <w:color w:val="5B9BD5" w:themeColor="accent1"/>
          <w:sz w:val="24"/>
          <w:szCs w:val="24"/>
        </w:rPr>
        <w:t>万吨</w:t>
      </w:r>
      <w:r w:rsidRPr="00056292">
        <w:rPr>
          <w:rFonts w:ascii="Times New Roman" w:eastAsia="楷体" w:hAnsi="Times New Roman" w:hint="eastAsia"/>
          <w:color w:val="5B9BD5" w:themeColor="accent1"/>
          <w:sz w:val="24"/>
          <w:szCs w:val="24"/>
        </w:rPr>
        <w:t>/</w:t>
      </w:r>
      <w:r w:rsidRPr="00056292">
        <w:rPr>
          <w:rFonts w:ascii="Times New Roman" w:eastAsia="楷体" w:hAnsi="Times New Roman" w:hint="eastAsia"/>
          <w:color w:val="5B9BD5" w:themeColor="accent1"/>
          <w:sz w:val="24"/>
          <w:szCs w:val="24"/>
        </w:rPr>
        <w:t>年的额外产能），该项目目前已具备满负荷生产能力，使安迪苏能够应对不断增长的市场，并进一步提高竞争力。</w:t>
      </w:r>
    </w:p>
    <w:p w14:paraId="6FADFC4E" w14:textId="77777777" w:rsidR="00056292" w:rsidRPr="00056292" w:rsidRDefault="00056292" w:rsidP="00056292">
      <w:pPr>
        <w:pStyle w:val="a8"/>
        <w:numPr>
          <w:ilvl w:val="0"/>
          <w:numId w:val="6"/>
        </w:numPr>
        <w:spacing w:line="278" w:lineRule="auto"/>
        <w:ind w:firstLineChars="0"/>
        <w:contextualSpacing/>
        <w:rPr>
          <w:rFonts w:ascii="Times New Roman" w:eastAsia="楷体" w:hAnsi="Times New Roman"/>
          <w:color w:val="5B9BD5" w:themeColor="accent1"/>
          <w:sz w:val="24"/>
          <w:szCs w:val="24"/>
        </w:rPr>
      </w:pPr>
      <w:r w:rsidRPr="00056292">
        <w:rPr>
          <w:rFonts w:ascii="Times New Roman" w:eastAsia="楷体" w:hAnsi="Times New Roman" w:hint="eastAsia"/>
          <w:color w:val="5B9BD5" w:themeColor="accent1"/>
          <w:sz w:val="24"/>
          <w:szCs w:val="24"/>
        </w:rPr>
        <w:t>除了不断强化国际化产业布局、增强技术优势和成本优势之外，公司还</w:t>
      </w:r>
      <w:r w:rsidRPr="00056292">
        <w:rPr>
          <w:rFonts w:ascii="Times New Roman" w:eastAsia="楷体" w:hAnsi="Times New Roman" w:hint="eastAsia"/>
          <w:color w:val="5B9BD5" w:themeColor="accent1"/>
          <w:sz w:val="24"/>
          <w:szCs w:val="24"/>
        </w:rPr>
        <w:lastRenderedPageBreak/>
        <w:t>提供各类优质的技术服务不断提升客户粘性。安迪苏是唯一能够为客户提供高质量喷涂装置的液体蛋氨</w:t>
      </w:r>
      <w:proofErr w:type="gramStart"/>
      <w:r w:rsidRPr="00056292">
        <w:rPr>
          <w:rFonts w:ascii="Times New Roman" w:eastAsia="楷体" w:hAnsi="Times New Roman" w:hint="eastAsia"/>
          <w:color w:val="5B9BD5" w:themeColor="accent1"/>
          <w:sz w:val="24"/>
          <w:szCs w:val="24"/>
        </w:rPr>
        <w:t>酸供应</w:t>
      </w:r>
      <w:proofErr w:type="gramEnd"/>
      <w:r w:rsidRPr="00056292">
        <w:rPr>
          <w:rFonts w:ascii="Times New Roman" w:eastAsia="楷体" w:hAnsi="Times New Roman" w:hint="eastAsia"/>
          <w:color w:val="5B9BD5" w:themeColor="accent1"/>
          <w:sz w:val="24"/>
          <w:szCs w:val="24"/>
        </w:rPr>
        <w:t>商，并将持续推进优质的客户服务。基于公司</w:t>
      </w:r>
      <w:r w:rsidRPr="00056292">
        <w:rPr>
          <w:rFonts w:ascii="Times New Roman" w:eastAsia="楷体" w:hAnsi="Times New Roman" w:hint="eastAsia"/>
          <w:color w:val="5B9BD5" w:themeColor="accent1"/>
          <w:sz w:val="24"/>
          <w:szCs w:val="24"/>
        </w:rPr>
        <w:t>85</w:t>
      </w:r>
      <w:r w:rsidRPr="00056292">
        <w:rPr>
          <w:rFonts w:ascii="Times New Roman" w:eastAsia="楷体" w:hAnsi="Times New Roman" w:hint="eastAsia"/>
          <w:color w:val="5B9BD5" w:themeColor="accent1"/>
          <w:sz w:val="24"/>
          <w:szCs w:val="24"/>
        </w:rPr>
        <w:t>年以上的动物营养领域的经验，除喷涂装置外，我们还向客户提供</w:t>
      </w:r>
      <w:r w:rsidRPr="00056292">
        <w:rPr>
          <w:rFonts w:ascii="Times New Roman" w:eastAsia="楷体" w:hAnsi="Times New Roman" w:hint="eastAsia"/>
          <w:color w:val="5B9BD5" w:themeColor="accent1"/>
          <w:sz w:val="24"/>
          <w:szCs w:val="24"/>
        </w:rPr>
        <w:t>PNE</w:t>
      </w:r>
      <w:r w:rsidRPr="00056292">
        <w:rPr>
          <w:rFonts w:ascii="Times New Roman" w:eastAsia="楷体" w:hAnsi="Times New Roman" w:hint="eastAsia"/>
          <w:color w:val="5B9BD5" w:themeColor="accent1"/>
          <w:sz w:val="24"/>
          <w:szCs w:val="24"/>
        </w:rPr>
        <w:t>（精准营养分析系统）、</w:t>
      </w:r>
      <w:proofErr w:type="spellStart"/>
      <w:r w:rsidRPr="00056292">
        <w:rPr>
          <w:rFonts w:ascii="Times New Roman" w:eastAsia="楷体" w:hAnsi="Times New Roman" w:hint="eastAsia"/>
          <w:color w:val="5B9BD5" w:themeColor="accent1"/>
          <w:sz w:val="24"/>
          <w:szCs w:val="24"/>
        </w:rPr>
        <w:t>Adilab</w:t>
      </w:r>
      <w:proofErr w:type="spellEnd"/>
      <w:r w:rsidRPr="00056292">
        <w:rPr>
          <w:rFonts w:ascii="Times New Roman" w:eastAsia="楷体" w:hAnsi="Times New Roman" w:hint="eastAsia"/>
          <w:color w:val="5B9BD5" w:themeColor="accent1"/>
          <w:sz w:val="24"/>
          <w:szCs w:val="24"/>
        </w:rPr>
        <w:t>（在线实验分析服务）、</w:t>
      </w:r>
      <w:r w:rsidRPr="00056292">
        <w:rPr>
          <w:rFonts w:ascii="Times New Roman" w:eastAsia="楷体" w:hAnsi="Times New Roman" w:hint="eastAsia"/>
          <w:color w:val="5B9BD5" w:themeColor="accent1"/>
          <w:sz w:val="24"/>
          <w:szCs w:val="24"/>
        </w:rPr>
        <w:t>Nestor</w:t>
      </w:r>
      <w:r w:rsidRPr="00056292">
        <w:rPr>
          <w:rFonts w:ascii="Times New Roman" w:eastAsia="楷体" w:hAnsi="Times New Roman" w:hint="eastAsia"/>
          <w:color w:val="5B9BD5" w:themeColor="accent1"/>
          <w:sz w:val="24"/>
          <w:szCs w:val="24"/>
        </w:rPr>
        <w:t>（饲料配方优化建议系统）、低蛋白日粮技术的具体应用等服务。公司一直致力于开发并向客户提供专业解决方案，以帮助客户提高生产效率、控制生产成本。</w:t>
      </w:r>
    </w:p>
    <w:p w14:paraId="00DED78D" w14:textId="6C6C879B" w:rsidR="00056292" w:rsidRPr="0044328B" w:rsidRDefault="00056292" w:rsidP="0044328B">
      <w:pPr>
        <w:pStyle w:val="a8"/>
        <w:numPr>
          <w:ilvl w:val="0"/>
          <w:numId w:val="6"/>
        </w:numPr>
        <w:spacing w:line="278" w:lineRule="auto"/>
        <w:ind w:firstLineChars="0"/>
        <w:contextualSpacing/>
        <w:rPr>
          <w:rFonts w:ascii="Times New Roman" w:eastAsia="楷体" w:hAnsi="Times New Roman"/>
          <w:color w:val="5B9BD5" w:themeColor="accent1"/>
          <w:sz w:val="24"/>
          <w:szCs w:val="24"/>
        </w:rPr>
      </w:pPr>
      <w:r w:rsidRPr="00056292">
        <w:rPr>
          <w:rFonts w:ascii="Times New Roman" w:eastAsia="楷体" w:hAnsi="Times New Roman" w:hint="eastAsia"/>
          <w:color w:val="5B9BD5" w:themeColor="accent1"/>
          <w:sz w:val="24"/>
          <w:szCs w:val="24"/>
        </w:rPr>
        <w:t>因此，公司对在</w:t>
      </w:r>
      <w:proofErr w:type="gramStart"/>
      <w:r w:rsidRPr="00056292">
        <w:rPr>
          <w:rFonts w:ascii="Times New Roman" w:eastAsia="楷体" w:hAnsi="Times New Roman" w:hint="eastAsia"/>
          <w:color w:val="5B9BD5" w:themeColor="accent1"/>
          <w:sz w:val="24"/>
          <w:szCs w:val="24"/>
        </w:rPr>
        <w:t>未来蛋氨酸市场</w:t>
      </w:r>
      <w:proofErr w:type="gramEnd"/>
      <w:r w:rsidRPr="00056292">
        <w:rPr>
          <w:rFonts w:ascii="Times New Roman" w:eastAsia="楷体" w:hAnsi="Times New Roman" w:hint="eastAsia"/>
          <w:color w:val="5B9BD5" w:themeColor="accent1"/>
          <w:sz w:val="24"/>
          <w:szCs w:val="24"/>
        </w:rPr>
        <w:t>竞争格局中持续占据有利地位充满信心。</w:t>
      </w:r>
    </w:p>
    <w:p w14:paraId="1F637798" w14:textId="77777777" w:rsidR="009F6893" w:rsidRPr="009B1161" w:rsidRDefault="009F6893" w:rsidP="009F6893">
      <w:pPr>
        <w:pStyle w:val="a8"/>
        <w:ind w:left="800"/>
        <w:rPr>
          <w:highlight w:val="yellow"/>
        </w:rPr>
      </w:pPr>
    </w:p>
    <w:p w14:paraId="1C8C8C20" w14:textId="571D5271" w:rsidR="009F6893" w:rsidRPr="00BB7989" w:rsidRDefault="0044328B" w:rsidP="00BB7989">
      <w:pPr>
        <w:pStyle w:val="a8"/>
        <w:numPr>
          <w:ilvl w:val="3"/>
          <w:numId w:val="1"/>
        </w:numPr>
        <w:ind w:left="434" w:firstLineChars="0"/>
        <w:rPr>
          <w:rFonts w:ascii="Times New Roman" w:eastAsia="楷体" w:hAnsi="Times New Roman"/>
          <w:sz w:val="24"/>
          <w:szCs w:val="24"/>
        </w:rPr>
      </w:pPr>
      <w:r w:rsidRPr="00BB7989">
        <w:rPr>
          <w:rFonts w:ascii="Times New Roman" w:eastAsia="楷体" w:hAnsi="Times New Roman" w:hint="eastAsia"/>
          <w:sz w:val="24"/>
          <w:szCs w:val="24"/>
        </w:rPr>
        <w:t>不考虑中东局势的影响，</w:t>
      </w:r>
      <w:proofErr w:type="gramStart"/>
      <w:r w:rsidRPr="00BB7989">
        <w:rPr>
          <w:rFonts w:ascii="Times New Roman" w:eastAsia="楷体" w:hAnsi="Times New Roman" w:hint="eastAsia"/>
          <w:sz w:val="24"/>
          <w:szCs w:val="24"/>
        </w:rPr>
        <w:t>未来</w:t>
      </w:r>
      <w:r w:rsidR="00923C14" w:rsidRPr="00BB7989">
        <w:rPr>
          <w:rFonts w:ascii="Times New Roman" w:eastAsia="楷体" w:hAnsi="Times New Roman" w:hint="eastAsia"/>
          <w:sz w:val="24"/>
          <w:szCs w:val="24"/>
        </w:rPr>
        <w:t>蛋</w:t>
      </w:r>
      <w:proofErr w:type="gramEnd"/>
      <w:r w:rsidR="00923C14" w:rsidRPr="00BB7989">
        <w:rPr>
          <w:rFonts w:ascii="Times New Roman" w:eastAsia="楷体" w:hAnsi="Times New Roman" w:hint="eastAsia"/>
          <w:sz w:val="24"/>
          <w:szCs w:val="24"/>
        </w:rPr>
        <w:t>氨酸的</w:t>
      </w:r>
      <w:r w:rsidRPr="00BB7989">
        <w:rPr>
          <w:rFonts w:ascii="Times New Roman" w:eastAsia="楷体" w:hAnsi="Times New Roman" w:hint="eastAsia"/>
          <w:sz w:val="24"/>
          <w:szCs w:val="24"/>
        </w:rPr>
        <w:t>价格趋势</w:t>
      </w:r>
      <w:r w:rsidR="00923C14" w:rsidRPr="00BB7989">
        <w:rPr>
          <w:rFonts w:ascii="Times New Roman" w:eastAsia="楷体" w:hAnsi="Times New Roman" w:hint="eastAsia"/>
          <w:sz w:val="24"/>
          <w:szCs w:val="24"/>
        </w:rPr>
        <w:t>？</w:t>
      </w:r>
    </w:p>
    <w:p w14:paraId="693DFCF5" w14:textId="6998455C" w:rsidR="007E53EF" w:rsidRPr="00D41D87" w:rsidRDefault="00923C14" w:rsidP="00D41D87">
      <w:pPr>
        <w:pStyle w:val="a8"/>
        <w:numPr>
          <w:ilvl w:val="0"/>
          <w:numId w:val="6"/>
        </w:numPr>
        <w:spacing w:line="278" w:lineRule="auto"/>
        <w:ind w:left="799" w:firstLineChars="0"/>
        <w:rPr>
          <w:rFonts w:ascii="Times New Roman" w:eastAsia="楷体" w:hAnsi="Times New Roman"/>
          <w:color w:val="5B9BD5" w:themeColor="accent1"/>
          <w:sz w:val="24"/>
        </w:rPr>
      </w:pPr>
      <w:r w:rsidRPr="00D41D87">
        <w:rPr>
          <w:rFonts w:ascii="Times New Roman" w:eastAsia="楷体" w:hAnsi="Times New Roman" w:hint="eastAsia"/>
          <w:color w:val="5B9BD5" w:themeColor="accent1"/>
          <w:sz w:val="24"/>
        </w:rPr>
        <w:t>不考虑中东局势的影响，需求端方面，作为大宗饲料添加剂，蛋</w:t>
      </w:r>
      <w:proofErr w:type="gramStart"/>
      <w:r w:rsidRPr="00D41D87">
        <w:rPr>
          <w:rFonts w:ascii="Times New Roman" w:eastAsia="楷体" w:hAnsi="Times New Roman" w:hint="eastAsia"/>
          <w:color w:val="5B9BD5" w:themeColor="accent1"/>
          <w:sz w:val="24"/>
        </w:rPr>
        <w:t>氨酸超</w:t>
      </w:r>
      <w:proofErr w:type="gramEnd"/>
      <w:r w:rsidRPr="00D41D87">
        <w:rPr>
          <w:rFonts w:ascii="Times New Roman" w:eastAsia="楷体" w:hAnsi="Times New Roman" w:hint="eastAsia"/>
          <w:color w:val="5B9BD5" w:themeColor="accent1"/>
          <w:sz w:val="24"/>
        </w:rPr>
        <w:t>60%</w:t>
      </w:r>
      <w:r w:rsidRPr="00D41D87">
        <w:rPr>
          <w:rFonts w:ascii="Times New Roman" w:eastAsia="楷体" w:hAnsi="Times New Roman" w:hint="eastAsia"/>
          <w:color w:val="5B9BD5" w:themeColor="accent1"/>
          <w:sz w:val="24"/>
        </w:rPr>
        <w:t>应用场景聚焦禽料领域，受益于禽类产品</w:t>
      </w:r>
      <w:r w:rsidR="000F2919">
        <w:rPr>
          <w:rFonts w:ascii="Times New Roman" w:eastAsia="楷体" w:hAnsi="Times New Roman" w:hint="eastAsia"/>
          <w:color w:val="5B9BD5" w:themeColor="accent1"/>
          <w:sz w:val="24"/>
        </w:rPr>
        <w:t>持续增长的</w:t>
      </w:r>
      <w:r w:rsidRPr="00D41D87">
        <w:rPr>
          <w:rFonts w:ascii="Times New Roman" w:eastAsia="楷体" w:hAnsi="Times New Roman" w:hint="eastAsia"/>
          <w:color w:val="5B9BD5" w:themeColor="accent1"/>
          <w:sz w:val="24"/>
        </w:rPr>
        <w:t>消费需求及饲料</w:t>
      </w:r>
      <w:r w:rsidR="000F2919">
        <w:rPr>
          <w:rFonts w:ascii="Times New Roman" w:eastAsia="楷体" w:hAnsi="Times New Roman" w:hint="eastAsia"/>
          <w:color w:val="5B9BD5" w:themeColor="accent1"/>
          <w:sz w:val="24"/>
        </w:rPr>
        <w:t>生产工业化水平不断提升</w:t>
      </w:r>
      <w:r w:rsidRPr="00D41D87">
        <w:rPr>
          <w:rFonts w:ascii="Times New Roman" w:eastAsia="楷体" w:hAnsi="Times New Roman" w:hint="eastAsia"/>
          <w:color w:val="5B9BD5" w:themeColor="accent1"/>
          <w:sz w:val="24"/>
        </w:rPr>
        <w:t>的双重支撑，行业年需求增速稳定在</w:t>
      </w:r>
      <w:r w:rsidRPr="00D41D87">
        <w:rPr>
          <w:rFonts w:ascii="Times New Roman" w:eastAsia="楷体" w:hAnsi="Times New Roman" w:hint="eastAsia"/>
          <w:color w:val="5B9BD5" w:themeColor="accent1"/>
          <w:sz w:val="24"/>
        </w:rPr>
        <w:t>4-5%</w:t>
      </w:r>
      <w:r w:rsidRPr="00D41D87">
        <w:rPr>
          <w:rFonts w:ascii="Times New Roman" w:eastAsia="楷体" w:hAnsi="Times New Roman" w:hint="eastAsia"/>
          <w:color w:val="5B9BD5" w:themeColor="accent1"/>
          <w:sz w:val="24"/>
        </w:rPr>
        <w:t>区间，构成价格中枢上移的核心动力。</w:t>
      </w:r>
      <w:r w:rsidRPr="00D41D87">
        <w:rPr>
          <w:rFonts w:ascii="Times New Roman" w:eastAsia="楷体" w:hAnsi="Times New Roman"/>
          <w:color w:val="5B9BD5" w:themeColor="accent1"/>
          <w:sz w:val="24"/>
          <w:szCs w:val="24"/>
        </w:rPr>
        <w:t>供给端来看，</w:t>
      </w:r>
      <w:r w:rsidRPr="00D41D87">
        <w:rPr>
          <w:rFonts w:ascii="Times New Roman" w:eastAsia="楷体" w:hAnsi="Times New Roman"/>
          <w:color w:val="5B9BD5" w:themeColor="accent1"/>
          <w:sz w:val="24"/>
          <w:szCs w:val="24"/>
        </w:rPr>
        <w:t>2026</w:t>
      </w:r>
      <w:r w:rsidRPr="00D41D87">
        <w:rPr>
          <w:rFonts w:ascii="Times New Roman" w:eastAsia="楷体" w:hAnsi="Times New Roman"/>
          <w:color w:val="5B9BD5" w:themeColor="accent1"/>
          <w:sz w:val="24"/>
          <w:szCs w:val="24"/>
        </w:rPr>
        <w:t>年已确定的新增产能有限，中长期来看，新增产能将逐渐被市场消化，供需再平衡机制逐步形成</w:t>
      </w:r>
      <w:r w:rsidRPr="00D41D87">
        <w:rPr>
          <w:rFonts w:ascii="Times New Roman" w:eastAsia="楷体" w:hAnsi="Times New Roman" w:hint="eastAsia"/>
          <w:color w:val="5B9BD5" w:themeColor="accent1"/>
          <w:sz w:val="24"/>
          <w:szCs w:val="24"/>
        </w:rPr>
        <w:t>。</w:t>
      </w:r>
      <w:r w:rsidRPr="00D41D87">
        <w:rPr>
          <w:rFonts w:ascii="Times New Roman" w:eastAsia="楷体" w:hAnsi="Times New Roman"/>
          <w:color w:val="5B9BD5" w:themeColor="accent1"/>
          <w:sz w:val="24"/>
          <w:szCs w:val="24"/>
        </w:rPr>
        <w:t>总体而言，市场需求的增长逐步消化已进入或即将进入市场的新增产能，市场仍将呈现市场韧性。</w:t>
      </w:r>
    </w:p>
    <w:p w14:paraId="0620D491" w14:textId="77777777" w:rsidR="00D41D87" w:rsidRPr="00D41D87" w:rsidRDefault="00D41D87" w:rsidP="00D41D87">
      <w:pPr>
        <w:pStyle w:val="a8"/>
        <w:spacing w:line="278" w:lineRule="auto"/>
        <w:ind w:left="799" w:firstLineChars="0" w:firstLine="0"/>
        <w:rPr>
          <w:rFonts w:ascii="Times New Roman" w:eastAsia="楷体" w:hAnsi="Times New Roman"/>
          <w:color w:val="5B9BD5" w:themeColor="accent1"/>
          <w:sz w:val="24"/>
        </w:rPr>
      </w:pPr>
    </w:p>
    <w:p w14:paraId="656FA3CB" w14:textId="6DE77328" w:rsidR="009F6893" w:rsidRPr="00BB7989" w:rsidRDefault="007E53EF" w:rsidP="00BB7989">
      <w:pPr>
        <w:pStyle w:val="a8"/>
        <w:numPr>
          <w:ilvl w:val="3"/>
          <w:numId w:val="1"/>
        </w:numPr>
        <w:ind w:left="434" w:firstLineChars="0"/>
        <w:rPr>
          <w:rFonts w:ascii="Times New Roman" w:eastAsia="楷体" w:hAnsi="Times New Roman"/>
          <w:sz w:val="24"/>
          <w:szCs w:val="24"/>
        </w:rPr>
      </w:pPr>
      <w:r w:rsidRPr="00BB7989">
        <w:rPr>
          <w:rFonts w:ascii="Times New Roman" w:eastAsia="楷体" w:hAnsi="Times New Roman" w:hint="eastAsia"/>
          <w:sz w:val="24"/>
          <w:szCs w:val="24"/>
        </w:rPr>
        <w:t>公司认为本轮宏观局势回转后，蛋氨酸的竞争格局将会如何调整</w:t>
      </w:r>
      <w:r w:rsidR="009F6893" w:rsidRPr="00BB7989">
        <w:rPr>
          <w:rFonts w:ascii="Times New Roman" w:eastAsia="楷体" w:hAnsi="Times New Roman" w:hint="eastAsia"/>
          <w:sz w:val="24"/>
          <w:szCs w:val="24"/>
        </w:rPr>
        <w:t>？</w:t>
      </w:r>
      <w:r w:rsidR="009F6893" w:rsidRPr="00BB7989">
        <w:rPr>
          <w:rFonts w:ascii="Times New Roman" w:eastAsia="楷体" w:hAnsi="Times New Roman" w:hint="eastAsia"/>
          <w:sz w:val="24"/>
          <w:szCs w:val="24"/>
        </w:rPr>
        <w:t xml:space="preserve"> </w:t>
      </w:r>
    </w:p>
    <w:p w14:paraId="563208DA" w14:textId="156299C7" w:rsidR="009F6893" w:rsidRPr="00D41D87" w:rsidRDefault="00C65F24" w:rsidP="00C65F24">
      <w:pPr>
        <w:pStyle w:val="a8"/>
        <w:numPr>
          <w:ilvl w:val="0"/>
          <w:numId w:val="6"/>
        </w:numPr>
        <w:spacing w:after="160" w:line="278" w:lineRule="auto"/>
        <w:ind w:firstLineChars="0" w:hanging="394"/>
        <w:contextualSpacing/>
        <w:rPr>
          <w:rFonts w:ascii="Times New Roman" w:eastAsia="楷体" w:hAnsi="Times New Roman"/>
          <w:color w:val="5B9BD5" w:themeColor="accent1"/>
          <w:sz w:val="24"/>
          <w:szCs w:val="24"/>
        </w:rPr>
      </w:pPr>
      <w:r w:rsidRPr="00D41D87">
        <w:rPr>
          <w:rFonts w:ascii="Times New Roman" w:eastAsia="楷体" w:hAnsi="Times New Roman" w:hint="eastAsia"/>
          <w:color w:val="5B9BD5" w:themeColor="accent1"/>
          <w:sz w:val="24"/>
        </w:rPr>
        <w:t>当前地缘冲突</w:t>
      </w:r>
      <w:r w:rsidR="00CB1D6E">
        <w:rPr>
          <w:rFonts w:ascii="Times New Roman" w:eastAsia="楷体" w:hAnsi="Times New Roman" w:hint="eastAsia"/>
          <w:color w:val="5B9BD5" w:themeColor="accent1"/>
          <w:sz w:val="24"/>
        </w:rPr>
        <w:t>由于原材料供应问题，</w:t>
      </w:r>
      <w:r w:rsidRPr="00D41D87">
        <w:rPr>
          <w:rFonts w:ascii="Times New Roman" w:eastAsia="楷体" w:hAnsi="Times New Roman" w:hint="eastAsia"/>
          <w:color w:val="5B9BD5" w:themeColor="accent1"/>
          <w:sz w:val="24"/>
        </w:rPr>
        <w:t>对亚洲</w:t>
      </w:r>
      <w:r w:rsidR="00CB1D6E">
        <w:rPr>
          <w:rFonts w:ascii="Times New Roman" w:eastAsia="楷体" w:hAnsi="Times New Roman" w:hint="eastAsia"/>
          <w:color w:val="5B9BD5" w:themeColor="accent1"/>
          <w:sz w:val="24"/>
        </w:rPr>
        <w:t>生产基地</w:t>
      </w:r>
      <w:r w:rsidRPr="00D41D87">
        <w:rPr>
          <w:rFonts w:ascii="Times New Roman" w:eastAsia="楷体" w:hAnsi="Times New Roman" w:hint="eastAsia"/>
          <w:color w:val="5B9BD5" w:themeColor="accent1"/>
          <w:sz w:val="24"/>
        </w:rPr>
        <w:t>冲击更为显著，而欧洲供应商依托多元化原料渠道及本土化生产布局，其成本韧性与抗风险能力正在增强；各国贸易壁垒升级趋势下，凭借贴近市场的服务网络与政策支持，有望形成更强的本地竞争优势；近几年海外产能收缩与国内企业规模效应凸显的双重压力下，或将推动行业集中度进一步提升。</w:t>
      </w:r>
    </w:p>
    <w:p w14:paraId="60ED0708" w14:textId="77777777" w:rsidR="00C65F24" w:rsidRPr="00C65F24" w:rsidRDefault="00C65F24" w:rsidP="00C65F24">
      <w:pPr>
        <w:pStyle w:val="a8"/>
        <w:spacing w:after="160" w:line="278" w:lineRule="auto"/>
        <w:ind w:left="800" w:firstLineChars="0" w:firstLine="0"/>
        <w:contextualSpacing/>
        <w:rPr>
          <w:rFonts w:ascii="Times New Roman" w:eastAsia="楷体" w:hAnsi="Times New Roman"/>
          <w:color w:val="5B9BD5" w:themeColor="accent1"/>
          <w:sz w:val="24"/>
          <w:szCs w:val="24"/>
          <w:highlight w:val="yellow"/>
        </w:rPr>
      </w:pPr>
    </w:p>
    <w:p w14:paraId="588A7546" w14:textId="4DFECDF7" w:rsidR="009F6893" w:rsidRPr="00BB7989" w:rsidRDefault="00F06FC3" w:rsidP="00BB7989">
      <w:pPr>
        <w:pStyle w:val="a8"/>
        <w:numPr>
          <w:ilvl w:val="3"/>
          <w:numId w:val="1"/>
        </w:numPr>
        <w:spacing w:line="278" w:lineRule="auto"/>
        <w:ind w:left="437" w:firstLineChars="0"/>
        <w:rPr>
          <w:rFonts w:ascii="Times New Roman" w:eastAsia="楷体" w:hAnsi="Times New Roman"/>
          <w:sz w:val="24"/>
          <w:szCs w:val="24"/>
        </w:rPr>
      </w:pPr>
      <w:r w:rsidRPr="00BB7989">
        <w:rPr>
          <w:rFonts w:ascii="Times New Roman" w:eastAsia="楷体" w:hAnsi="Times New Roman" w:hint="eastAsia"/>
          <w:sz w:val="24"/>
          <w:szCs w:val="24"/>
        </w:rPr>
        <w:t>公司通过定向增发方式募集资金</w:t>
      </w:r>
      <w:r w:rsidRPr="00BB7989">
        <w:rPr>
          <w:rFonts w:ascii="Times New Roman" w:eastAsia="楷体" w:hAnsi="Times New Roman" w:hint="eastAsia"/>
          <w:sz w:val="24"/>
          <w:szCs w:val="24"/>
        </w:rPr>
        <w:t>30</w:t>
      </w:r>
      <w:r w:rsidRPr="00BB7989">
        <w:rPr>
          <w:rFonts w:ascii="Times New Roman" w:eastAsia="楷体" w:hAnsi="Times New Roman" w:hint="eastAsia"/>
          <w:sz w:val="24"/>
          <w:szCs w:val="24"/>
        </w:rPr>
        <w:t>亿元，引进</w:t>
      </w:r>
      <w:r w:rsidRPr="00BB7989">
        <w:rPr>
          <w:rFonts w:ascii="Times New Roman" w:eastAsia="楷体" w:hAnsi="Times New Roman" w:hint="eastAsia"/>
          <w:sz w:val="24"/>
          <w:szCs w:val="24"/>
        </w:rPr>
        <w:t>20</w:t>
      </w:r>
      <w:r w:rsidRPr="00BB7989">
        <w:rPr>
          <w:rFonts w:ascii="Times New Roman" w:eastAsia="楷体" w:hAnsi="Times New Roman" w:hint="eastAsia"/>
          <w:sz w:val="24"/>
          <w:szCs w:val="24"/>
        </w:rPr>
        <w:t>家投资者。之前公司公告一直声称，定向增发目的为引进战略投资者，请问公司能够确定他们真的是耐心资本、长期资本吗？如果真是战略投资者，为何</w:t>
      </w:r>
      <w:proofErr w:type="gramStart"/>
      <w:r w:rsidRPr="00BB7989">
        <w:rPr>
          <w:rFonts w:ascii="Times New Roman" w:eastAsia="楷体" w:hAnsi="Times New Roman" w:hint="eastAsia"/>
          <w:sz w:val="24"/>
          <w:szCs w:val="24"/>
        </w:rPr>
        <w:t>锁仓期只有</w:t>
      </w:r>
      <w:proofErr w:type="gramEnd"/>
      <w:r w:rsidRPr="00BB7989">
        <w:rPr>
          <w:rFonts w:ascii="Times New Roman" w:eastAsia="楷体" w:hAnsi="Times New Roman" w:hint="eastAsia"/>
          <w:sz w:val="24"/>
          <w:szCs w:val="24"/>
        </w:rPr>
        <w:t>6</w:t>
      </w:r>
      <w:r w:rsidRPr="00BB7989">
        <w:rPr>
          <w:rFonts w:ascii="Times New Roman" w:eastAsia="楷体" w:hAnsi="Times New Roman" w:hint="eastAsia"/>
          <w:sz w:val="24"/>
          <w:szCs w:val="24"/>
        </w:rPr>
        <w:t>个月而不是</w:t>
      </w:r>
      <w:r w:rsidRPr="00BB7989">
        <w:rPr>
          <w:rFonts w:ascii="Times New Roman" w:eastAsia="楷体" w:hAnsi="Times New Roman" w:hint="eastAsia"/>
          <w:sz w:val="24"/>
          <w:szCs w:val="24"/>
        </w:rPr>
        <w:t>6</w:t>
      </w:r>
      <w:r w:rsidRPr="00BB7989">
        <w:rPr>
          <w:rFonts w:ascii="Times New Roman" w:eastAsia="楷体" w:hAnsi="Times New Roman" w:hint="eastAsia"/>
          <w:sz w:val="24"/>
          <w:szCs w:val="24"/>
        </w:rPr>
        <w:t>年？</w:t>
      </w:r>
    </w:p>
    <w:p w14:paraId="4ABF676A" w14:textId="3CA251F1" w:rsidR="00F06FC3" w:rsidRPr="00F06FC3" w:rsidRDefault="00F06FC3" w:rsidP="00F06FC3">
      <w:pPr>
        <w:pStyle w:val="a8"/>
        <w:numPr>
          <w:ilvl w:val="0"/>
          <w:numId w:val="6"/>
        </w:numPr>
        <w:spacing w:after="160" w:line="278" w:lineRule="auto"/>
        <w:ind w:firstLineChars="0" w:hanging="394"/>
        <w:contextualSpacing/>
        <w:rPr>
          <w:rFonts w:ascii="Times New Roman" w:eastAsia="楷体" w:hAnsi="Times New Roman"/>
          <w:sz w:val="24"/>
          <w:szCs w:val="24"/>
        </w:rPr>
      </w:pPr>
      <w:r w:rsidRPr="00F06FC3">
        <w:rPr>
          <w:rFonts w:ascii="Times New Roman" w:eastAsia="楷体" w:hAnsi="Times New Roman" w:hint="eastAsia"/>
          <w:color w:val="5B9BD5" w:themeColor="accent1"/>
          <w:sz w:val="24"/>
        </w:rPr>
        <w:t>本次定向增发锁定</w:t>
      </w:r>
      <w:proofErr w:type="gramStart"/>
      <w:r w:rsidRPr="00F06FC3">
        <w:rPr>
          <w:rFonts w:ascii="Times New Roman" w:eastAsia="楷体" w:hAnsi="Times New Roman" w:hint="eastAsia"/>
          <w:color w:val="5B9BD5" w:themeColor="accent1"/>
          <w:sz w:val="24"/>
        </w:rPr>
        <w:t>期严格</w:t>
      </w:r>
      <w:proofErr w:type="gramEnd"/>
      <w:r w:rsidRPr="00F06FC3">
        <w:rPr>
          <w:rFonts w:ascii="Times New Roman" w:eastAsia="楷体" w:hAnsi="Times New Roman" w:hint="eastAsia"/>
          <w:color w:val="5B9BD5" w:themeColor="accent1"/>
          <w:sz w:val="24"/>
        </w:rPr>
        <w:t>遵循《上市公司证券发行注册管理办法》的规定，“向特定对象发行的股票，自发行结束之日起六个月内不得转让”，</w:t>
      </w:r>
      <w:r w:rsidRPr="00F06FC3">
        <w:rPr>
          <w:rFonts w:ascii="Times New Roman" w:eastAsia="楷体" w:hAnsi="Times New Roman" w:hint="eastAsia"/>
          <w:color w:val="5B9BD5" w:themeColor="accent1"/>
          <w:sz w:val="24"/>
        </w:rPr>
        <w:t>6</w:t>
      </w:r>
      <w:r w:rsidRPr="00F06FC3">
        <w:rPr>
          <w:rFonts w:ascii="Times New Roman" w:eastAsia="楷体" w:hAnsi="Times New Roman" w:hint="eastAsia"/>
          <w:color w:val="5B9BD5" w:themeColor="accent1"/>
          <w:sz w:val="24"/>
        </w:rPr>
        <w:t>个月</w:t>
      </w:r>
      <w:proofErr w:type="gramStart"/>
      <w:r w:rsidRPr="00F06FC3">
        <w:rPr>
          <w:rFonts w:ascii="Times New Roman" w:eastAsia="楷体" w:hAnsi="Times New Roman" w:hint="eastAsia"/>
          <w:color w:val="5B9BD5" w:themeColor="accent1"/>
          <w:sz w:val="24"/>
        </w:rPr>
        <w:t>锁定期既满足</w:t>
      </w:r>
      <w:proofErr w:type="gramEnd"/>
      <w:r w:rsidRPr="00F06FC3">
        <w:rPr>
          <w:rFonts w:ascii="Times New Roman" w:eastAsia="楷体" w:hAnsi="Times New Roman" w:hint="eastAsia"/>
          <w:color w:val="5B9BD5" w:themeColor="accent1"/>
          <w:sz w:val="24"/>
        </w:rPr>
        <w:t>监管要求，也符合市场和投资人对于流动性的诉求，是保障</w:t>
      </w:r>
      <w:proofErr w:type="gramStart"/>
      <w:r w:rsidRPr="00F06FC3">
        <w:rPr>
          <w:rFonts w:ascii="Times New Roman" w:eastAsia="楷体" w:hAnsi="Times New Roman" w:hint="eastAsia"/>
          <w:color w:val="5B9BD5" w:themeColor="accent1"/>
          <w:sz w:val="24"/>
        </w:rPr>
        <w:t>定增顺利</w:t>
      </w:r>
      <w:proofErr w:type="gramEnd"/>
      <w:r w:rsidRPr="00F06FC3">
        <w:rPr>
          <w:rFonts w:ascii="Times New Roman" w:eastAsia="楷体" w:hAnsi="Times New Roman" w:hint="eastAsia"/>
          <w:color w:val="5B9BD5" w:themeColor="accent1"/>
          <w:sz w:val="24"/>
        </w:rPr>
        <w:t>实施、平衡各方权益的合理安排。公司推进本次定向增发，是基于中长期发展战略、业务拓展需求及资本结构优化的审慎决策。在当前行业竞争加剧、技术升级加速的背景下，企业需通过资本市场支持实现高质量发展。通过本次</w:t>
      </w:r>
      <w:proofErr w:type="gramStart"/>
      <w:r w:rsidRPr="00F06FC3">
        <w:rPr>
          <w:rFonts w:ascii="Times New Roman" w:eastAsia="楷体" w:hAnsi="Times New Roman" w:hint="eastAsia"/>
          <w:color w:val="5B9BD5" w:themeColor="accent1"/>
          <w:sz w:val="24"/>
        </w:rPr>
        <w:t>募投项目</w:t>
      </w:r>
      <w:proofErr w:type="gramEnd"/>
      <w:r w:rsidRPr="00F06FC3">
        <w:rPr>
          <w:rFonts w:ascii="Times New Roman" w:eastAsia="楷体" w:hAnsi="Times New Roman" w:hint="eastAsia"/>
          <w:color w:val="5B9BD5" w:themeColor="accent1"/>
          <w:sz w:val="24"/>
        </w:rPr>
        <w:t>的高质量实施，将进一步提升公司的市场竞争力，有助于公司优化产能布局，提升公司盈利能力并增强可持续发展能力，为公司和股东带来更好的投资回报并促进公司健康发展。同时，本次发行使得公司整体资金实力和偿债能力得到提升，资本</w:t>
      </w:r>
      <w:r w:rsidRPr="00F06FC3">
        <w:rPr>
          <w:rFonts w:ascii="Times New Roman" w:eastAsia="楷体" w:hAnsi="Times New Roman" w:hint="eastAsia"/>
          <w:color w:val="5B9BD5" w:themeColor="accent1"/>
          <w:sz w:val="24"/>
        </w:rPr>
        <w:lastRenderedPageBreak/>
        <w:t>结构得到优化，也为公司后续发展提供有效的保障。后续，公司将持续强化战略落地，推动</w:t>
      </w:r>
      <w:proofErr w:type="gramStart"/>
      <w:r w:rsidRPr="00F06FC3">
        <w:rPr>
          <w:rFonts w:ascii="Times New Roman" w:eastAsia="楷体" w:hAnsi="Times New Roman" w:hint="eastAsia"/>
          <w:color w:val="5B9BD5" w:themeColor="accent1"/>
          <w:sz w:val="24"/>
        </w:rPr>
        <w:t>募投项目</w:t>
      </w:r>
      <w:proofErr w:type="gramEnd"/>
      <w:r w:rsidRPr="00F06FC3">
        <w:rPr>
          <w:rFonts w:ascii="Times New Roman" w:eastAsia="楷体" w:hAnsi="Times New Roman" w:hint="eastAsia"/>
          <w:color w:val="5B9BD5" w:themeColor="accent1"/>
          <w:sz w:val="24"/>
        </w:rPr>
        <w:t>高质量实施，深化与投资者的沟通，以扎实的经营业绩回报股东的信任与支持。</w:t>
      </w:r>
    </w:p>
    <w:p w14:paraId="23094452" w14:textId="77777777" w:rsidR="00F06FC3" w:rsidRPr="00F06FC3" w:rsidRDefault="00F06FC3" w:rsidP="00F06FC3">
      <w:pPr>
        <w:pStyle w:val="a8"/>
        <w:spacing w:after="160" w:line="278" w:lineRule="auto"/>
        <w:ind w:left="800" w:firstLineChars="0" w:firstLine="0"/>
        <w:contextualSpacing/>
        <w:rPr>
          <w:rFonts w:ascii="Times New Roman" w:eastAsia="楷体" w:hAnsi="Times New Roman"/>
          <w:sz w:val="24"/>
          <w:szCs w:val="24"/>
        </w:rPr>
      </w:pPr>
    </w:p>
    <w:p w14:paraId="0B2776CF" w14:textId="3E98C775" w:rsidR="00F06FC3" w:rsidRPr="00BB7989" w:rsidRDefault="00F06FC3" w:rsidP="00BB7989">
      <w:pPr>
        <w:pStyle w:val="a8"/>
        <w:numPr>
          <w:ilvl w:val="3"/>
          <w:numId w:val="1"/>
        </w:numPr>
        <w:spacing w:line="278" w:lineRule="auto"/>
        <w:ind w:left="437" w:firstLineChars="0"/>
        <w:rPr>
          <w:rFonts w:ascii="Times New Roman" w:eastAsia="楷体" w:hAnsi="Times New Roman"/>
          <w:sz w:val="24"/>
          <w:szCs w:val="24"/>
        </w:rPr>
      </w:pPr>
      <w:r w:rsidRPr="00BB7989">
        <w:rPr>
          <w:rFonts w:ascii="Times New Roman" w:eastAsia="楷体" w:hAnsi="Times New Roman" w:hint="eastAsia"/>
          <w:sz w:val="24"/>
          <w:szCs w:val="24"/>
        </w:rPr>
        <w:t>在海洋经济高质量发展背景下，请问公司水产业务如何受益于海洋渔业、深远海养殖、循环水养殖（</w:t>
      </w:r>
      <w:r w:rsidRPr="00BB7989">
        <w:rPr>
          <w:rFonts w:ascii="Times New Roman" w:eastAsia="楷体" w:hAnsi="Times New Roman" w:hint="eastAsia"/>
          <w:sz w:val="24"/>
          <w:szCs w:val="24"/>
        </w:rPr>
        <w:t>RAS</w:t>
      </w:r>
      <w:r w:rsidRPr="00BB7989">
        <w:rPr>
          <w:rFonts w:ascii="Times New Roman" w:eastAsia="楷体" w:hAnsi="Times New Roman" w:hint="eastAsia"/>
          <w:sz w:val="24"/>
          <w:szCs w:val="24"/>
        </w:rPr>
        <w:t>）的政策支持？公司在沿海区域的产能、研发与市场拓展有何规划？</w:t>
      </w:r>
    </w:p>
    <w:p w14:paraId="006E881D" w14:textId="6165FDBE" w:rsidR="0034072E" w:rsidRDefault="0034072E" w:rsidP="00F06FC3">
      <w:pPr>
        <w:pStyle w:val="a8"/>
        <w:numPr>
          <w:ilvl w:val="0"/>
          <w:numId w:val="6"/>
        </w:numPr>
        <w:spacing w:after="160" w:line="278" w:lineRule="auto"/>
        <w:ind w:firstLineChars="0" w:hanging="394"/>
        <w:contextualSpacing/>
        <w:rPr>
          <w:rFonts w:ascii="Times New Roman" w:eastAsia="楷体" w:hAnsi="Times New Roman"/>
          <w:color w:val="5B9BD5" w:themeColor="accent1"/>
          <w:sz w:val="24"/>
        </w:rPr>
      </w:pPr>
      <w:r w:rsidRPr="0034072E">
        <w:rPr>
          <w:rFonts w:ascii="Times New Roman" w:eastAsia="楷体" w:hAnsi="Times New Roman" w:hint="eastAsia"/>
          <w:color w:val="5B9BD5" w:themeColor="accent1"/>
          <w:sz w:val="24"/>
        </w:rPr>
        <w:t>2025</w:t>
      </w:r>
      <w:r w:rsidRPr="0034072E">
        <w:rPr>
          <w:rFonts w:ascii="Times New Roman" w:eastAsia="楷体" w:hAnsi="Times New Roman" w:hint="eastAsia"/>
          <w:color w:val="5B9BD5" w:themeColor="accent1"/>
          <w:sz w:val="24"/>
        </w:rPr>
        <w:t>年，特种产品业务持续推进</w:t>
      </w:r>
      <w:r w:rsidRPr="0034072E">
        <w:rPr>
          <w:rFonts w:ascii="Times New Roman" w:eastAsia="楷体" w:hAnsi="Times New Roman" w:hint="eastAsia"/>
          <w:color w:val="5B9BD5" w:themeColor="accent1"/>
          <w:sz w:val="24"/>
        </w:rPr>
        <w:t xml:space="preserve"> 2024 </w:t>
      </w:r>
      <w:r w:rsidRPr="0034072E">
        <w:rPr>
          <w:rFonts w:ascii="Times New Roman" w:eastAsia="楷体" w:hAnsi="Times New Roman" w:hint="eastAsia"/>
          <w:color w:val="5B9BD5" w:themeColor="accent1"/>
          <w:sz w:val="24"/>
        </w:rPr>
        <w:t>年制定的长期转型计划，旨在未来将销售额翻番，并大幅扩展公司在动物营养与健康市场领域的市场渗透率。因此，我们对特种产品的运营模式进行了重大调整，围绕家禽、猪、反刍动物和水产这四大物种。当前水产业务在特种产品营收中的占比较低，但水产市场增速为增速较高的动物品类，公司正以研发投入、并购整合为关键抓手，全力提速特种产品业务发展步伐。秉承既定投资策略，创新实验室</w:t>
      </w:r>
      <w:r w:rsidRPr="0034072E">
        <w:rPr>
          <w:rFonts w:ascii="Times New Roman" w:eastAsia="楷体" w:hAnsi="Times New Roman" w:hint="eastAsia"/>
          <w:color w:val="5B9BD5" w:themeColor="accent1"/>
          <w:sz w:val="24"/>
        </w:rPr>
        <w:t xml:space="preserve"> </w:t>
      </w:r>
      <w:proofErr w:type="spellStart"/>
      <w:r w:rsidRPr="0034072E">
        <w:rPr>
          <w:rFonts w:ascii="Times New Roman" w:eastAsia="楷体" w:hAnsi="Times New Roman" w:hint="eastAsia"/>
          <w:color w:val="5B9BD5" w:themeColor="accent1"/>
          <w:sz w:val="24"/>
        </w:rPr>
        <w:t>Innov'L@b</w:t>
      </w:r>
      <w:proofErr w:type="spellEnd"/>
      <w:r w:rsidRPr="0034072E">
        <w:rPr>
          <w:rFonts w:ascii="Times New Roman" w:eastAsia="楷体" w:hAnsi="Times New Roman" w:hint="eastAsia"/>
          <w:color w:val="5B9BD5" w:themeColor="accent1"/>
          <w:sz w:val="24"/>
        </w:rPr>
        <w:t>（安迪苏的开放创新组织）通过公司</w:t>
      </w:r>
      <w:r w:rsidRPr="0034072E">
        <w:rPr>
          <w:rFonts w:ascii="Times New Roman" w:eastAsia="楷体" w:hAnsi="Times New Roman" w:hint="eastAsia"/>
          <w:color w:val="5B9BD5" w:themeColor="accent1"/>
          <w:sz w:val="24"/>
        </w:rPr>
        <w:t xml:space="preserve"> AVF</w:t>
      </w:r>
      <w:r w:rsidRPr="0034072E">
        <w:rPr>
          <w:rFonts w:ascii="Times New Roman" w:eastAsia="楷体" w:hAnsi="Times New Roman" w:hint="eastAsia"/>
          <w:color w:val="5B9BD5" w:themeColor="accent1"/>
          <w:sz w:val="24"/>
        </w:rPr>
        <w:t>基金于</w:t>
      </w:r>
      <w:r w:rsidRPr="0034072E">
        <w:rPr>
          <w:rFonts w:ascii="Times New Roman" w:eastAsia="楷体" w:hAnsi="Times New Roman" w:hint="eastAsia"/>
          <w:color w:val="5B9BD5" w:themeColor="accent1"/>
          <w:sz w:val="24"/>
        </w:rPr>
        <w:t xml:space="preserve"> 2025 </w:t>
      </w:r>
      <w:r w:rsidRPr="0034072E">
        <w:rPr>
          <w:rFonts w:ascii="Times New Roman" w:eastAsia="楷体" w:hAnsi="Times New Roman" w:hint="eastAsia"/>
          <w:color w:val="5B9BD5" w:themeColor="accent1"/>
          <w:sz w:val="24"/>
        </w:rPr>
        <w:t>年对其现有投资组合实施追加投资，标的为一家为水产养殖领域开发有益健康肽的初创企业。同时，公司将继续</w:t>
      </w:r>
      <w:r>
        <w:rPr>
          <w:rFonts w:ascii="Times New Roman" w:eastAsia="楷体" w:hAnsi="Times New Roman" w:hint="eastAsia"/>
          <w:color w:val="5B9BD5" w:themeColor="accent1"/>
          <w:sz w:val="24"/>
        </w:rPr>
        <w:t>在</w:t>
      </w:r>
      <w:r w:rsidRPr="0034072E">
        <w:rPr>
          <w:rFonts w:ascii="Times New Roman" w:eastAsia="楷体" w:hAnsi="Times New Roman" w:hint="eastAsia"/>
          <w:color w:val="5B9BD5" w:themeColor="accent1"/>
          <w:sz w:val="24"/>
        </w:rPr>
        <w:t>积极探索替代蛋白领域过程中寻找服务水产市场的机会。后续，公司将持续跟踪海洋经济政策动态，依托并购整合优势，稳步推进产能落地、技术升级与市场拓展，夯实水产业务发展基础，为公司培育新的业绩增长点。</w:t>
      </w:r>
    </w:p>
    <w:p w14:paraId="1D8E6F0F" w14:textId="77777777" w:rsidR="0034072E" w:rsidRPr="00F06FC3" w:rsidRDefault="0034072E" w:rsidP="0034072E">
      <w:pPr>
        <w:pStyle w:val="a8"/>
        <w:spacing w:after="160" w:line="278" w:lineRule="auto"/>
        <w:ind w:left="800" w:firstLineChars="0" w:firstLine="0"/>
        <w:contextualSpacing/>
        <w:rPr>
          <w:rFonts w:ascii="Times New Roman" w:eastAsia="楷体" w:hAnsi="Times New Roman"/>
          <w:color w:val="5B9BD5" w:themeColor="accent1"/>
          <w:sz w:val="24"/>
        </w:rPr>
      </w:pPr>
    </w:p>
    <w:p w14:paraId="413CDF57" w14:textId="4DFE2736" w:rsidR="0034072E" w:rsidRPr="00BB7989" w:rsidRDefault="0034072E" w:rsidP="00BB7989">
      <w:pPr>
        <w:pStyle w:val="a8"/>
        <w:numPr>
          <w:ilvl w:val="3"/>
          <w:numId w:val="1"/>
        </w:numPr>
        <w:spacing w:line="278" w:lineRule="auto"/>
        <w:ind w:left="437" w:firstLineChars="0"/>
        <w:rPr>
          <w:rFonts w:ascii="Times New Roman" w:eastAsia="楷体" w:hAnsi="Times New Roman"/>
          <w:sz w:val="24"/>
          <w:szCs w:val="24"/>
        </w:rPr>
      </w:pPr>
      <w:r w:rsidRPr="00BB7989">
        <w:rPr>
          <w:rFonts w:ascii="Times New Roman" w:eastAsia="楷体" w:hAnsi="Times New Roman"/>
          <w:sz w:val="24"/>
          <w:szCs w:val="24"/>
        </w:rPr>
        <w:t>请问若中东地缘局势持续紧张，对公司主要原材料价格、采购成本、毛利率及净利润可能产生哪些影响？公司有无相应应对措施？</w:t>
      </w:r>
    </w:p>
    <w:p w14:paraId="43050AF0" w14:textId="08A8077D" w:rsidR="006F2A8C" w:rsidRDefault="0034072E" w:rsidP="00277C4E">
      <w:pPr>
        <w:pStyle w:val="a8"/>
        <w:numPr>
          <w:ilvl w:val="0"/>
          <w:numId w:val="6"/>
        </w:numPr>
        <w:spacing w:after="160" w:line="278" w:lineRule="auto"/>
        <w:ind w:firstLineChars="0"/>
        <w:contextualSpacing/>
        <w:rPr>
          <w:rFonts w:ascii="Times New Roman" w:eastAsia="楷体" w:hAnsi="Times New Roman"/>
          <w:color w:val="5B9BD5" w:themeColor="accent1"/>
          <w:sz w:val="24"/>
        </w:rPr>
      </w:pPr>
      <w:r w:rsidRPr="0034072E">
        <w:rPr>
          <w:rFonts w:ascii="Times New Roman" w:eastAsia="楷体" w:hAnsi="Times New Roman" w:hint="eastAsia"/>
          <w:color w:val="5B9BD5" w:themeColor="accent1"/>
          <w:sz w:val="24"/>
        </w:rPr>
        <w:t>蛋氨</w:t>
      </w:r>
      <w:proofErr w:type="gramStart"/>
      <w:r w:rsidRPr="0034072E">
        <w:rPr>
          <w:rFonts w:ascii="Times New Roman" w:eastAsia="楷体" w:hAnsi="Times New Roman" w:hint="eastAsia"/>
          <w:color w:val="5B9BD5" w:themeColor="accent1"/>
          <w:sz w:val="24"/>
        </w:rPr>
        <w:t>酸作为</w:t>
      </w:r>
      <w:proofErr w:type="gramEnd"/>
      <w:r w:rsidRPr="0034072E">
        <w:rPr>
          <w:rFonts w:ascii="Times New Roman" w:eastAsia="楷体" w:hAnsi="Times New Roman" w:hint="eastAsia"/>
          <w:color w:val="5B9BD5" w:themeColor="accent1"/>
          <w:sz w:val="24"/>
        </w:rPr>
        <w:t>大宗商品，其价格受市场供需情况的影响。中东局势直接影响到原材料供应收紧及成本上升，而蛋氨</w:t>
      </w:r>
      <w:proofErr w:type="gramStart"/>
      <w:r w:rsidRPr="0034072E">
        <w:rPr>
          <w:rFonts w:ascii="Times New Roman" w:eastAsia="楷体" w:hAnsi="Times New Roman" w:hint="eastAsia"/>
          <w:color w:val="5B9BD5" w:themeColor="accent1"/>
          <w:sz w:val="24"/>
        </w:rPr>
        <w:t>酸市场</w:t>
      </w:r>
      <w:proofErr w:type="gramEnd"/>
      <w:r w:rsidRPr="0034072E">
        <w:rPr>
          <w:rFonts w:ascii="Times New Roman" w:eastAsia="楷体" w:hAnsi="Times New Roman" w:hint="eastAsia"/>
          <w:color w:val="5B9BD5" w:themeColor="accent1"/>
          <w:sz w:val="24"/>
        </w:rPr>
        <w:t>需求仍然保持强劲，</w:t>
      </w:r>
      <w:r w:rsidR="00EE0C4E">
        <w:rPr>
          <w:rFonts w:ascii="Times New Roman" w:eastAsia="楷体" w:hAnsi="Times New Roman" w:hint="eastAsia"/>
          <w:color w:val="5B9BD5" w:themeColor="accent1"/>
          <w:sz w:val="24"/>
        </w:rPr>
        <w:t>当前</w:t>
      </w:r>
      <w:r w:rsidRPr="0034072E">
        <w:rPr>
          <w:rFonts w:ascii="Times New Roman" w:eastAsia="楷体" w:hAnsi="Times New Roman" w:hint="eastAsia"/>
          <w:color w:val="5B9BD5" w:themeColor="accent1"/>
          <w:sz w:val="24"/>
        </w:rPr>
        <w:t>供需错配下，现货市场价格报价保持上升态势。截至目前，安迪苏作为具备全球供应链布局与成本领先优势的头部企业，依托稳健的产能扩张策略与国际化运营体系，能够灵活调配资源应对地缘政治局势引发的市场波动，持续巩固行业竞争优势地位。后续，公司将持续密切关注中东地缘局势进展，及时评估相关风险，全力落实各项应对措施，尽力保障公司经营业绩的稳定性与可持续性。</w:t>
      </w:r>
    </w:p>
    <w:p w14:paraId="0501584F" w14:textId="77777777" w:rsidR="0034072E" w:rsidRDefault="0034072E" w:rsidP="0034072E">
      <w:pPr>
        <w:pStyle w:val="a8"/>
        <w:spacing w:after="160" w:line="278" w:lineRule="auto"/>
        <w:ind w:left="800" w:firstLineChars="0" w:firstLine="0"/>
        <w:contextualSpacing/>
        <w:rPr>
          <w:rFonts w:ascii="Times New Roman" w:eastAsia="楷体" w:hAnsi="Times New Roman"/>
          <w:color w:val="5B9BD5" w:themeColor="accent1"/>
          <w:sz w:val="24"/>
        </w:rPr>
      </w:pPr>
    </w:p>
    <w:p w14:paraId="3D0E8781" w14:textId="66FF1890" w:rsidR="0034072E" w:rsidRPr="00BB7989" w:rsidRDefault="0034072E" w:rsidP="00BB7989">
      <w:pPr>
        <w:pStyle w:val="a8"/>
        <w:numPr>
          <w:ilvl w:val="3"/>
          <w:numId w:val="1"/>
        </w:numPr>
        <w:spacing w:line="278" w:lineRule="auto"/>
        <w:ind w:left="437" w:firstLineChars="0"/>
        <w:rPr>
          <w:rFonts w:ascii="Times New Roman" w:eastAsia="楷体" w:hAnsi="Times New Roman"/>
          <w:sz w:val="24"/>
          <w:szCs w:val="24"/>
        </w:rPr>
      </w:pPr>
      <w:r w:rsidRPr="00BB7989">
        <w:rPr>
          <w:rFonts w:ascii="Times New Roman" w:eastAsia="楷体" w:hAnsi="Times New Roman"/>
          <w:sz w:val="24"/>
          <w:szCs w:val="24"/>
        </w:rPr>
        <w:t>考虑到第三季度业绩已经包含了关税和原材料成本的影响，请问导致第四季度</w:t>
      </w:r>
      <w:proofErr w:type="gramStart"/>
      <w:r w:rsidRPr="00BB7989">
        <w:rPr>
          <w:rFonts w:ascii="Times New Roman" w:eastAsia="楷体" w:hAnsi="Times New Roman"/>
          <w:sz w:val="24"/>
          <w:szCs w:val="24"/>
        </w:rPr>
        <w:t>利润环</w:t>
      </w:r>
      <w:proofErr w:type="gramEnd"/>
      <w:r w:rsidRPr="00BB7989">
        <w:rPr>
          <w:rFonts w:ascii="Times New Roman" w:eastAsia="楷体" w:hAnsi="Times New Roman"/>
          <w:sz w:val="24"/>
          <w:szCs w:val="24"/>
        </w:rPr>
        <w:t>比进一步波动的主要特定因素是什么</w:t>
      </w:r>
      <w:r w:rsidRPr="00BB7989">
        <w:rPr>
          <w:rFonts w:ascii="Times New Roman" w:eastAsia="楷体" w:hAnsi="Times New Roman"/>
          <w:sz w:val="24"/>
          <w:szCs w:val="24"/>
        </w:rPr>
        <w:t>?</w:t>
      </w:r>
    </w:p>
    <w:p w14:paraId="01D1B211" w14:textId="19C8955A" w:rsidR="0034072E" w:rsidRDefault="0034072E" w:rsidP="0034072E">
      <w:pPr>
        <w:pStyle w:val="a8"/>
        <w:numPr>
          <w:ilvl w:val="0"/>
          <w:numId w:val="6"/>
        </w:numPr>
        <w:spacing w:after="160" w:line="278" w:lineRule="auto"/>
        <w:ind w:firstLineChars="0" w:hanging="394"/>
        <w:contextualSpacing/>
        <w:rPr>
          <w:rFonts w:ascii="Times New Roman" w:eastAsia="楷体" w:hAnsi="Times New Roman"/>
          <w:color w:val="5B9BD5" w:themeColor="accent1"/>
          <w:sz w:val="24"/>
        </w:rPr>
      </w:pPr>
      <w:r w:rsidRPr="0034072E">
        <w:rPr>
          <w:rFonts w:ascii="Times New Roman" w:eastAsia="楷体" w:hAnsi="Times New Roman"/>
          <w:color w:val="5B9BD5" w:themeColor="accent1"/>
          <w:sz w:val="24"/>
        </w:rPr>
        <w:t>公司</w:t>
      </w:r>
      <w:r w:rsidRPr="0034072E">
        <w:rPr>
          <w:rFonts w:ascii="Times New Roman" w:eastAsia="楷体" w:hAnsi="Times New Roman"/>
          <w:color w:val="5B9BD5" w:themeColor="accent1"/>
          <w:sz w:val="24"/>
        </w:rPr>
        <w:t>2025</w:t>
      </w:r>
      <w:r w:rsidRPr="0034072E">
        <w:rPr>
          <w:rFonts w:ascii="Times New Roman" w:eastAsia="楷体" w:hAnsi="Times New Roman"/>
          <w:color w:val="5B9BD5" w:themeColor="accent1"/>
          <w:sz w:val="24"/>
        </w:rPr>
        <w:t>年第四季度经营数据来看，当季</w:t>
      </w:r>
      <w:proofErr w:type="gramStart"/>
      <w:r w:rsidRPr="0034072E">
        <w:rPr>
          <w:rFonts w:ascii="Times New Roman" w:eastAsia="楷体" w:hAnsi="Times New Roman"/>
          <w:color w:val="5B9BD5" w:themeColor="accent1"/>
          <w:sz w:val="24"/>
        </w:rPr>
        <w:t>扣非净</w:t>
      </w:r>
      <w:proofErr w:type="gramEnd"/>
      <w:r w:rsidRPr="0034072E">
        <w:rPr>
          <w:rFonts w:ascii="Times New Roman" w:eastAsia="楷体" w:hAnsi="Times New Roman"/>
          <w:color w:val="5B9BD5" w:themeColor="accent1"/>
          <w:sz w:val="24"/>
        </w:rPr>
        <w:t>利润为</w:t>
      </w:r>
      <w:r w:rsidRPr="0034072E">
        <w:rPr>
          <w:rFonts w:ascii="Times New Roman" w:eastAsia="楷体" w:hAnsi="Times New Roman"/>
          <w:color w:val="5B9BD5" w:themeColor="accent1"/>
          <w:sz w:val="24"/>
        </w:rPr>
        <w:t>2.37</w:t>
      </w:r>
      <w:r w:rsidRPr="0034072E">
        <w:rPr>
          <w:rFonts w:ascii="Times New Roman" w:eastAsia="楷体" w:hAnsi="Times New Roman"/>
          <w:color w:val="5B9BD5" w:themeColor="accent1"/>
          <w:sz w:val="24"/>
        </w:rPr>
        <w:t>亿元，与三季度（</w:t>
      </w:r>
      <w:r w:rsidRPr="0034072E">
        <w:rPr>
          <w:rFonts w:ascii="Times New Roman" w:eastAsia="楷体" w:hAnsi="Times New Roman"/>
          <w:color w:val="5B9BD5" w:themeColor="accent1"/>
          <w:sz w:val="24"/>
        </w:rPr>
        <w:t>2.43</w:t>
      </w:r>
      <w:r w:rsidRPr="0034072E">
        <w:rPr>
          <w:rFonts w:ascii="Times New Roman" w:eastAsia="楷体" w:hAnsi="Times New Roman"/>
          <w:color w:val="5B9BD5" w:themeColor="accent1"/>
          <w:sz w:val="24"/>
        </w:rPr>
        <w:t>亿元）相比波动幅度较小，公司主营业务的盈利韧性依旧稳定。公司</w:t>
      </w:r>
      <w:r w:rsidRPr="0034072E">
        <w:rPr>
          <w:rFonts w:ascii="Times New Roman" w:eastAsia="楷体" w:hAnsi="Times New Roman"/>
          <w:color w:val="5B9BD5" w:themeColor="accent1"/>
          <w:sz w:val="24"/>
        </w:rPr>
        <w:t>2025</w:t>
      </w:r>
      <w:r w:rsidRPr="0034072E">
        <w:rPr>
          <w:rFonts w:ascii="Times New Roman" w:eastAsia="楷体" w:hAnsi="Times New Roman"/>
          <w:color w:val="5B9BD5" w:themeColor="accent1"/>
          <w:sz w:val="24"/>
        </w:rPr>
        <w:t>年第四季度净利润相较于第三季度有所降低，主要由于第四季度主要产品价格下滑以及关税因素以及一次性的减值准备等各类因素共同影响。此类减值计提是基于会计准则对潜在风险的审慎确认，属于一次性非经常性损益，虽短期对净利润形成影响，但实质是为夯实</w:t>
      </w:r>
      <w:r w:rsidRPr="0034072E">
        <w:rPr>
          <w:rFonts w:ascii="Times New Roman" w:eastAsia="楷体" w:hAnsi="Times New Roman"/>
          <w:color w:val="5B9BD5" w:themeColor="accent1"/>
          <w:sz w:val="24"/>
        </w:rPr>
        <w:lastRenderedPageBreak/>
        <w:t>资产质量、排除潜在经营风险，保障公司长期财务健康的必要举措，并非主营业务盈利能力的实质性下滑。后续，公司将继续聚焦主业，深化成本管控与业务拓展，全力保障经营业绩的平稳健康发展。</w:t>
      </w:r>
    </w:p>
    <w:p w14:paraId="7C70A6AB" w14:textId="77777777" w:rsidR="0034072E" w:rsidRPr="0034072E" w:rsidRDefault="0034072E" w:rsidP="0034072E">
      <w:pPr>
        <w:pStyle w:val="a8"/>
        <w:spacing w:after="160" w:line="278" w:lineRule="auto"/>
        <w:ind w:left="800" w:firstLineChars="0" w:firstLine="0"/>
        <w:contextualSpacing/>
        <w:rPr>
          <w:rFonts w:ascii="Times New Roman" w:eastAsia="楷体" w:hAnsi="Times New Roman"/>
          <w:color w:val="5B9BD5" w:themeColor="accent1"/>
          <w:sz w:val="24"/>
        </w:rPr>
      </w:pPr>
    </w:p>
    <w:p w14:paraId="1993D105" w14:textId="6B8D41C2" w:rsidR="0034072E" w:rsidRPr="00BB7989" w:rsidRDefault="0034072E" w:rsidP="00BB7989">
      <w:pPr>
        <w:pStyle w:val="a8"/>
        <w:numPr>
          <w:ilvl w:val="3"/>
          <w:numId w:val="1"/>
        </w:numPr>
        <w:spacing w:line="278" w:lineRule="auto"/>
        <w:ind w:left="437" w:firstLineChars="0"/>
        <w:rPr>
          <w:rFonts w:ascii="Times New Roman" w:eastAsia="楷体" w:hAnsi="Times New Roman"/>
          <w:sz w:val="24"/>
          <w:szCs w:val="24"/>
        </w:rPr>
      </w:pPr>
      <w:r w:rsidRPr="00BB7989">
        <w:rPr>
          <w:rFonts w:ascii="Times New Roman" w:eastAsia="楷体" w:hAnsi="Times New Roman"/>
          <w:sz w:val="24"/>
          <w:szCs w:val="24"/>
        </w:rPr>
        <w:t>目前公司正通过脱瓶颈项目以及新建项目扩张产能，如果价格未出现明显回升，公司如何保障新增产能的</w:t>
      </w:r>
      <w:r w:rsidRPr="00BB7989">
        <w:rPr>
          <w:rFonts w:ascii="Times New Roman" w:eastAsia="楷体" w:hAnsi="Times New Roman"/>
          <w:sz w:val="24"/>
          <w:szCs w:val="24"/>
        </w:rPr>
        <w:t>ROI</w:t>
      </w:r>
      <w:r w:rsidRPr="00BB7989">
        <w:rPr>
          <w:rFonts w:ascii="Times New Roman" w:eastAsia="楷体" w:hAnsi="Times New Roman"/>
          <w:sz w:val="24"/>
          <w:szCs w:val="24"/>
        </w:rPr>
        <w:t>不被显著稀释？近期受到地区局势影响，蛋氨</w:t>
      </w:r>
      <w:proofErr w:type="gramStart"/>
      <w:r w:rsidRPr="00BB7989">
        <w:rPr>
          <w:rFonts w:ascii="Times New Roman" w:eastAsia="楷体" w:hAnsi="Times New Roman"/>
          <w:sz w:val="24"/>
          <w:szCs w:val="24"/>
        </w:rPr>
        <w:t>酸价格</w:t>
      </w:r>
      <w:proofErr w:type="gramEnd"/>
      <w:r w:rsidRPr="00BB7989">
        <w:rPr>
          <w:rFonts w:ascii="Times New Roman" w:eastAsia="楷体" w:hAnsi="Times New Roman"/>
          <w:sz w:val="24"/>
          <w:szCs w:val="24"/>
        </w:rPr>
        <w:t>回弹明显，未来短期内（半年左右）预计市场供需情况如何，价格能否维持在</w:t>
      </w:r>
      <w:r w:rsidRPr="00BB7989">
        <w:rPr>
          <w:rFonts w:ascii="Times New Roman" w:eastAsia="楷体" w:hAnsi="Times New Roman"/>
          <w:sz w:val="24"/>
          <w:szCs w:val="24"/>
        </w:rPr>
        <w:t>19-20</w:t>
      </w:r>
      <w:r w:rsidRPr="00BB7989">
        <w:rPr>
          <w:rFonts w:ascii="Times New Roman" w:eastAsia="楷体" w:hAnsi="Times New Roman"/>
          <w:sz w:val="24"/>
          <w:szCs w:val="24"/>
        </w:rPr>
        <w:t>元</w:t>
      </w:r>
      <w:r w:rsidRPr="00BB7989">
        <w:rPr>
          <w:rFonts w:ascii="Times New Roman" w:eastAsia="楷体" w:hAnsi="Times New Roman"/>
          <w:sz w:val="24"/>
          <w:szCs w:val="24"/>
        </w:rPr>
        <w:t>/kg</w:t>
      </w:r>
      <w:r w:rsidRPr="00BB7989">
        <w:rPr>
          <w:rFonts w:ascii="Times New Roman" w:eastAsia="楷体" w:hAnsi="Times New Roman"/>
          <w:sz w:val="24"/>
          <w:szCs w:val="24"/>
        </w:rPr>
        <w:t>左右？</w:t>
      </w:r>
      <w:r w:rsidRPr="00BB7989">
        <w:rPr>
          <w:rFonts w:ascii="Times New Roman" w:eastAsia="楷体" w:hAnsi="Times New Roman"/>
          <w:sz w:val="24"/>
          <w:szCs w:val="24"/>
        </w:rPr>
        <w:t>2025</w:t>
      </w:r>
      <w:r w:rsidRPr="00BB7989">
        <w:rPr>
          <w:rFonts w:ascii="Times New Roman" w:eastAsia="楷体" w:hAnsi="Times New Roman"/>
          <w:sz w:val="24"/>
          <w:szCs w:val="24"/>
        </w:rPr>
        <w:t>年公司特种产品毛利率出现一定下滑，核心原因是什么？</w:t>
      </w:r>
    </w:p>
    <w:p w14:paraId="550CF153" w14:textId="41C73EE3" w:rsidR="0034072E" w:rsidRDefault="0034072E" w:rsidP="0034072E">
      <w:pPr>
        <w:pStyle w:val="a8"/>
        <w:numPr>
          <w:ilvl w:val="0"/>
          <w:numId w:val="6"/>
        </w:numPr>
        <w:spacing w:after="160" w:line="278" w:lineRule="auto"/>
        <w:ind w:firstLineChars="0" w:hanging="394"/>
        <w:contextualSpacing/>
        <w:rPr>
          <w:rFonts w:ascii="Times New Roman" w:eastAsia="楷体" w:hAnsi="Times New Roman"/>
          <w:color w:val="5B9BD5" w:themeColor="accent1"/>
          <w:sz w:val="24"/>
        </w:rPr>
      </w:pPr>
      <w:r w:rsidRPr="0034072E">
        <w:rPr>
          <w:rFonts w:ascii="Times New Roman" w:eastAsia="楷体" w:hAnsi="Times New Roman"/>
          <w:color w:val="5B9BD5" w:themeColor="accent1"/>
          <w:sz w:val="24"/>
        </w:rPr>
        <w:t>为了增加在欧洲西班牙地区的液体蛋氨酸产量，公司</w:t>
      </w:r>
      <w:r w:rsidRPr="0034072E">
        <w:rPr>
          <w:rFonts w:ascii="Times New Roman" w:eastAsia="楷体" w:hAnsi="Times New Roman"/>
          <w:color w:val="5B9BD5" w:themeColor="accent1"/>
          <w:sz w:val="24"/>
        </w:rPr>
        <w:t>2025</w:t>
      </w:r>
      <w:r w:rsidRPr="0034072E">
        <w:rPr>
          <w:rFonts w:ascii="Times New Roman" w:eastAsia="楷体" w:hAnsi="Times New Roman"/>
          <w:color w:val="5B9BD5" w:themeColor="accent1"/>
          <w:sz w:val="24"/>
        </w:rPr>
        <w:t>年实施了脱瓶颈扩能项目（</w:t>
      </w:r>
      <w:r w:rsidRPr="0034072E">
        <w:rPr>
          <w:rFonts w:ascii="Times New Roman" w:eastAsia="楷体" w:hAnsi="Times New Roman"/>
          <w:color w:val="5B9BD5" w:themeColor="accent1"/>
          <w:sz w:val="24"/>
        </w:rPr>
        <w:t>4</w:t>
      </w:r>
      <w:r w:rsidRPr="0034072E">
        <w:rPr>
          <w:rFonts w:ascii="Times New Roman" w:eastAsia="楷体" w:hAnsi="Times New Roman"/>
          <w:color w:val="5B9BD5" w:themeColor="accent1"/>
          <w:sz w:val="24"/>
        </w:rPr>
        <w:t>万吨</w:t>
      </w:r>
      <w:r w:rsidRPr="0034072E">
        <w:rPr>
          <w:rFonts w:ascii="Times New Roman" w:eastAsia="楷体" w:hAnsi="Times New Roman"/>
          <w:color w:val="5B9BD5" w:themeColor="accent1"/>
          <w:sz w:val="24"/>
        </w:rPr>
        <w:t>/</w:t>
      </w:r>
      <w:r w:rsidRPr="0034072E">
        <w:rPr>
          <w:rFonts w:ascii="Times New Roman" w:eastAsia="楷体" w:hAnsi="Times New Roman"/>
          <w:color w:val="5B9BD5" w:themeColor="accent1"/>
          <w:sz w:val="24"/>
        </w:rPr>
        <w:t>年的额外产能），使安迪苏能够应对不断增长的市场，并进一步提高竞争力。福建泉州年产</w:t>
      </w:r>
      <w:r w:rsidRPr="0034072E">
        <w:rPr>
          <w:rFonts w:ascii="Times New Roman" w:eastAsia="楷体" w:hAnsi="Times New Roman"/>
          <w:color w:val="5B9BD5" w:themeColor="accent1"/>
          <w:sz w:val="24"/>
        </w:rPr>
        <w:t>15</w:t>
      </w:r>
      <w:r w:rsidRPr="0034072E">
        <w:rPr>
          <w:rFonts w:ascii="Times New Roman" w:eastAsia="楷体" w:hAnsi="Times New Roman"/>
          <w:color w:val="5B9BD5" w:themeColor="accent1"/>
          <w:sz w:val="24"/>
        </w:rPr>
        <w:t>万吨固体蛋氨</w:t>
      </w:r>
      <w:proofErr w:type="gramStart"/>
      <w:r w:rsidRPr="0034072E">
        <w:rPr>
          <w:rFonts w:ascii="Times New Roman" w:eastAsia="楷体" w:hAnsi="Times New Roman"/>
          <w:color w:val="5B9BD5" w:themeColor="accent1"/>
          <w:sz w:val="24"/>
        </w:rPr>
        <w:t>酸工厂</w:t>
      </w:r>
      <w:proofErr w:type="gramEnd"/>
      <w:r w:rsidRPr="0034072E">
        <w:rPr>
          <w:rFonts w:ascii="Times New Roman" w:eastAsia="楷体" w:hAnsi="Times New Roman"/>
          <w:color w:val="5B9BD5" w:themeColor="accent1"/>
          <w:sz w:val="24"/>
        </w:rPr>
        <w:t>以及配套的硫酸生产装置项目已完成超过</w:t>
      </w:r>
      <w:r w:rsidRPr="0034072E">
        <w:rPr>
          <w:rFonts w:ascii="Times New Roman" w:eastAsia="楷体" w:hAnsi="Times New Roman"/>
          <w:color w:val="5B9BD5" w:themeColor="accent1"/>
          <w:sz w:val="24"/>
        </w:rPr>
        <w:t>80%</w:t>
      </w:r>
      <w:r w:rsidRPr="0034072E">
        <w:rPr>
          <w:rFonts w:ascii="Times New Roman" w:eastAsia="楷体" w:hAnsi="Times New Roman"/>
          <w:color w:val="5B9BD5" w:themeColor="accent1"/>
          <w:sz w:val="24"/>
        </w:rPr>
        <w:t>的施工建设，预计将于</w:t>
      </w:r>
      <w:r w:rsidRPr="0034072E">
        <w:rPr>
          <w:rFonts w:ascii="Times New Roman" w:eastAsia="楷体" w:hAnsi="Times New Roman"/>
          <w:color w:val="5B9BD5" w:themeColor="accent1"/>
          <w:sz w:val="24"/>
        </w:rPr>
        <w:t>2026</w:t>
      </w:r>
      <w:r w:rsidRPr="0034072E">
        <w:rPr>
          <w:rFonts w:ascii="Times New Roman" w:eastAsia="楷体" w:hAnsi="Times New Roman"/>
          <w:color w:val="5B9BD5" w:themeColor="accent1"/>
          <w:sz w:val="24"/>
        </w:rPr>
        <w:t>年年</w:t>
      </w:r>
      <w:proofErr w:type="gramStart"/>
      <w:r w:rsidRPr="0034072E">
        <w:rPr>
          <w:rFonts w:ascii="Times New Roman" w:eastAsia="楷体" w:hAnsi="Times New Roman"/>
          <w:color w:val="5B9BD5" w:themeColor="accent1"/>
          <w:sz w:val="24"/>
        </w:rPr>
        <w:t>底启动</w:t>
      </w:r>
      <w:proofErr w:type="gramEnd"/>
      <w:r w:rsidRPr="0034072E">
        <w:rPr>
          <w:rFonts w:ascii="Times New Roman" w:eastAsia="楷体" w:hAnsi="Times New Roman"/>
          <w:color w:val="5B9BD5" w:themeColor="accent1"/>
          <w:sz w:val="24"/>
        </w:rPr>
        <w:t>试运行。新的固体蛋氨</w:t>
      </w:r>
      <w:proofErr w:type="gramStart"/>
      <w:r w:rsidRPr="0034072E">
        <w:rPr>
          <w:rFonts w:ascii="Times New Roman" w:eastAsia="楷体" w:hAnsi="Times New Roman"/>
          <w:color w:val="5B9BD5" w:themeColor="accent1"/>
          <w:sz w:val="24"/>
        </w:rPr>
        <w:t>酸工厂</w:t>
      </w:r>
      <w:proofErr w:type="gramEnd"/>
      <w:r w:rsidRPr="0034072E">
        <w:rPr>
          <w:rFonts w:ascii="Times New Roman" w:eastAsia="楷体" w:hAnsi="Times New Roman"/>
          <w:color w:val="5B9BD5" w:themeColor="accent1"/>
          <w:sz w:val="24"/>
        </w:rPr>
        <w:t>将应用新的技术，以确保其卓越的制造能力，加之毗邻中化泉州石化有限公司，该项目将充分利用中国中化内部协同资源，进一步提升成本竞争能力。泉州工厂固体蛋氨</w:t>
      </w:r>
      <w:proofErr w:type="gramStart"/>
      <w:r w:rsidRPr="0034072E">
        <w:rPr>
          <w:rFonts w:ascii="Times New Roman" w:eastAsia="楷体" w:hAnsi="Times New Roman"/>
          <w:color w:val="5B9BD5" w:themeColor="accent1"/>
          <w:sz w:val="24"/>
        </w:rPr>
        <w:t>酸项目</w:t>
      </w:r>
      <w:proofErr w:type="gramEnd"/>
      <w:r w:rsidRPr="0034072E">
        <w:rPr>
          <w:rFonts w:ascii="Times New Roman" w:eastAsia="楷体" w:hAnsi="Times New Roman"/>
          <w:color w:val="5B9BD5" w:themeColor="accent1"/>
          <w:sz w:val="24"/>
        </w:rPr>
        <w:t>和现有工厂相关脱瓶颈项目是实施</w:t>
      </w:r>
      <w:r w:rsidRPr="0034072E">
        <w:rPr>
          <w:rFonts w:ascii="Times New Roman" w:eastAsia="楷体" w:hAnsi="Times New Roman"/>
          <w:color w:val="5B9BD5" w:themeColor="accent1"/>
          <w:sz w:val="24"/>
        </w:rPr>
        <w:t>“</w:t>
      </w:r>
      <w:r w:rsidRPr="0034072E">
        <w:rPr>
          <w:rFonts w:ascii="Times New Roman" w:eastAsia="楷体" w:hAnsi="Times New Roman"/>
          <w:color w:val="5B9BD5" w:themeColor="accent1"/>
          <w:sz w:val="24"/>
        </w:rPr>
        <w:t>双支柱</w:t>
      </w:r>
      <w:r w:rsidRPr="0034072E">
        <w:rPr>
          <w:rFonts w:ascii="Times New Roman" w:eastAsia="楷体" w:hAnsi="Times New Roman"/>
          <w:color w:val="5B9BD5" w:themeColor="accent1"/>
          <w:sz w:val="24"/>
        </w:rPr>
        <w:t>”</w:t>
      </w:r>
      <w:r w:rsidRPr="0034072E">
        <w:rPr>
          <w:rFonts w:ascii="Times New Roman" w:eastAsia="楷体" w:hAnsi="Times New Roman"/>
          <w:color w:val="5B9BD5" w:themeColor="accent1"/>
          <w:sz w:val="24"/>
        </w:rPr>
        <w:t>战略的关键步骤，也是巩固公司在蛋氨</w:t>
      </w:r>
      <w:proofErr w:type="gramStart"/>
      <w:r w:rsidRPr="0034072E">
        <w:rPr>
          <w:rFonts w:ascii="Times New Roman" w:eastAsia="楷体" w:hAnsi="Times New Roman"/>
          <w:color w:val="5B9BD5" w:themeColor="accent1"/>
          <w:sz w:val="24"/>
        </w:rPr>
        <w:t>酸行业</w:t>
      </w:r>
      <w:proofErr w:type="gramEnd"/>
      <w:r w:rsidRPr="0034072E">
        <w:rPr>
          <w:rFonts w:ascii="Times New Roman" w:eastAsia="楷体" w:hAnsi="Times New Roman"/>
          <w:color w:val="5B9BD5" w:themeColor="accent1"/>
          <w:sz w:val="24"/>
        </w:rPr>
        <w:t>领导地位的重要举措。安迪苏拥有超过</w:t>
      </w:r>
      <w:r w:rsidRPr="0034072E">
        <w:rPr>
          <w:rFonts w:ascii="Times New Roman" w:eastAsia="楷体" w:hAnsi="Times New Roman"/>
          <w:color w:val="5B9BD5" w:themeColor="accent1"/>
          <w:sz w:val="24"/>
        </w:rPr>
        <w:t>85</w:t>
      </w:r>
      <w:r w:rsidRPr="0034072E">
        <w:rPr>
          <w:rFonts w:ascii="Times New Roman" w:eastAsia="楷体" w:hAnsi="Times New Roman"/>
          <w:color w:val="5B9BD5" w:themeColor="accent1"/>
          <w:sz w:val="24"/>
        </w:rPr>
        <w:t>年的运营历史，其中经历过历次扩产且经营业绩保持较高的韧性。公司有信心在逐渐扩大市场份额的同时，可以通过主动的价格管理和严格的成本控制，以及充分利用国际化布局和销售市场网络，最大程度的实现资本投入的预期回报水平。</w:t>
      </w:r>
    </w:p>
    <w:p w14:paraId="45D75158" w14:textId="31BE855D" w:rsidR="0034072E" w:rsidRDefault="0034072E" w:rsidP="0034072E">
      <w:pPr>
        <w:pStyle w:val="a8"/>
        <w:numPr>
          <w:ilvl w:val="0"/>
          <w:numId w:val="6"/>
        </w:numPr>
        <w:spacing w:after="160" w:line="278" w:lineRule="auto"/>
        <w:ind w:firstLineChars="0" w:hanging="394"/>
        <w:contextualSpacing/>
        <w:rPr>
          <w:rFonts w:ascii="Times New Roman" w:eastAsia="楷体" w:hAnsi="Times New Roman"/>
          <w:color w:val="5B9BD5" w:themeColor="accent1"/>
          <w:sz w:val="24"/>
        </w:rPr>
      </w:pPr>
      <w:r w:rsidRPr="0034072E">
        <w:rPr>
          <w:rFonts w:ascii="Times New Roman" w:eastAsia="楷体" w:hAnsi="Times New Roman"/>
          <w:color w:val="5B9BD5" w:themeColor="accent1"/>
          <w:sz w:val="24"/>
        </w:rPr>
        <w:t>近期中东地缘局势升级，蛋氨</w:t>
      </w:r>
      <w:proofErr w:type="gramStart"/>
      <w:r w:rsidRPr="0034072E">
        <w:rPr>
          <w:rFonts w:ascii="Times New Roman" w:eastAsia="楷体" w:hAnsi="Times New Roman"/>
          <w:color w:val="5B9BD5" w:themeColor="accent1"/>
          <w:sz w:val="24"/>
        </w:rPr>
        <w:t>酸核心</w:t>
      </w:r>
      <w:proofErr w:type="gramEnd"/>
      <w:r w:rsidRPr="0034072E">
        <w:rPr>
          <w:rFonts w:ascii="Times New Roman" w:eastAsia="楷体" w:hAnsi="Times New Roman"/>
          <w:color w:val="5B9BD5" w:themeColor="accent1"/>
          <w:sz w:val="24"/>
        </w:rPr>
        <w:t>原料成本随之抬升，市场价格出现明显回弹。供应端：地缘冲突影响下，中东局势直接影响到原材料供应及成本，导致部分供应商短期供应收紧；需求端：蛋氨</w:t>
      </w:r>
      <w:proofErr w:type="gramStart"/>
      <w:r w:rsidRPr="0034072E">
        <w:rPr>
          <w:rFonts w:ascii="Times New Roman" w:eastAsia="楷体" w:hAnsi="Times New Roman"/>
          <w:color w:val="5B9BD5" w:themeColor="accent1"/>
          <w:sz w:val="24"/>
        </w:rPr>
        <w:t>酸需求</w:t>
      </w:r>
      <w:proofErr w:type="gramEnd"/>
      <w:r w:rsidRPr="0034072E">
        <w:rPr>
          <w:rFonts w:ascii="Times New Roman" w:eastAsia="楷体" w:hAnsi="Times New Roman"/>
          <w:color w:val="5B9BD5" w:themeColor="accent1"/>
          <w:sz w:val="24"/>
        </w:rPr>
        <w:t>稳中有增，对价格形成一定支撑。</w:t>
      </w:r>
      <w:r w:rsidR="00EE0C4E">
        <w:rPr>
          <w:rFonts w:ascii="Times New Roman" w:eastAsia="楷体" w:hAnsi="Times New Roman" w:hint="eastAsia"/>
          <w:color w:val="5B9BD5" w:themeColor="accent1"/>
          <w:sz w:val="24"/>
        </w:rPr>
        <w:t>当前</w:t>
      </w:r>
      <w:r w:rsidRPr="0034072E">
        <w:rPr>
          <w:rFonts w:ascii="Times New Roman" w:eastAsia="楷体" w:hAnsi="Times New Roman"/>
          <w:color w:val="5B9BD5" w:themeColor="accent1"/>
          <w:sz w:val="24"/>
        </w:rPr>
        <w:t>供需错配下，价格或延续上涨态势。截至目前，安迪苏作为具备全球供应链布局与成本领先优势的头部企业，依托稳健的产能扩张策略与国际化运营体系，能够灵活调配资源应对地缘政治局势引发的市场波动，持续巩固行业竞争优势地位。后续，公司将持续密切关注中东地缘局势进展，及时评估相关风险，全力落实各项应对措施，尽力保障公司经营业绩的稳定性与可持续性。</w:t>
      </w:r>
    </w:p>
    <w:p w14:paraId="50CB5113" w14:textId="750F1C28" w:rsidR="0034072E" w:rsidRDefault="0034072E" w:rsidP="0034072E">
      <w:pPr>
        <w:pStyle w:val="a8"/>
        <w:numPr>
          <w:ilvl w:val="0"/>
          <w:numId w:val="6"/>
        </w:numPr>
        <w:spacing w:after="160" w:line="278" w:lineRule="auto"/>
        <w:ind w:firstLineChars="0" w:hanging="394"/>
        <w:contextualSpacing/>
        <w:rPr>
          <w:rFonts w:ascii="Times New Roman" w:eastAsia="楷体" w:hAnsi="Times New Roman"/>
          <w:color w:val="5B9BD5" w:themeColor="accent1"/>
          <w:sz w:val="24"/>
        </w:rPr>
      </w:pPr>
      <w:r w:rsidRPr="0034072E">
        <w:rPr>
          <w:rFonts w:ascii="Times New Roman" w:eastAsia="楷体" w:hAnsi="Times New Roman"/>
          <w:color w:val="5B9BD5" w:themeColor="accent1"/>
          <w:sz w:val="24"/>
        </w:rPr>
        <w:t>2025</w:t>
      </w:r>
      <w:r w:rsidRPr="0034072E">
        <w:rPr>
          <w:rFonts w:ascii="Times New Roman" w:eastAsia="楷体" w:hAnsi="Times New Roman"/>
          <w:color w:val="5B9BD5" w:themeColor="accent1"/>
          <w:sz w:val="24"/>
        </w:rPr>
        <w:t>年，特种品的业务表现面临若干</w:t>
      </w:r>
      <w:r w:rsidR="009B697E">
        <w:rPr>
          <w:rFonts w:ascii="Times New Roman" w:eastAsia="楷体" w:hAnsi="Times New Roman" w:hint="eastAsia"/>
          <w:color w:val="5B9BD5" w:themeColor="accent1"/>
          <w:sz w:val="24"/>
        </w:rPr>
        <w:t>特殊</w:t>
      </w:r>
      <w:r w:rsidRPr="0034072E">
        <w:rPr>
          <w:rFonts w:ascii="Times New Roman" w:eastAsia="楷体" w:hAnsi="Times New Roman"/>
          <w:color w:val="5B9BD5" w:themeColor="accent1"/>
          <w:sz w:val="24"/>
        </w:rPr>
        <w:t>因素的影响，自</w:t>
      </w:r>
      <w:r w:rsidRPr="0034072E">
        <w:rPr>
          <w:rFonts w:ascii="Times New Roman" w:eastAsia="楷体" w:hAnsi="Times New Roman"/>
          <w:color w:val="5B9BD5" w:themeColor="accent1"/>
          <w:sz w:val="24"/>
        </w:rPr>
        <w:t>2025</w:t>
      </w:r>
      <w:r w:rsidRPr="0034072E">
        <w:rPr>
          <w:rFonts w:ascii="Times New Roman" w:eastAsia="楷体" w:hAnsi="Times New Roman"/>
          <w:color w:val="5B9BD5" w:themeColor="accent1"/>
          <w:sz w:val="24"/>
        </w:rPr>
        <w:t>年</w:t>
      </w:r>
      <w:r w:rsidRPr="0034072E">
        <w:rPr>
          <w:rFonts w:ascii="Times New Roman" w:eastAsia="楷体" w:hAnsi="Times New Roman"/>
          <w:color w:val="5B9BD5" w:themeColor="accent1"/>
          <w:sz w:val="24"/>
        </w:rPr>
        <w:t>7</w:t>
      </w:r>
      <w:r w:rsidRPr="0034072E">
        <w:rPr>
          <w:rFonts w:ascii="Times New Roman" w:eastAsia="楷体" w:hAnsi="Times New Roman"/>
          <w:color w:val="5B9BD5" w:themeColor="accent1"/>
          <w:sz w:val="24"/>
        </w:rPr>
        <w:t>月起生效的美国</w:t>
      </w:r>
      <w:r w:rsidRPr="0034072E">
        <w:rPr>
          <w:rFonts w:ascii="Times New Roman" w:eastAsia="楷体" w:hAnsi="Times New Roman"/>
          <w:color w:val="5B9BD5" w:themeColor="accent1"/>
          <w:sz w:val="24"/>
        </w:rPr>
        <w:t>“</w:t>
      </w:r>
      <w:proofErr w:type="gramStart"/>
      <w:r w:rsidRPr="0034072E">
        <w:rPr>
          <w:rFonts w:ascii="Times New Roman" w:eastAsia="楷体" w:hAnsi="Times New Roman"/>
          <w:color w:val="5B9BD5" w:themeColor="accent1"/>
          <w:sz w:val="24"/>
        </w:rPr>
        <w:t>特朗普</w:t>
      </w:r>
      <w:proofErr w:type="gramEnd"/>
      <w:r w:rsidRPr="0034072E">
        <w:rPr>
          <w:rFonts w:ascii="Times New Roman" w:eastAsia="楷体" w:hAnsi="Times New Roman"/>
          <w:color w:val="5B9BD5" w:themeColor="accent1"/>
          <w:sz w:val="24"/>
        </w:rPr>
        <w:t>关税</w:t>
      </w:r>
      <w:r w:rsidRPr="0034072E">
        <w:rPr>
          <w:rFonts w:ascii="Times New Roman" w:eastAsia="楷体" w:hAnsi="Times New Roman"/>
          <w:color w:val="5B9BD5" w:themeColor="accent1"/>
          <w:sz w:val="24"/>
        </w:rPr>
        <w:t>”</w:t>
      </w:r>
      <w:r w:rsidRPr="0034072E">
        <w:rPr>
          <w:rFonts w:ascii="Times New Roman" w:eastAsia="楷体" w:hAnsi="Times New Roman"/>
          <w:color w:val="5B9BD5" w:themeColor="accent1"/>
          <w:sz w:val="24"/>
        </w:rPr>
        <w:t>政策主要影响了公司的特种产品业务，进而导致第三季度销售成本显著上升。目前，公司已通过在美国市场逐步调整定价策略、优化销量分配以及加强产品组合管理等方式积极应对。</w:t>
      </w:r>
      <w:r w:rsidRPr="0034072E">
        <w:rPr>
          <w:rFonts w:ascii="Times New Roman" w:eastAsia="楷体" w:hAnsi="Times New Roman"/>
          <w:color w:val="5B9BD5" w:themeColor="accent1"/>
          <w:sz w:val="24"/>
        </w:rPr>
        <w:t xml:space="preserve"> </w:t>
      </w:r>
    </w:p>
    <w:p w14:paraId="0D81AAD8" w14:textId="55705074" w:rsidR="0034072E" w:rsidRDefault="0034072E" w:rsidP="0034072E">
      <w:pPr>
        <w:pStyle w:val="a8"/>
        <w:numPr>
          <w:ilvl w:val="0"/>
          <w:numId w:val="6"/>
        </w:numPr>
        <w:spacing w:after="160" w:line="278" w:lineRule="auto"/>
        <w:ind w:firstLineChars="0" w:hanging="394"/>
        <w:contextualSpacing/>
        <w:rPr>
          <w:rFonts w:ascii="Times New Roman" w:eastAsia="楷体" w:hAnsi="Times New Roman"/>
          <w:color w:val="5B9BD5" w:themeColor="accent1"/>
          <w:sz w:val="24"/>
        </w:rPr>
      </w:pPr>
      <w:r w:rsidRPr="0034072E">
        <w:rPr>
          <w:rFonts w:ascii="Times New Roman" w:eastAsia="楷体" w:hAnsi="Times New Roman"/>
          <w:color w:val="5B9BD5" w:themeColor="accent1"/>
          <w:sz w:val="24"/>
        </w:rPr>
        <w:t>后续，公司将密切关注市场变化及中东地缘局势进展，及时评估相关风险，全力落实各项应对措施，同时，持续优化经营策略，全力保障产能效益释放、成本合理管控与盈利水平稳定，切实维护股东利益。</w:t>
      </w:r>
    </w:p>
    <w:p w14:paraId="3E21DE65" w14:textId="77777777" w:rsidR="0034072E" w:rsidRPr="0034072E" w:rsidRDefault="0034072E" w:rsidP="0034072E">
      <w:pPr>
        <w:pStyle w:val="a8"/>
        <w:spacing w:after="160" w:line="278" w:lineRule="auto"/>
        <w:ind w:left="800" w:firstLineChars="0" w:firstLine="0"/>
        <w:contextualSpacing/>
        <w:rPr>
          <w:rFonts w:ascii="Times New Roman" w:eastAsia="楷体" w:hAnsi="Times New Roman"/>
          <w:color w:val="5B9BD5" w:themeColor="accent1"/>
          <w:sz w:val="24"/>
        </w:rPr>
      </w:pPr>
    </w:p>
    <w:p w14:paraId="6C5379C2" w14:textId="7A04234F" w:rsidR="0034072E" w:rsidRPr="00BB7989" w:rsidRDefault="0034072E" w:rsidP="00BB7989">
      <w:pPr>
        <w:pStyle w:val="a8"/>
        <w:numPr>
          <w:ilvl w:val="3"/>
          <w:numId w:val="1"/>
        </w:numPr>
        <w:spacing w:line="278" w:lineRule="auto"/>
        <w:ind w:left="437" w:firstLineChars="0"/>
        <w:rPr>
          <w:rFonts w:ascii="Times New Roman" w:eastAsia="楷体" w:hAnsi="Times New Roman"/>
          <w:sz w:val="24"/>
          <w:szCs w:val="24"/>
        </w:rPr>
      </w:pPr>
      <w:r w:rsidRPr="00BB7989">
        <w:rPr>
          <w:rFonts w:ascii="Times New Roman" w:eastAsia="楷体" w:hAnsi="Times New Roman"/>
          <w:sz w:val="24"/>
          <w:szCs w:val="24"/>
        </w:rPr>
        <w:lastRenderedPageBreak/>
        <w:t>公司在此前交流中提到的向新兴产业拓展、降低对蛋氨酸依赖度的考虑，目前是否有更清晰的战略方向？</w:t>
      </w:r>
    </w:p>
    <w:p w14:paraId="38C5CDEB" w14:textId="375C0F5F" w:rsidR="0034072E" w:rsidRPr="0034072E" w:rsidRDefault="0034072E" w:rsidP="0034072E">
      <w:pPr>
        <w:pStyle w:val="a8"/>
        <w:numPr>
          <w:ilvl w:val="0"/>
          <w:numId w:val="6"/>
        </w:numPr>
        <w:spacing w:line="278" w:lineRule="auto"/>
        <w:ind w:left="799" w:firstLineChars="0" w:hanging="442"/>
        <w:rPr>
          <w:rFonts w:ascii="Times New Roman" w:eastAsia="楷体" w:hAnsi="Times New Roman"/>
          <w:color w:val="5B9BD5" w:themeColor="accent1"/>
          <w:sz w:val="24"/>
        </w:rPr>
      </w:pPr>
      <w:r w:rsidRPr="0034072E">
        <w:rPr>
          <w:rFonts w:ascii="Times New Roman" w:eastAsia="楷体" w:hAnsi="Times New Roman"/>
          <w:color w:val="5B9BD5" w:themeColor="accent1"/>
          <w:sz w:val="24"/>
        </w:rPr>
        <w:t>近年来，公司积极</w:t>
      </w:r>
      <w:proofErr w:type="gramStart"/>
      <w:r w:rsidRPr="0034072E">
        <w:rPr>
          <w:rFonts w:ascii="Times New Roman" w:eastAsia="楷体" w:hAnsi="Times New Roman"/>
          <w:color w:val="5B9BD5" w:themeColor="accent1"/>
          <w:sz w:val="24"/>
        </w:rPr>
        <w:t>践行</w:t>
      </w:r>
      <w:proofErr w:type="gramEnd"/>
      <w:r w:rsidR="00277C4E">
        <w:rPr>
          <w:rFonts w:ascii="Times New Roman" w:eastAsia="楷体" w:hAnsi="Times New Roman" w:hint="eastAsia"/>
          <w:color w:val="5B9BD5" w:themeColor="accent1"/>
          <w:sz w:val="24"/>
        </w:rPr>
        <w:t>“</w:t>
      </w:r>
      <w:r w:rsidR="00277C4E" w:rsidRPr="0034072E">
        <w:rPr>
          <w:rFonts w:ascii="Times New Roman" w:eastAsia="楷体" w:hAnsi="Times New Roman"/>
          <w:color w:val="5B9BD5" w:themeColor="accent1"/>
          <w:sz w:val="24"/>
        </w:rPr>
        <w:t>双支柱</w:t>
      </w:r>
      <w:r w:rsidR="00277C4E">
        <w:rPr>
          <w:rFonts w:ascii="Times New Roman" w:eastAsia="楷体" w:hAnsi="Times New Roman" w:hint="eastAsia"/>
          <w:color w:val="5B9BD5" w:themeColor="accent1"/>
          <w:sz w:val="24"/>
        </w:rPr>
        <w:t>”</w:t>
      </w:r>
      <w:r w:rsidRPr="0034072E">
        <w:rPr>
          <w:rFonts w:ascii="Times New Roman" w:eastAsia="楷体" w:hAnsi="Times New Roman"/>
          <w:color w:val="5B9BD5" w:themeColor="accent1"/>
          <w:sz w:val="24"/>
        </w:rPr>
        <w:t>战略，即不断巩固公司在蛋氨</w:t>
      </w:r>
      <w:proofErr w:type="gramStart"/>
      <w:r w:rsidRPr="0034072E">
        <w:rPr>
          <w:rFonts w:ascii="Times New Roman" w:eastAsia="楷体" w:hAnsi="Times New Roman"/>
          <w:color w:val="5B9BD5" w:themeColor="accent1"/>
          <w:sz w:val="24"/>
        </w:rPr>
        <w:t>酸行业</w:t>
      </w:r>
      <w:proofErr w:type="gramEnd"/>
      <w:r w:rsidRPr="0034072E">
        <w:rPr>
          <w:rFonts w:ascii="Times New Roman" w:eastAsia="楷体" w:hAnsi="Times New Roman"/>
          <w:color w:val="5B9BD5" w:themeColor="accent1"/>
          <w:sz w:val="24"/>
        </w:rPr>
        <w:t>的全球领导地位并同时加快公司在特种业务的发展。蛋氨酸方面：公司持续强化全球蛋氨酸产能布局，南京工厂凭借全流程一体化工艺成为全球最大、技术最先进的液体蛋氨酸生产平台之一，欧洲基地产能稳步提升，泉州</w:t>
      </w:r>
      <w:r w:rsidRPr="0034072E">
        <w:rPr>
          <w:rFonts w:ascii="Times New Roman" w:eastAsia="楷体" w:hAnsi="Times New Roman"/>
          <w:color w:val="5B9BD5" w:themeColor="accent1"/>
          <w:sz w:val="24"/>
        </w:rPr>
        <w:t>15</w:t>
      </w:r>
      <w:r w:rsidRPr="0034072E">
        <w:rPr>
          <w:rFonts w:ascii="Times New Roman" w:eastAsia="楷体" w:hAnsi="Times New Roman"/>
          <w:color w:val="5B9BD5" w:themeColor="accent1"/>
          <w:sz w:val="24"/>
        </w:rPr>
        <w:t>万吨固体蛋氨</w:t>
      </w:r>
      <w:proofErr w:type="gramStart"/>
      <w:r w:rsidRPr="0034072E">
        <w:rPr>
          <w:rFonts w:ascii="Times New Roman" w:eastAsia="楷体" w:hAnsi="Times New Roman"/>
          <w:color w:val="5B9BD5" w:themeColor="accent1"/>
          <w:sz w:val="24"/>
        </w:rPr>
        <w:t>酸项目</w:t>
      </w:r>
      <w:proofErr w:type="gramEnd"/>
      <w:r w:rsidRPr="0034072E">
        <w:rPr>
          <w:rFonts w:ascii="Times New Roman" w:eastAsia="楷体" w:hAnsi="Times New Roman"/>
          <w:color w:val="5B9BD5" w:themeColor="accent1"/>
          <w:sz w:val="24"/>
        </w:rPr>
        <w:t>也正按计划推进，进一步完善全球供应体系。通过规模效应与成本优势巩固市场地位，为业务增长提供支撑。特种产品作为第二支柱，持续提升高附加值产品占比，推动特种产品成为业绩增长核心引擎。公司将通过每年向市场推出</w:t>
      </w:r>
      <w:r w:rsidRPr="0034072E">
        <w:rPr>
          <w:rFonts w:ascii="Times New Roman" w:eastAsia="楷体" w:hAnsi="Times New Roman"/>
          <w:color w:val="5B9BD5" w:themeColor="accent1"/>
          <w:sz w:val="24"/>
        </w:rPr>
        <w:t>1-2</w:t>
      </w:r>
      <w:r w:rsidRPr="0034072E">
        <w:rPr>
          <w:rFonts w:ascii="Times New Roman" w:eastAsia="楷体" w:hAnsi="Times New Roman"/>
          <w:color w:val="5B9BD5" w:themeColor="accent1"/>
          <w:sz w:val="24"/>
        </w:rPr>
        <w:t>个新产品以及加速市场渗透速度来实现快速有机增长，</w:t>
      </w:r>
      <w:r w:rsidR="00EE1528">
        <w:rPr>
          <w:rFonts w:ascii="Times New Roman" w:eastAsia="楷体" w:hAnsi="Times New Roman" w:hint="eastAsia"/>
          <w:color w:val="5B9BD5" w:themeColor="accent1"/>
          <w:sz w:val="24"/>
        </w:rPr>
        <w:t>同时，也将</w:t>
      </w:r>
      <w:r w:rsidR="00F90F4A">
        <w:rPr>
          <w:rFonts w:ascii="Times New Roman" w:eastAsia="楷体" w:hAnsi="Times New Roman" w:hint="eastAsia"/>
          <w:color w:val="5B9BD5" w:themeColor="accent1"/>
          <w:sz w:val="24"/>
        </w:rPr>
        <w:t>积极寻求</w:t>
      </w:r>
      <w:r w:rsidRPr="0034072E">
        <w:rPr>
          <w:rFonts w:ascii="Times New Roman" w:eastAsia="楷体" w:hAnsi="Times New Roman"/>
          <w:color w:val="5B9BD5" w:themeColor="accent1"/>
          <w:sz w:val="24"/>
        </w:rPr>
        <w:t>外部并购来加速特种品的业务发展。未来，公司将继续围绕</w:t>
      </w:r>
      <w:r w:rsidRPr="0034072E">
        <w:rPr>
          <w:rFonts w:ascii="Times New Roman" w:eastAsia="楷体" w:hAnsi="Times New Roman"/>
          <w:color w:val="5B9BD5" w:themeColor="accent1"/>
          <w:sz w:val="24"/>
        </w:rPr>
        <w:t>“</w:t>
      </w:r>
      <w:r w:rsidRPr="0034072E">
        <w:rPr>
          <w:rFonts w:ascii="Times New Roman" w:eastAsia="楷体" w:hAnsi="Times New Roman"/>
          <w:color w:val="5B9BD5" w:themeColor="accent1"/>
          <w:sz w:val="24"/>
        </w:rPr>
        <w:t>双支柱</w:t>
      </w:r>
      <w:r w:rsidRPr="0034072E">
        <w:rPr>
          <w:rFonts w:ascii="Times New Roman" w:eastAsia="楷体" w:hAnsi="Times New Roman"/>
          <w:color w:val="5B9BD5" w:themeColor="accent1"/>
          <w:sz w:val="24"/>
        </w:rPr>
        <w:t>”</w:t>
      </w:r>
      <w:r w:rsidRPr="0034072E">
        <w:rPr>
          <w:rFonts w:ascii="Times New Roman" w:eastAsia="楷体" w:hAnsi="Times New Roman"/>
          <w:color w:val="5B9BD5" w:themeColor="accent1"/>
          <w:sz w:val="24"/>
        </w:rPr>
        <w:t>战略，同时积极探索新产品新领域的发展合作机会，持续提升核心竞争力与可持续发展能力，为股东创造更大价值。</w:t>
      </w:r>
    </w:p>
    <w:p w14:paraId="00FD1AC5" w14:textId="77777777" w:rsidR="0034072E" w:rsidRPr="0034072E" w:rsidRDefault="0034072E" w:rsidP="0034072E">
      <w:pPr>
        <w:spacing w:line="278" w:lineRule="auto"/>
        <w:contextualSpacing/>
        <w:rPr>
          <w:rFonts w:ascii="Times New Roman" w:eastAsia="楷体" w:hAnsi="Times New Roman"/>
          <w:color w:val="5B9BD5" w:themeColor="accent1"/>
          <w:sz w:val="24"/>
          <w:lang w:val="en-US"/>
        </w:rPr>
      </w:pPr>
    </w:p>
    <w:p w14:paraId="3907E348" w14:textId="77777777" w:rsidR="00201137" w:rsidRPr="00215542" w:rsidRDefault="00201137" w:rsidP="001D76B7">
      <w:pPr>
        <w:spacing w:after="0" w:line="240" w:lineRule="auto"/>
        <w:ind w:right="142"/>
        <w:jc w:val="right"/>
        <w:rPr>
          <w:rFonts w:ascii="Times New Roman" w:eastAsia="楷体" w:hAnsi="Times New Roman" w:cs="Times New Roman"/>
          <w:sz w:val="24"/>
          <w:szCs w:val="24"/>
        </w:rPr>
      </w:pPr>
      <w:r w:rsidRPr="00215542">
        <w:rPr>
          <w:rFonts w:ascii="Times New Roman" w:eastAsia="楷体" w:hAnsi="Times New Roman" w:cs="Times New Roman"/>
          <w:sz w:val="24"/>
          <w:szCs w:val="24"/>
        </w:rPr>
        <w:t>蓝星安迪苏股份有限公司</w:t>
      </w:r>
    </w:p>
    <w:p w14:paraId="7EA71453" w14:textId="0E854770" w:rsidR="003644A9" w:rsidRPr="00215542" w:rsidRDefault="004757EC" w:rsidP="001947D3">
      <w:pPr>
        <w:spacing w:after="0" w:line="240" w:lineRule="auto"/>
        <w:ind w:right="142"/>
        <w:jc w:val="right"/>
        <w:rPr>
          <w:rFonts w:ascii="Times New Roman" w:eastAsia="楷体" w:hAnsi="Times New Roman" w:cs="Times New Roman"/>
          <w:sz w:val="24"/>
          <w:szCs w:val="24"/>
          <w:lang w:val="en-US"/>
        </w:rPr>
      </w:pPr>
      <w:r w:rsidRPr="00215542">
        <w:rPr>
          <w:rFonts w:ascii="Times New Roman" w:eastAsia="楷体" w:hAnsi="Times New Roman" w:cs="Times New Roman"/>
          <w:sz w:val="24"/>
          <w:szCs w:val="24"/>
        </w:rPr>
        <w:t>202</w:t>
      </w:r>
      <w:r w:rsidR="009B1161">
        <w:rPr>
          <w:rFonts w:ascii="Times New Roman" w:eastAsia="楷体" w:hAnsi="Times New Roman" w:cs="Times New Roman" w:hint="eastAsia"/>
          <w:sz w:val="24"/>
          <w:szCs w:val="24"/>
        </w:rPr>
        <w:t>6</w:t>
      </w:r>
      <w:r w:rsidRPr="00215542">
        <w:rPr>
          <w:rFonts w:ascii="Times New Roman" w:eastAsia="楷体" w:hAnsi="Times New Roman" w:cs="Times New Roman"/>
          <w:sz w:val="24"/>
          <w:szCs w:val="24"/>
        </w:rPr>
        <w:t>年</w:t>
      </w:r>
      <w:r w:rsidR="009B1161">
        <w:rPr>
          <w:rFonts w:ascii="Times New Roman" w:eastAsia="楷体" w:hAnsi="Times New Roman" w:cs="Times New Roman" w:hint="eastAsia"/>
          <w:sz w:val="24"/>
          <w:szCs w:val="24"/>
        </w:rPr>
        <w:t>3</w:t>
      </w:r>
      <w:r w:rsidRPr="00215542">
        <w:rPr>
          <w:rFonts w:ascii="Times New Roman" w:eastAsia="楷体" w:hAnsi="Times New Roman" w:cs="Times New Roman"/>
          <w:sz w:val="24"/>
          <w:szCs w:val="24"/>
        </w:rPr>
        <w:t>月</w:t>
      </w:r>
      <w:r w:rsidR="0034072E">
        <w:rPr>
          <w:rFonts w:ascii="Times New Roman" w:eastAsia="楷体" w:hAnsi="Times New Roman" w:cs="Times New Roman" w:hint="eastAsia"/>
          <w:sz w:val="24"/>
          <w:szCs w:val="24"/>
        </w:rPr>
        <w:t>20</w:t>
      </w:r>
      <w:r w:rsidR="00201137" w:rsidRPr="00215542">
        <w:rPr>
          <w:rFonts w:ascii="Times New Roman" w:eastAsia="楷体" w:hAnsi="Times New Roman" w:cs="Times New Roman"/>
          <w:sz w:val="24"/>
          <w:szCs w:val="24"/>
        </w:rPr>
        <w:t>日</w:t>
      </w:r>
      <w:r w:rsidR="003644A9" w:rsidRPr="00215542">
        <w:rPr>
          <w:rFonts w:ascii="Times New Roman" w:eastAsia="楷体" w:hAnsi="Times New Roman" w:cs="Times New Roman"/>
          <w:sz w:val="24"/>
          <w:szCs w:val="24"/>
          <w:lang w:val="en-US"/>
        </w:rPr>
        <w:br w:type="page"/>
      </w:r>
    </w:p>
    <w:p w14:paraId="1364A705" w14:textId="1AE48A88" w:rsidR="00D84E3B" w:rsidRPr="00BB7989" w:rsidRDefault="003644A9" w:rsidP="009B6B19">
      <w:pPr>
        <w:jc w:val="both"/>
        <w:rPr>
          <w:rFonts w:ascii="Times New Roman" w:eastAsia="楷体" w:hAnsi="Times New Roman" w:cs="Times New Roman"/>
          <w:sz w:val="24"/>
          <w:szCs w:val="24"/>
        </w:rPr>
      </w:pPr>
      <w:bookmarkStart w:id="1" w:name="_Hlk150434639"/>
      <w:r w:rsidRPr="00215542">
        <w:rPr>
          <w:rFonts w:ascii="Times New Roman" w:eastAsia="楷体" w:hAnsi="Times New Roman" w:cs="Times New Roman"/>
          <w:sz w:val="24"/>
          <w:szCs w:val="24"/>
        </w:rPr>
        <w:lastRenderedPageBreak/>
        <w:t>附件清单（排名不分先后）：</w:t>
      </w:r>
    </w:p>
    <w:tbl>
      <w:tblP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40"/>
      </w:tblGrid>
      <w:tr w:rsidR="00BB7989" w:rsidRPr="006B3782" w14:paraId="2A597BEF" w14:textId="637B6DEF" w:rsidTr="00BB7989">
        <w:trPr>
          <w:trHeight w:val="276"/>
        </w:trPr>
        <w:tc>
          <w:tcPr>
            <w:tcW w:w="817" w:type="dxa"/>
            <w:noWrap/>
            <w:vAlign w:val="center"/>
            <w:hideMark/>
          </w:tcPr>
          <w:bookmarkEnd w:id="1"/>
          <w:p w14:paraId="6EBD31E4" w14:textId="49241C21" w:rsidR="00BB7989" w:rsidRPr="006B3782" w:rsidRDefault="00BB7989" w:rsidP="00B13B88">
            <w:pPr>
              <w:spacing w:after="0" w:line="240" w:lineRule="auto"/>
              <w:jc w:val="center"/>
              <w:rPr>
                <w:rFonts w:ascii="Times New Roman" w:eastAsia="楷体" w:hAnsi="Times New Roman" w:cs="Times New Roman"/>
                <w:sz w:val="24"/>
                <w:szCs w:val="24"/>
                <w:lang w:val="en-US"/>
              </w:rPr>
            </w:pPr>
            <w:r w:rsidRPr="006B3782">
              <w:rPr>
                <w:rFonts w:ascii="Times New Roman" w:eastAsia="楷体" w:hAnsi="Times New Roman" w:cs="Times New Roman"/>
                <w:sz w:val="24"/>
                <w:szCs w:val="24"/>
                <w:lang w:val="en-US"/>
              </w:rPr>
              <w:t>序号</w:t>
            </w:r>
          </w:p>
        </w:tc>
        <w:tc>
          <w:tcPr>
            <w:tcW w:w="4140" w:type="dxa"/>
            <w:noWrap/>
            <w:vAlign w:val="center"/>
            <w:hideMark/>
          </w:tcPr>
          <w:p w14:paraId="6B2FF867" w14:textId="52EE5244" w:rsidR="00BB7989" w:rsidRPr="006B3782" w:rsidRDefault="00BB7989" w:rsidP="00964972">
            <w:pPr>
              <w:spacing w:after="0" w:line="240" w:lineRule="auto"/>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机构名称</w:t>
            </w:r>
          </w:p>
        </w:tc>
      </w:tr>
      <w:tr w:rsidR="00BB7989" w:rsidRPr="00B04FFE" w14:paraId="43B3A3F7" w14:textId="4856EA0B" w:rsidTr="00BB7989">
        <w:trPr>
          <w:trHeight w:val="276"/>
        </w:trPr>
        <w:tc>
          <w:tcPr>
            <w:tcW w:w="817" w:type="dxa"/>
            <w:noWrap/>
            <w:vAlign w:val="center"/>
            <w:hideMark/>
          </w:tcPr>
          <w:p w14:paraId="45F444AF" w14:textId="77777777"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1</w:t>
            </w:r>
          </w:p>
        </w:tc>
        <w:tc>
          <w:tcPr>
            <w:tcW w:w="4140" w:type="dxa"/>
            <w:noWrap/>
            <w:vAlign w:val="center"/>
          </w:tcPr>
          <w:p w14:paraId="46FBC4A4" w14:textId="1F1A675F" w:rsidR="00BB7989" w:rsidRPr="006B3782" w:rsidRDefault="00BB7989" w:rsidP="006B3782">
            <w:pPr>
              <w:spacing w:after="0" w:line="240" w:lineRule="auto"/>
              <w:jc w:val="both"/>
              <w:rPr>
                <w:rFonts w:ascii="Times New Roman" w:eastAsia="楷体" w:hAnsi="Times New Roman" w:cs="Times New Roman"/>
                <w:color w:val="000000"/>
                <w:sz w:val="24"/>
                <w:szCs w:val="24"/>
                <w:lang w:val="en-US"/>
              </w:rPr>
            </w:pPr>
            <w:r w:rsidRPr="006B3782">
              <w:rPr>
                <w:rFonts w:ascii="Times New Roman" w:eastAsia="楷体" w:hAnsi="Times New Roman" w:cs="Times New Roman"/>
                <w:sz w:val="24"/>
                <w:szCs w:val="24"/>
              </w:rPr>
              <w:t>中国电子投资控股有限公司</w:t>
            </w:r>
          </w:p>
        </w:tc>
      </w:tr>
      <w:tr w:rsidR="00BB7989" w:rsidRPr="006B3782" w14:paraId="416369D6" w14:textId="242AF654" w:rsidTr="00BB7989">
        <w:trPr>
          <w:trHeight w:val="276"/>
        </w:trPr>
        <w:tc>
          <w:tcPr>
            <w:tcW w:w="817" w:type="dxa"/>
            <w:noWrap/>
            <w:vAlign w:val="center"/>
          </w:tcPr>
          <w:p w14:paraId="0F13F956" w14:textId="5AFEE50A"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2</w:t>
            </w:r>
          </w:p>
        </w:tc>
        <w:tc>
          <w:tcPr>
            <w:tcW w:w="4140" w:type="dxa"/>
            <w:noWrap/>
          </w:tcPr>
          <w:p w14:paraId="1A6F7836" w14:textId="36A0090E" w:rsidR="00BB7989" w:rsidRPr="006B3782" w:rsidRDefault="00BB7989" w:rsidP="006B3782">
            <w:pPr>
              <w:spacing w:after="0" w:line="240" w:lineRule="auto"/>
              <w:jc w:val="both"/>
              <w:rPr>
                <w:rFonts w:ascii="Times New Roman" w:eastAsia="楷体" w:hAnsi="Times New Roman" w:cs="Times New Roman"/>
                <w:color w:val="000000"/>
                <w:sz w:val="24"/>
                <w:szCs w:val="24"/>
              </w:rPr>
            </w:pPr>
            <w:r w:rsidRPr="006B3782">
              <w:rPr>
                <w:rFonts w:ascii="Times New Roman" w:eastAsia="楷体" w:hAnsi="Times New Roman" w:cs="Times New Roman"/>
                <w:sz w:val="24"/>
                <w:szCs w:val="24"/>
              </w:rPr>
              <w:t>国信证券</w:t>
            </w:r>
          </w:p>
        </w:tc>
      </w:tr>
      <w:tr w:rsidR="00BB7989" w:rsidRPr="006B3782" w14:paraId="27215473" w14:textId="5F126498" w:rsidTr="00BB7989">
        <w:trPr>
          <w:trHeight w:val="276"/>
        </w:trPr>
        <w:tc>
          <w:tcPr>
            <w:tcW w:w="817" w:type="dxa"/>
            <w:noWrap/>
            <w:vAlign w:val="center"/>
          </w:tcPr>
          <w:p w14:paraId="410F17FB" w14:textId="7FA5A884"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3</w:t>
            </w:r>
          </w:p>
        </w:tc>
        <w:tc>
          <w:tcPr>
            <w:tcW w:w="4140" w:type="dxa"/>
            <w:noWrap/>
          </w:tcPr>
          <w:p w14:paraId="5B109B44" w14:textId="6A26A1A3" w:rsidR="00BB7989" w:rsidRPr="006B3782" w:rsidRDefault="00BB7989" w:rsidP="006B3782">
            <w:pPr>
              <w:spacing w:after="0" w:line="240" w:lineRule="auto"/>
              <w:jc w:val="both"/>
              <w:rPr>
                <w:rFonts w:ascii="Times New Roman" w:eastAsia="楷体" w:hAnsi="Times New Roman" w:cs="Times New Roman"/>
                <w:color w:val="000000"/>
                <w:sz w:val="24"/>
                <w:szCs w:val="24"/>
              </w:rPr>
            </w:pPr>
            <w:r w:rsidRPr="006B3782">
              <w:rPr>
                <w:rFonts w:ascii="Times New Roman" w:eastAsia="楷体" w:hAnsi="Times New Roman" w:cs="Times New Roman"/>
                <w:sz w:val="24"/>
                <w:szCs w:val="24"/>
              </w:rPr>
              <w:t>东兴证券</w:t>
            </w:r>
          </w:p>
        </w:tc>
      </w:tr>
      <w:tr w:rsidR="00BB7989" w:rsidRPr="006B3782" w14:paraId="0EA7774D" w14:textId="18E2B2D4" w:rsidTr="00BB7989">
        <w:trPr>
          <w:trHeight w:val="276"/>
        </w:trPr>
        <w:tc>
          <w:tcPr>
            <w:tcW w:w="817" w:type="dxa"/>
            <w:noWrap/>
            <w:vAlign w:val="center"/>
          </w:tcPr>
          <w:p w14:paraId="55F584A5" w14:textId="113EC1C6"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4</w:t>
            </w:r>
          </w:p>
        </w:tc>
        <w:tc>
          <w:tcPr>
            <w:tcW w:w="4140" w:type="dxa"/>
            <w:noWrap/>
          </w:tcPr>
          <w:p w14:paraId="483AB10F" w14:textId="7EBF22F3" w:rsidR="00BB7989" w:rsidRPr="006B3782" w:rsidRDefault="00BB7989" w:rsidP="006B3782">
            <w:pPr>
              <w:spacing w:after="0" w:line="240" w:lineRule="auto"/>
              <w:jc w:val="both"/>
              <w:rPr>
                <w:rFonts w:ascii="Times New Roman" w:eastAsia="楷体" w:hAnsi="Times New Roman" w:cs="Times New Roman"/>
                <w:color w:val="000000"/>
                <w:sz w:val="24"/>
                <w:szCs w:val="24"/>
              </w:rPr>
            </w:pPr>
            <w:r w:rsidRPr="006B3782">
              <w:rPr>
                <w:rFonts w:ascii="Times New Roman" w:eastAsia="楷体" w:hAnsi="Times New Roman" w:cs="Times New Roman"/>
                <w:sz w:val="24"/>
                <w:szCs w:val="24"/>
              </w:rPr>
              <w:t>中泰证券</w:t>
            </w:r>
          </w:p>
        </w:tc>
      </w:tr>
      <w:tr w:rsidR="00BB7989" w:rsidRPr="006B3782" w14:paraId="0D56A53A" w14:textId="49738DF6" w:rsidTr="00BB7989">
        <w:trPr>
          <w:trHeight w:val="276"/>
        </w:trPr>
        <w:tc>
          <w:tcPr>
            <w:tcW w:w="817" w:type="dxa"/>
            <w:noWrap/>
            <w:vAlign w:val="center"/>
          </w:tcPr>
          <w:p w14:paraId="0DF4CF48" w14:textId="2F9C791C"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5</w:t>
            </w:r>
          </w:p>
        </w:tc>
        <w:tc>
          <w:tcPr>
            <w:tcW w:w="4140" w:type="dxa"/>
            <w:noWrap/>
          </w:tcPr>
          <w:p w14:paraId="111FD5B8" w14:textId="4F5C5B78" w:rsidR="00BB7989" w:rsidRPr="006B3782" w:rsidRDefault="00BB7989" w:rsidP="006B3782">
            <w:pPr>
              <w:spacing w:after="0" w:line="240" w:lineRule="auto"/>
              <w:jc w:val="both"/>
              <w:rPr>
                <w:rFonts w:ascii="Times New Roman" w:eastAsia="楷体" w:hAnsi="Times New Roman" w:cs="Times New Roman"/>
                <w:color w:val="000000"/>
                <w:sz w:val="24"/>
                <w:szCs w:val="24"/>
              </w:rPr>
            </w:pPr>
            <w:r w:rsidRPr="006B3782">
              <w:rPr>
                <w:rFonts w:ascii="Times New Roman" w:eastAsia="楷体" w:hAnsi="Times New Roman" w:cs="Times New Roman"/>
                <w:sz w:val="24"/>
                <w:szCs w:val="24"/>
              </w:rPr>
              <w:t>开源证券</w:t>
            </w:r>
          </w:p>
        </w:tc>
      </w:tr>
      <w:tr w:rsidR="00BB7989" w:rsidRPr="006B3782" w14:paraId="7E1EA195" w14:textId="0D881741" w:rsidTr="00BB7989">
        <w:trPr>
          <w:trHeight w:val="276"/>
        </w:trPr>
        <w:tc>
          <w:tcPr>
            <w:tcW w:w="817" w:type="dxa"/>
            <w:noWrap/>
            <w:vAlign w:val="center"/>
            <w:hideMark/>
          </w:tcPr>
          <w:p w14:paraId="5DA61325" w14:textId="2508CF58"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6</w:t>
            </w:r>
          </w:p>
        </w:tc>
        <w:tc>
          <w:tcPr>
            <w:tcW w:w="4140" w:type="dxa"/>
            <w:noWrap/>
          </w:tcPr>
          <w:p w14:paraId="4739592B" w14:textId="6C08EED9" w:rsidR="00BB7989" w:rsidRPr="006B3782" w:rsidRDefault="00BB7989" w:rsidP="006B3782">
            <w:pPr>
              <w:spacing w:after="0" w:line="240" w:lineRule="auto"/>
              <w:jc w:val="both"/>
              <w:rPr>
                <w:rFonts w:ascii="Times New Roman" w:eastAsia="楷体" w:hAnsi="Times New Roman" w:cs="Times New Roman"/>
                <w:color w:val="000000"/>
                <w:sz w:val="24"/>
                <w:szCs w:val="24"/>
                <w:lang w:val="en-US"/>
              </w:rPr>
            </w:pPr>
            <w:r w:rsidRPr="006B3782">
              <w:rPr>
                <w:rFonts w:ascii="Times New Roman" w:eastAsia="楷体" w:hAnsi="Times New Roman" w:cs="Times New Roman"/>
                <w:sz w:val="24"/>
                <w:szCs w:val="24"/>
              </w:rPr>
              <w:t>长城证券</w:t>
            </w:r>
          </w:p>
        </w:tc>
      </w:tr>
      <w:tr w:rsidR="00BB7989" w:rsidRPr="006B3782" w14:paraId="34E020E5" w14:textId="08D26008" w:rsidTr="00BB7989">
        <w:trPr>
          <w:trHeight w:val="276"/>
        </w:trPr>
        <w:tc>
          <w:tcPr>
            <w:tcW w:w="817" w:type="dxa"/>
            <w:noWrap/>
            <w:vAlign w:val="center"/>
            <w:hideMark/>
          </w:tcPr>
          <w:p w14:paraId="7829BE99" w14:textId="527EB35E"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7</w:t>
            </w:r>
          </w:p>
        </w:tc>
        <w:tc>
          <w:tcPr>
            <w:tcW w:w="4140" w:type="dxa"/>
            <w:noWrap/>
          </w:tcPr>
          <w:p w14:paraId="7481DBF4" w14:textId="3739CF06" w:rsidR="00BB7989" w:rsidRPr="006B3782" w:rsidRDefault="00BB7989" w:rsidP="006B3782">
            <w:pPr>
              <w:spacing w:after="0" w:line="240" w:lineRule="auto"/>
              <w:jc w:val="both"/>
              <w:rPr>
                <w:rFonts w:ascii="Times New Roman" w:eastAsia="楷体" w:hAnsi="Times New Roman" w:cs="Times New Roman"/>
                <w:color w:val="000000"/>
                <w:sz w:val="24"/>
                <w:szCs w:val="24"/>
                <w:lang w:val="en-US"/>
              </w:rPr>
            </w:pPr>
            <w:r w:rsidRPr="006B3782">
              <w:rPr>
                <w:rFonts w:ascii="Times New Roman" w:eastAsia="楷体" w:hAnsi="Times New Roman" w:cs="Times New Roman"/>
                <w:sz w:val="24"/>
                <w:szCs w:val="24"/>
              </w:rPr>
              <w:t>中</w:t>
            </w:r>
            <w:proofErr w:type="gramStart"/>
            <w:r w:rsidRPr="006B3782">
              <w:rPr>
                <w:rFonts w:ascii="Times New Roman" w:eastAsia="楷体" w:hAnsi="Times New Roman" w:cs="Times New Roman"/>
                <w:sz w:val="24"/>
                <w:szCs w:val="24"/>
              </w:rPr>
              <w:t>邮证券</w:t>
            </w:r>
            <w:proofErr w:type="gramEnd"/>
          </w:p>
        </w:tc>
      </w:tr>
      <w:tr w:rsidR="00BB7989" w:rsidRPr="006B3782" w14:paraId="72E9678C" w14:textId="5D48300C" w:rsidTr="00BB7989">
        <w:trPr>
          <w:trHeight w:val="276"/>
        </w:trPr>
        <w:tc>
          <w:tcPr>
            <w:tcW w:w="817" w:type="dxa"/>
            <w:noWrap/>
            <w:vAlign w:val="center"/>
            <w:hideMark/>
          </w:tcPr>
          <w:p w14:paraId="155AB168" w14:textId="6C9BB00A"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8</w:t>
            </w:r>
          </w:p>
        </w:tc>
        <w:tc>
          <w:tcPr>
            <w:tcW w:w="4140" w:type="dxa"/>
            <w:noWrap/>
          </w:tcPr>
          <w:p w14:paraId="5354AFCF" w14:textId="71E019B9" w:rsidR="00BB7989" w:rsidRPr="006B3782" w:rsidRDefault="00BB7989" w:rsidP="006B3782">
            <w:pPr>
              <w:spacing w:after="0" w:line="240" w:lineRule="auto"/>
              <w:jc w:val="both"/>
              <w:rPr>
                <w:rFonts w:ascii="Times New Roman" w:eastAsia="楷体" w:hAnsi="Times New Roman" w:cs="Times New Roman"/>
                <w:color w:val="000000"/>
                <w:sz w:val="24"/>
                <w:szCs w:val="24"/>
                <w:lang w:val="en-US"/>
              </w:rPr>
            </w:pPr>
            <w:r w:rsidRPr="006B3782">
              <w:rPr>
                <w:rFonts w:ascii="Times New Roman" w:eastAsia="楷体" w:hAnsi="Times New Roman" w:cs="Times New Roman"/>
                <w:sz w:val="24"/>
                <w:szCs w:val="24"/>
              </w:rPr>
              <w:t>华</w:t>
            </w:r>
            <w:proofErr w:type="gramStart"/>
            <w:r w:rsidRPr="006B3782">
              <w:rPr>
                <w:rFonts w:ascii="Times New Roman" w:eastAsia="楷体" w:hAnsi="Times New Roman" w:cs="Times New Roman"/>
                <w:sz w:val="24"/>
                <w:szCs w:val="24"/>
              </w:rPr>
              <w:t>福证券</w:t>
            </w:r>
            <w:proofErr w:type="gramEnd"/>
          </w:p>
        </w:tc>
      </w:tr>
      <w:tr w:rsidR="00BB7989" w:rsidRPr="006B3782" w14:paraId="3FA5F31B" w14:textId="77777777" w:rsidTr="00BB7989">
        <w:trPr>
          <w:trHeight w:val="276"/>
        </w:trPr>
        <w:tc>
          <w:tcPr>
            <w:tcW w:w="817" w:type="dxa"/>
            <w:noWrap/>
            <w:vAlign w:val="center"/>
          </w:tcPr>
          <w:p w14:paraId="7BF400DA" w14:textId="6E1E9453"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9</w:t>
            </w:r>
          </w:p>
        </w:tc>
        <w:tc>
          <w:tcPr>
            <w:tcW w:w="4140" w:type="dxa"/>
            <w:noWrap/>
          </w:tcPr>
          <w:p w14:paraId="5AD19F8F" w14:textId="04735E97" w:rsidR="00BB7989" w:rsidRPr="006B3782" w:rsidRDefault="00BB7989" w:rsidP="006B3782">
            <w:pPr>
              <w:spacing w:after="0" w:line="240" w:lineRule="auto"/>
              <w:jc w:val="both"/>
              <w:rPr>
                <w:rFonts w:ascii="Times New Roman" w:eastAsia="楷体" w:hAnsi="Times New Roman" w:cs="Times New Roman"/>
                <w:sz w:val="24"/>
                <w:szCs w:val="24"/>
              </w:rPr>
            </w:pPr>
            <w:proofErr w:type="gramStart"/>
            <w:r w:rsidRPr="006B3782">
              <w:rPr>
                <w:rFonts w:ascii="Times New Roman" w:eastAsia="楷体" w:hAnsi="Times New Roman" w:cs="Times New Roman"/>
                <w:sz w:val="24"/>
                <w:szCs w:val="24"/>
              </w:rPr>
              <w:t>国泰海通</w:t>
            </w:r>
            <w:proofErr w:type="gramEnd"/>
          </w:p>
        </w:tc>
      </w:tr>
      <w:tr w:rsidR="00BB7989" w:rsidRPr="006B3782" w14:paraId="1E5C293A" w14:textId="78CBCA4B" w:rsidTr="00BB7989">
        <w:trPr>
          <w:trHeight w:val="276"/>
        </w:trPr>
        <w:tc>
          <w:tcPr>
            <w:tcW w:w="817" w:type="dxa"/>
            <w:noWrap/>
            <w:vAlign w:val="center"/>
            <w:hideMark/>
          </w:tcPr>
          <w:p w14:paraId="7F364D68" w14:textId="2E8F00C5"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10</w:t>
            </w:r>
          </w:p>
        </w:tc>
        <w:tc>
          <w:tcPr>
            <w:tcW w:w="4140" w:type="dxa"/>
            <w:noWrap/>
          </w:tcPr>
          <w:p w14:paraId="6144902E" w14:textId="03AC71AF" w:rsidR="00BB7989" w:rsidRPr="006B3782" w:rsidRDefault="00BB7989" w:rsidP="006B3782">
            <w:pPr>
              <w:spacing w:after="0" w:line="240" w:lineRule="auto"/>
              <w:jc w:val="both"/>
              <w:rPr>
                <w:rFonts w:ascii="Times New Roman" w:eastAsia="楷体" w:hAnsi="Times New Roman" w:cs="Times New Roman"/>
                <w:color w:val="000000"/>
                <w:sz w:val="24"/>
                <w:szCs w:val="24"/>
                <w:lang w:val="en-US"/>
              </w:rPr>
            </w:pPr>
            <w:r w:rsidRPr="006B3782">
              <w:rPr>
                <w:rFonts w:ascii="Times New Roman" w:eastAsia="楷体" w:hAnsi="Times New Roman" w:cs="Times New Roman"/>
                <w:sz w:val="24"/>
                <w:szCs w:val="24"/>
              </w:rPr>
              <w:t>东吴证券</w:t>
            </w:r>
          </w:p>
        </w:tc>
      </w:tr>
      <w:tr w:rsidR="00BB7989" w:rsidRPr="006B3782" w14:paraId="66F79DCF" w14:textId="77777777" w:rsidTr="00BB7989">
        <w:trPr>
          <w:trHeight w:val="276"/>
        </w:trPr>
        <w:tc>
          <w:tcPr>
            <w:tcW w:w="817" w:type="dxa"/>
            <w:noWrap/>
            <w:vAlign w:val="center"/>
          </w:tcPr>
          <w:p w14:paraId="69D91772" w14:textId="36B4BF69"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11</w:t>
            </w:r>
          </w:p>
        </w:tc>
        <w:tc>
          <w:tcPr>
            <w:tcW w:w="4140" w:type="dxa"/>
            <w:noWrap/>
          </w:tcPr>
          <w:p w14:paraId="4865624E" w14:textId="3E190E94" w:rsidR="00BB7989" w:rsidRPr="006B3782" w:rsidRDefault="00BB7989" w:rsidP="006B3782">
            <w:pPr>
              <w:spacing w:after="0" w:line="240" w:lineRule="auto"/>
              <w:jc w:val="both"/>
              <w:rPr>
                <w:rFonts w:ascii="Times New Roman" w:eastAsia="楷体" w:hAnsi="Times New Roman" w:cs="Times New Roman"/>
                <w:color w:val="000000"/>
                <w:sz w:val="24"/>
                <w:szCs w:val="24"/>
                <w:lang w:val="en-US"/>
              </w:rPr>
            </w:pPr>
            <w:r w:rsidRPr="006B3782">
              <w:rPr>
                <w:rFonts w:ascii="Times New Roman" w:eastAsia="楷体" w:hAnsi="Times New Roman" w:cs="Times New Roman"/>
                <w:sz w:val="24"/>
                <w:szCs w:val="24"/>
              </w:rPr>
              <w:t>中国银河证券</w:t>
            </w:r>
          </w:p>
        </w:tc>
      </w:tr>
      <w:tr w:rsidR="00BB7989" w:rsidRPr="006B3782" w14:paraId="09AE348B" w14:textId="0F2C045F" w:rsidTr="00BB7989">
        <w:trPr>
          <w:trHeight w:val="276"/>
        </w:trPr>
        <w:tc>
          <w:tcPr>
            <w:tcW w:w="817" w:type="dxa"/>
            <w:noWrap/>
            <w:vAlign w:val="center"/>
            <w:hideMark/>
          </w:tcPr>
          <w:p w14:paraId="50A65ADB" w14:textId="17EA955E"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12</w:t>
            </w:r>
          </w:p>
        </w:tc>
        <w:tc>
          <w:tcPr>
            <w:tcW w:w="4140" w:type="dxa"/>
            <w:noWrap/>
          </w:tcPr>
          <w:p w14:paraId="18F853A9" w14:textId="5D59AFEF" w:rsidR="00BB7989" w:rsidRPr="006B3782" w:rsidRDefault="00BB7989" w:rsidP="006B3782">
            <w:pPr>
              <w:spacing w:after="0" w:line="240" w:lineRule="auto"/>
              <w:jc w:val="both"/>
              <w:rPr>
                <w:rFonts w:ascii="Times New Roman" w:eastAsia="楷体" w:hAnsi="Times New Roman" w:cs="Times New Roman"/>
                <w:color w:val="000000"/>
                <w:sz w:val="24"/>
                <w:szCs w:val="24"/>
                <w:lang w:val="en-US"/>
              </w:rPr>
            </w:pPr>
            <w:r w:rsidRPr="006B3782">
              <w:rPr>
                <w:rFonts w:ascii="Times New Roman" w:eastAsia="楷体" w:hAnsi="Times New Roman" w:cs="Times New Roman"/>
                <w:sz w:val="24"/>
                <w:szCs w:val="24"/>
              </w:rPr>
              <w:t>中银证券</w:t>
            </w:r>
          </w:p>
        </w:tc>
      </w:tr>
      <w:tr w:rsidR="00BB7989" w:rsidRPr="006B3782" w14:paraId="02BF3B28" w14:textId="58630DCC" w:rsidTr="00BB7989">
        <w:trPr>
          <w:trHeight w:val="276"/>
        </w:trPr>
        <w:tc>
          <w:tcPr>
            <w:tcW w:w="817" w:type="dxa"/>
            <w:noWrap/>
            <w:vAlign w:val="center"/>
            <w:hideMark/>
          </w:tcPr>
          <w:p w14:paraId="7B226A2C" w14:textId="143E3BC0"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13</w:t>
            </w:r>
          </w:p>
        </w:tc>
        <w:tc>
          <w:tcPr>
            <w:tcW w:w="4140" w:type="dxa"/>
            <w:noWrap/>
          </w:tcPr>
          <w:p w14:paraId="7250043B" w14:textId="4C451F89" w:rsidR="00BB7989" w:rsidRPr="006B3782" w:rsidRDefault="00BB7989" w:rsidP="006B3782">
            <w:pPr>
              <w:spacing w:after="0" w:line="240" w:lineRule="auto"/>
              <w:jc w:val="both"/>
              <w:rPr>
                <w:rFonts w:ascii="Times New Roman" w:eastAsia="楷体" w:hAnsi="Times New Roman" w:cs="Times New Roman"/>
                <w:color w:val="000000"/>
                <w:sz w:val="24"/>
                <w:szCs w:val="24"/>
                <w:lang w:val="en-US"/>
              </w:rPr>
            </w:pPr>
            <w:r w:rsidRPr="006B3782">
              <w:rPr>
                <w:rFonts w:ascii="Times New Roman" w:eastAsia="楷体" w:hAnsi="Times New Roman" w:cs="Times New Roman"/>
                <w:sz w:val="24"/>
                <w:szCs w:val="24"/>
              </w:rPr>
              <w:t>天风证券</w:t>
            </w:r>
          </w:p>
        </w:tc>
      </w:tr>
      <w:tr w:rsidR="00BB7989" w:rsidRPr="006B3782" w14:paraId="561D5E78" w14:textId="254B6F0C" w:rsidTr="00BB7989">
        <w:trPr>
          <w:trHeight w:val="276"/>
        </w:trPr>
        <w:tc>
          <w:tcPr>
            <w:tcW w:w="817" w:type="dxa"/>
            <w:noWrap/>
            <w:vAlign w:val="center"/>
          </w:tcPr>
          <w:p w14:paraId="10EB6B64" w14:textId="7EEC0F31"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14</w:t>
            </w:r>
          </w:p>
        </w:tc>
        <w:tc>
          <w:tcPr>
            <w:tcW w:w="4140" w:type="dxa"/>
            <w:noWrap/>
          </w:tcPr>
          <w:p w14:paraId="7F57607C" w14:textId="762062D9" w:rsidR="00BB7989" w:rsidRPr="006B3782" w:rsidRDefault="00BB7989" w:rsidP="006B3782">
            <w:pPr>
              <w:spacing w:after="0" w:line="240" w:lineRule="auto"/>
              <w:jc w:val="both"/>
              <w:rPr>
                <w:rFonts w:ascii="Times New Roman" w:eastAsia="楷体" w:hAnsi="Times New Roman" w:cs="Times New Roman"/>
                <w:color w:val="000000"/>
                <w:sz w:val="24"/>
                <w:szCs w:val="24"/>
              </w:rPr>
            </w:pPr>
            <w:r w:rsidRPr="006B3782">
              <w:rPr>
                <w:rFonts w:ascii="Times New Roman" w:eastAsia="楷体" w:hAnsi="Times New Roman" w:cs="Times New Roman"/>
                <w:sz w:val="24"/>
                <w:szCs w:val="24"/>
              </w:rPr>
              <w:t>国金证券</w:t>
            </w:r>
          </w:p>
        </w:tc>
      </w:tr>
      <w:tr w:rsidR="00BB7989" w:rsidRPr="006B3782" w14:paraId="6B0BA224" w14:textId="61D6DDA2" w:rsidTr="00BB7989">
        <w:trPr>
          <w:trHeight w:val="276"/>
        </w:trPr>
        <w:tc>
          <w:tcPr>
            <w:tcW w:w="817" w:type="dxa"/>
            <w:noWrap/>
            <w:vAlign w:val="center"/>
            <w:hideMark/>
          </w:tcPr>
          <w:p w14:paraId="7D4D1A69" w14:textId="1689D013"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15</w:t>
            </w:r>
          </w:p>
        </w:tc>
        <w:tc>
          <w:tcPr>
            <w:tcW w:w="4140" w:type="dxa"/>
            <w:noWrap/>
          </w:tcPr>
          <w:p w14:paraId="11FB26C9" w14:textId="029DC820" w:rsidR="00BB7989" w:rsidRPr="006B3782" w:rsidRDefault="00BB7989" w:rsidP="006B3782">
            <w:pPr>
              <w:spacing w:after="0" w:line="240" w:lineRule="auto"/>
              <w:jc w:val="both"/>
              <w:rPr>
                <w:rFonts w:ascii="Times New Roman" w:eastAsia="楷体" w:hAnsi="Times New Roman" w:cs="Times New Roman"/>
                <w:sz w:val="24"/>
                <w:szCs w:val="24"/>
                <w:lang w:val="en-US"/>
              </w:rPr>
            </w:pPr>
            <w:r w:rsidRPr="006B3782">
              <w:rPr>
                <w:rFonts w:ascii="Times New Roman" w:eastAsia="楷体" w:hAnsi="Times New Roman" w:cs="Times New Roman"/>
                <w:sz w:val="24"/>
                <w:szCs w:val="24"/>
              </w:rPr>
              <w:t>华</w:t>
            </w:r>
            <w:proofErr w:type="gramStart"/>
            <w:r w:rsidRPr="006B3782">
              <w:rPr>
                <w:rFonts w:ascii="Times New Roman" w:eastAsia="楷体" w:hAnsi="Times New Roman" w:cs="Times New Roman"/>
                <w:sz w:val="24"/>
                <w:szCs w:val="24"/>
              </w:rPr>
              <w:t>福证券</w:t>
            </w:r>
            <w:proofErr w:type="gramEnd"/>
          </w:p>
        </w:tc>
      </w:tr>
      <w:tr w:rsidR="00BB7989" w:rsidRPr="006B3782" w14:paraId="05AEB075" w14:textId="77777777" w:rsidTr="00BB7989">
        <w:trPr>
          <w:trHeight w:val="276"/>
        </w:trPr>
        <w:tc>
          <w:tcPr>
            <w:tcW w:w="817" w:type="dxa"/>
            <w:noWrap/>
            <w:vAlign w:val="center"/>
          </w:tcPr>
          <w:p w14:paraId="086551B6" w14:textId="61DA098D"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16</w:t>
            </w:r>
          </w:p>
        </w:tc>
        <w:tc>
          <w:tcPr>
            <w:tcW w:w="4140" w:type="dxa"/>
            <w:noWrap/>
          </w:tcPr>
          <w:p w14:paraId="31FC6BEA" w14:textId="4CB2F7E7" w:rsidR="00BB7989" w:rsidRPr="006B3782" w:rsidRDefault="00BB7989" w:rsidP="006B3782">
            <w:pPr>
              <w:spacing w:after="0" w:line="240" w:lineRule="auto"/>
              <w:jc w:val="both"/>
              <w:rPr>
                <w:rFonts w:ascii="Times New Roman" w:eastAsia="楷体" w:hAnsi="Times New Roman" w:cs="Times New Roman"/>
                <w:sz w:val="24"/>
                <w:szCs w:val="24"/>
                <w:lang w:val="en-US"/>
              </w:rPr>
            </w:pPr>
            <w:r w:rsidRPr="006B3782">
              <w:rPr>
                <w:rFonts w:ascii="Times New Roman" w:eastAsia="楷体" w:hAnsi="Times New Roman" w:cs="Times New Roman"/>
                <w:sz w:val="24"/>
                <w:szCs w:val="24"/>
              </w:rPr>
              <w:t>国投证券</w:t>
            </w:r>
          </w:p>
        </w:tc>
      </w:tr>
      <w:tr w:rsidR="00BB7989" w:rsidRPr="006B3782" w14:paraId="08067A8C" w14:textId="5553C284" w:rsidTr="00BB7989">
        <w:trPr>
          <w:trHeight w:val="276"/>
        </w:trPr>
        <w:tc>
          <w:tcPr>
            <w:tcW w:w="817" w:type="dxa"/>
            <w:noWrap/>
            <w:vAlign w:val="center"/>
          </w:tcPr>
          <w:p w14:paraId="385836F7" w14:textId="08F7AF87"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17</w:t>
            </w:r>
          </w:p>
        </w:tc>
        <w:tc>
          <w:tcPr>
            <w:tcW w:w="4140" w:type="dxa"/>
            <w:noWrap/>
          </w:tcPr>
          <w:p w14:paraId="2B416D2F" w14:textId="2986876D" w:rsidR="00BB7989" w:rsidRPr="006B3782" w:rsidRDefault="00BB7989" w:rsidP="006B3782">
            <w:pPr>
              <w:spacing w:after="0" w:line="240" w:lineRule="auto"/>
              <w:jc w:val="both"/>
              <w:rPr>
                <w:rFonts w:ascii="Times New Roman" w:eastAsia="楷体" w:hAnsi="Times New Roman" w:cs="Times New Roman"/>
                <w:color w:val="000000"/>
                <w:sz w:val="24"/>
                <w:szCs w:val="24"/>
                <w:lang w:val="en-US"/>
              </w:rPr>
            </w:pPr>
            <w:proofErr w:type="gramStart"/>
            <w:r w:rsidRPr="006B3782">
              <w:rPr>
                <w:rFonts w:ascii="Times New Roman" w:eastAsia="楷体" w:hAnsi="Times New Roman" w:cs="Times New Roman"/>
                <w:sz w:val="24"/>
                <w:szCs w:val="24"/>
              </w:rPr>
              <w:t>申万宏</w:t>
            </w:r>
            <w:proofErr w:type="gramEnd"/>
            <w:r w:rsidRPr="006B3782">
              <w:rPr>
                <w:rFonts w:ascii="Times New Roman" w:eastAsia="楷体" w:hAnsi="Times New Roman" w:cs="Times New Roman"/>
                <w:sz w:val="24"/>
                <w:szCs w:val="24"/>
              </w:rPr>
              <w:t>源研究所</w:t>
            </w:r>
          </w:p>
        </w:tc>
      </w:tr>
      <w:tr w:rsidR="00BB7989" w:rsidRPr="006B3782" w14:paraId="3C20680C" w14:textId="63672FB5" w:rsidTr="00BB7989">
        <w:trPr>
          <w:trHeight w:val="276"/>
        </w:trPr>
        <w:tc>
          <w:tcPr>
            <w:tcW w:w="817" w:type="dxa"/>
            <w:noWrap/>
            <w:vAlign w:val="center"/>
          </w:tcPr>
          <w:p w14:paraId="7B97F17F" w14:textId="4FE8CA91"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18</w:t>
            </w:r>
          </w:p>
        </w:tc>
        <w:tc>
          <w:tcPr>
            <w:tcW w:w="4140" w:type="dxa"/>
            <w:noWrap/>
            <w:vAlign w:val="center"/>
          </w:tcPr>
          <w:p w14:paraId="0F188E86" w14:textId="6B8D13EE" w:rsidR="00BB7989" w:rsidRPr="006B3782" w:rsidRDefault="00BB7989" w:rsidP="005F737E">
            <w:pPr>
              <w:spacing w:after="0" w:line="240" w:lineRule="auto"/>
              <w:jc w:val="both"/>
              <w:rPr>
                <w:rFonts w:ascii="Times New Roman" w:eastAsia="楷体" w:hAnsi="Times New Roman" w:cs="Times New Roman"/>
                <w:color w:val="000000"/>
                <w:sz w:val="24"/>
                <w:szCs w:val="24"/>
                <w:lang w:val="en-US"/>
              </w:rPr>
            </w:pPr>
            <w:r w:rsidRPr="006B3782">
              <w:rPr>
                <w:rFonts w:ascii="Times New Roman" w:eastAsia="楷体" w:hAnsi="Times New Roman" w:cs="Times New Roman"/>
                <w:sz w:val="24"/>
                <w:szCs w:val="24"/>
              </w:rPr>
              <w:t>中金公司</w:t>
            </w:r>
          </w:p>
        </w:tc>
      </w:tr>
      <w:tr w:rsidR="00BB7989" w:rsidRPr="006B3782" w14:paraId="7AAFAD25" w14:textId="3324EB95" w:rsidTr="00BB7989">
        <w:trPr>
          <w:trHeight w:val="276"/>
        </w:trPr>
        <w:tc>
          <w:tcPr>
            <w:tcW w:w="817" w:type="dxa"/>
            <w:noWrap/>
            <w:vAlign w:val="center"/>
          </w:tcPr>
          <w:p w14:paraId="42446522" w14:textId="6B1AC5E8"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19</w:t>
            </w:r>
          </w:p>
        </w:tc>
        <w:tc>
          <w:tcPr>
            <w:tcW w:w="4140" w:type="dxa"/>
            <w:noWrap/>
          </w:tcPr>
          <w:p w14:paraId="54E89BD9" w14:textId="362A2CF4" w:rsidR="00BB7989" w:rsidRPr="006B3782" w:rsidRDefault="00BB7989" w:rsidP="006B3782">
            <w:pPr>
              <w:spacing w:after="0" w:line="240" w:lineRule="auto"/>
              <w:jc w:val="both"/>
              <w:rPr>
                <w:rFonts w:ascii="Times New Roman" w:eastAsia="楷体" w:hAnsi="Times New Roman" w:cs="Times New Roman"/>
                <w:color w:val="000000"/>
                <w:sz w:val="24"/>
                <w:szCs w:val="24"/>
                <w:lang w:val="en-US"/>
              </w:rPr>
            </w:pPr>
            <w:r>
              <w:rPr>
                <w:rFonts w:ascii="Times New Roman" w:eastAsia="楷体" w:hAnsi="Times New Roman" w:cs="Times New Roman" w:hint="eastAsia"/>
                <w:sz w:val="24"/>
                <w:szCs w:val="24"/>
              </w:rPr>
              <w:t>瑞银</w:t>
            </w:r>
          </w:p>
        </w:tc>
      </w:tr>
      <w:tr w:rsidR="00BB7989" w:rsidRPr="006B3782" w14:paraId="18FAAE6A" w14:textId="69D8C92A" w:rsidTr="00BB7989">
        <w:trPr>
          <w:trHeight w:val="276"/>
        </w:trPr>
        <w:tc>
          <w:tcPr>
            <w:tcW w:w="817" w:type="dxa"/>
            <w:noWrap/>
            <w:vAlign w:val="center"/>
          </w:tcPr>
          <w:p w14:paraId="40925210" w14:textId="564D9F0B"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20</w:t>
            </w:r>
          </w:p>
        </w:tc>
        <w:tc>
          <w:tcPr>
            <w:tcW w:w="4140" w:type="dxa"/>
            <w:noWrap/>
          </w:tcPr>
          <w:p w14:paraId="4862FFC3" w14:textId="7734BF5C" w:rsidR="00BB7989" w:rsidRPr="006B3782" w:rsidRDefault="00BB7989" w:rsidP="006B3782">
            <w:pPr>
              <w:spacing w:after="0" w:line="240" w:lineRule="auto"/>
              <w:jc w:val="both"/>
              <w:rPr>
                <w:rFonts w:ascii="Times New Roman" w:eastAsia="楷体" w:hAnsi="Times New Roman" w:cs="Times New Roman"/>
                <w:color w:val="000000"/>
                <w:sz w:val="24"/>
                <w:szCs w:val="24"/>
                <w:lang w:val="en-US"/>
              </w:rPr>
            </w:pPr>
            <w:proofErr w:type="gramStart"/>
            <w:r w:rsidRPr="006B3782">
              <w:rPr>
                <w:rFonts w:ascii="Times New Roman" w:eastAsia="楷体" w:hAnsi="Times New Roman" w:cs="Times New Roman"/>
                <w:sz w:val="24"/>
                <w:szCs w:val="24"/>
              </w:rPr>
              <w:t>汇添富基金</w:t>
            </w:r>
            <w:proofErr w:type="gramEnd"/>
          </w:p>
        </w:tc>
      </w:tr>
      <w:tr w:rsidR="00BB7989" w:rsidRPr="00B04FFE" w14:paraId="57825454" w14:textId="6D000EFC" w:rsidTr="00BB7989">
        <w:trPr>
          <w:trHeight w:val="276"/>
        </w:trPr>
        <w:tc>
          <w:tcPr>
            <w:tcW w:w="817" w:type="dxa"/>
            <w:noWrap/>
            <w:vAlign w:val="center"/>
          </w:tcPr>
          <w:p w14:paraId="6401D26D" w14:textId="46F13D6A"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21</w:t>
            </w:r>
          </w:p>
        </w:tc>
        <w:tc>
          <w:tcPr>
            <w:tcW w:w="4140" w:type="dxa"/>
            <w:noWrap/>
          </w:tcPr>
          <w:p w14:paraId="34F28919" w14:textId="75EC816C" w:rsidR="00BB7989" w:rsidRPr="006B3782" w:rsidRDefault="00BB7989" w:rsidP="006B3782">
            <w:pPr>
              <w:spacing w:after="0" w:line="240" w:lineRule="auto"/>
              <w:jc w:val="both"/>
              <w:rPr>
                <w:rFonts w:ascii="Times New Roman" w:eastAsia="楷体" w:hAnsi="Times New Roman" w:cs="Times New Roman"/>
                <w:color w:val="000000"/>
                <w:sz w:val="24"/>
                <w:szCs w:val="24"/>
                <w:lang w:val="en-US"/>
              </w:rPr>
            </w:pPr>
            <w:r w:rsidRPr="006B3782">
              <w:rPr>
                <w:rFonts w:ascii="Times New Roman" w:eastAsia="楷体" w:hAnsi="Times New Roman" w:cs="Times New Roman"/>
                <w:sz w:val="24"/>
                <w:szCs w:val="24"/>
              </w:rPr>
              <w:t>赣州发展投资基金管理有限公司</w:t>
            </w:r>
          </w:p>
        </w:tc>
      </w:tr>
      <w:tr w:rsidR="00BB7989" w:rsidRPr="006B3782" w14:paraId="1CDA3768" w14:textId="77777777" w:rsidTr="00BB7989">
        <w:trPr>
          <w:trHeight w:val="276"/>
        </w:trPr>
        <w:tc>
          <w:tcPr>
            <w:tcW w:w="817" w:type="dxa"/>
            <w:noWrap/>
            <w:vAlign w:val="center"/>
          </w:tcPr>
          <w:p w14:paraId="1B31A74C" w14:textId="07D0656C"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22</w:t>
            </w:r>
          </w:p>
        </w:tc>
        <w:tc>
          <w:tcPr>
            <w:tcW w:w="4140" w:type="dxa"/>
            <w:noWrap/>
          </w:tcPr>
          <w:p w14:paraId="5AEBD1AB" w14:textId="37D436B6" w:rsidR="00BB7989" w:rsidRPr="006B3782" w:rsidRDefault="00BB7989" w:rsidP="006B3782">
            <w:pPr>
              <w:spacing w:after="0" w:line="240" w:lineRule="auto"/>
              <w:jc w:val="both"/>
              <w:rPr>
                <w:rFonts w:ascii="Times New Roman" w:eastAsia="楷体" w:hAnsi="Times New Roman" w:cs="Times New Roman"/>
                <w:color w:val="000000"/>
                <w:sz w:val="24"/>
                <w:szCs w:val="24"/>
                <w:lang w:val="en-US"/>
              </w:rPr>
            </w:pPr>
            <w:proofErr w:type="gramStart"/>
            <w:r w:rsidRPr="006B3782">
              <w:rPr>
                <w:rFonts w:ascii="Times New Roman" w:eastAsia="楷体" w:hAnsi="Times New Roman" w:cs="Times New Roman"/>
                <w:sz w:val="24"/>
                <w:szCs w:val="24"/>
              </w:rPr>
              <w:t>源悦私募</w:t>
            </w:r>
            <w:proofErr w:type="gramEnd"/>
            <w:r w:rsidRPr="006B3782">
              <w:rPr>
                <w:rFonts w:ascii="Times New Roman" w:eastAsia="楷体" w:hAnsi="Times New Roman" w:cs="Times New Roman"/>
                <w:sz w:val="24"/>
                <w:szCs w:val="24"/>
              </w:rPr>
              <w:t>基金</w:t>
            </w:r>
          </w:p>
        </w:tc>
      </w:tr>
      <w:tr w:rsidR="00BB7989" w:rsidRPr="006B3782" w14:paraId="6108E64C" w14:textId="77777777" w:rsidTr="00BB7989">
        <w:trPr>
          <w:trHeight w:val="276"/>
        </w:trPr>
        <w:tc>
          <w:tcPr>
            <w:tcW w:w="817" w:type="dxa"/>
            <w:noWrap/>
            <w:vAlign w:val="center"/>
          </w:tcPr>
          <w:p w14:paraId="4E9BAA35" w14:textId="181D2AE0"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23</w:t>
            </w:r>
          </w:p>
        </w:tc>
        <w:tc>
          <w:tcPr>
            <w:tcW w:w="4140" w:type="dxa"/>
            <w:noWrap/>
          </w:tcPr>
          <w:p w14:paraId="44DD92DD" w14:textId="396DCB15" w:rsidR="00BB7989" w:rsidRPr="006B3782" w:rsidRDefault="00BB7989" w:rsidP="006B3782">
            <w:pPr>
              <w:spacing w:after="0" w:line="240" w:lineRule="auto"/>
              <w:jc w:val="both"/>
              <w:rPr>
                <w:rFonts w:ascii="Times New Roman" w:eastAsia="楷体" w:hAnsi="Times New Roman" w:cs="Times New Roman"/>
                <w:color w:val="000000"/>
                <w:sz w:val="24"/>
                <w:szCs w:val="24"/>
                <w:lang w:val="en-US"/>
              </w:rPr>
            </w:pPr>
            <w:r w:rsidRPr="006B3782">
              <w:rPr>
                <w:rFonts w:ascii="Times New Roman" w:eastAsia="楷体" w:hAnsi="Times New Roman" w:cs="Times New Roman"/>
                <w:sz w:val="24"/>
                <w:szCs w:val="24"/>
              </w:rPr>
              <w:t>金山湖投资</w:t>
            </w:r>
          </w:p>
        </w:tc>
      </w:tr>
      <w:tr w:rsidR="00BB7989" w:rsidRPr="006B3782" w14:paraId="48F4E93C" w14:textId="77777777" w:rsidTr="00BB7989">
        <w:trPr>
          <w:trHeight w:val="276"/>
        </w:trPr>
        <w:tc>
          <w:tcPr>
            <w:tcW w:w="817" w:type="dxa"/>
            <w:noWrap/>
            <w:vAlign w:val="center"/>
          </w:tcPr>
          <w:p w14:paraId="1B77A31E" w14:textId="5B60DAE0"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24</w:t>
            </w:r>
          </w:p>
        </w:tc>
        <w:tc>
          <w:tcPr>
            <w:tcW w:w="4140" w:type="dxa"/>
            <w:noWrap/>
          </w:tcPr>
          <w:p w14:paraId="57B96D7E" w14:textId="4414ABA9" w:rsidR="00BB7989" w:rsidRPr="006B3782" w:rsidRDefault="00BB7989" w:rsidP="006B3782">
            <w:pPr>
              <w:spacing w:after="0" w:line="240" w:lineRule="auto"/>
              <w:jc w:val="both"/>
              <w:rPr>
                <w:rFonts w:ascii="Times New Roman" w:eastAsia="楷体" w:hAnsi="Times New Roman" w:cs="Times New Roman"/>
                <w:color w:val="000000"/>
                <w:sz w:val="24"/>
                <w:szCs w:val="24"/>
                <w:lang w:val="en-US"/>
              </w:rPr>
            </w:pPr>
            <w:r w:rsidRPr="006B3782">
              <w:rPr>
                <w:rFonts w:ascii="Times New Roman" w:eastAsia="楷体" w:hAnsi="Times New Roman" w:cs="Times New Roman"/>
                <w:sz w:val="24"/>
                <w:szCs w:val="24"/>
              </w:rPr>
              <w:t>明澄投资</w:t>
            </w:r>
          </w:p>
        </w:tc>
      </w:tr>
      <w:tr w:rsidR="00BB7989" w:rsidRPr="006B3782" w14:paraId="5F304058" w14:textId="77777777" w:rsidTr="00BB7989">
        <w:trPr>
          <w:trHeight w:val="276"/>
        </w:trPr>
        <w:tc>
          <w:tcPr>
            <w:tcW w:w="817" w:type="dxa"/>
            <w:noWrap/>
            <w:vAlign w:val="center"/>
          </w:tcPr>
          <w:p w14:paraId="7E6EB155" w14:textId="465AE6EF"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25</w:t>
            </w:r>
          </w:p>
        </w:tc>
        <w:tc>
          <w:tcPr>
            <w:tcW w:w="4140" w:type="dxa"/>
            <w:noWrap/>
          </w:tcPr>
          <w:p w14:paraId="7796031C" w14:textId="680A53B9" w:rsidR="00BB7989" w:rsidRPr="006B3782" w:rsidRDefault="00BB7989" w:rsidP="006B3782">
            <w:pPr>
              <w:spacing w:after="0" w:line="240" w:lineRule="auto"/>
              <w:jc w:val="both"/>
              <w:rPr>
                <w:rFonts w:ascii="Times New Roman" w:eastAsia="楷体" w:hAnsi="Times New Roman" w:cs="Times New Roman"/>
                <w:color w:val="000000"/>
                <w:sz w:val="24"/>
                <w:szCs w:val="24"/>
                <w:lang w:val="en-US"/>
              </w:rPr>
            </w:pPr>
            <w:r w:rsidRPr="006B3782">
              <w:rPr>
                <w:rFonts w:ascii="Times New Roman" w:eastAsia="楷体" w:hAnsi="Times New Roman" w:cs="Times New Roman"/>
                <w:sz w:val="24"/>
                <w:szCs w:val="24"/>
              </w:rPr>
              <w:t>杭州</w:t>
            </w:r>
            <w:proofErr w:type="gramStart"/>
            <w:r w:rsidRPr="006B3782">
              <w:rPr>
                <w:rFonts w:ascii="Times New Roman" w:eastAsia="楷体" w:hAnsi="Times New Roman" w:cs="Times New Roman"/>
                <w:sz w:val="24"/>
                <w:szCs w:val="24"/>
              </w:rPr>
              <w:t>信持力资产</w:t>
            </w:r>
            <w:proofErr w:type="gramEnd"/>
            <w:r w:rsidRPr="006B3782">
              <w:rPr>
                <w:rFonts w:ascii="Times New Roman" w:eastAsia="楷体" w:hAnsi="Times New Roman" w:cs="Times New Roman"/>
                <w:sz w:val="24"/>
                <w:szCs w:val="24"/>
              </w:rPr>
              <w:t>管理有限公司</w:t>
            </w:r>
          </w:p>
        </w:tc>
      </w:tr>
      <w:tr w:rsidR="00BB7989" w:rsidRPr="006B3782" w14:paraId="276BEBE8" w14:textId="77777777" w:rsidTr="00BB7989">
        <w:trPr>
          <w:trHeight w:val="276"/>
        </w:trPr>
        <w:tc>
          <w:tcPr>
            <w:tcW w:w="817" w:type="dxa"/>
            <w:noWrap/>
            <w:vAlign w:val="center"/>
          </w:tcPr>
          <w:p w14:paraId="2DC3DE98" w14:textId="29CC3174"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26</w:t>
            </w:r>
          </w:p>
        </w:tc>
        <w:tc>
          <w:tcPr>
            <w:tcW w:w="4140" w:type="dxa"/>
            <w:noWrap/>
          </w:tcPr>
          <w:p w14:paraId="4E3F2C28" w14:textId="6F3ADE89" w:rsidR="00BB7989" w:rsidRPr="006B3782" w:rsidRDefault="00BB7989" w:rsidP="006B3782">
            <w:pPr>
              <w:spacing w:after="0" w:line="240" w:lineRule="auto"/>
              <w:jc w:val="both"/>
              <w:rPr>
                <w:rFonts w:ascii="Times New Roman" w:eastAsia="楷体" w:hAnsi="Times New Roman" w:cs="Times New Roman"/>
                <w:color w:val="000000"/>
                <w:sz w:val="24"/>
                <w:szCs w:val="24"/>
                <w:lang w:val="en-US"/>
              </w:rPr>
            </w:pPr>
            <w:r w:rsidRPr="006B3782">
              <w:rPr>
                <w:rFonts w:ascii="Times New Roman" w:eastAsia="楷体" w:hAnsi="Times New Roman" w:cs="Times New Roman"/>
                <w:sz w:val="24"/>
                <w:szCs w:val="24"/>
              </w:rPr>
              <w:t>沸点资本</w:t>
            </w:r>
          </w:p>
        </w:tc>
      </w:tr>
      <w:tr w:rsidR="00BB7989" w:rsidRPr="006B3782" w14:paraId="6DE4FD5F" w14:textId="77777777" w:rsidTr="00BB7989">
        <w:trPr>
          <w:trHeight w:val="276"/>
        </w:trPr>
        <w:tc>
          <w:tcPr>
            <w:tcW w:w="817" w:type="dxa"/>
            <w:noWrap/>
            <w:vAlign w:val="center"/>
          </w:tcPr>
          <w:p w14:paraId="53A84808" w14:textId="12C2B31C"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27</w:t>
            </w:r>
          </w:p>
        </w:tc>
        <w:tc>
          <w:tcPr>
            <w:tcW w:w="4140" w:type="dxa"/>
            <w:noWrap/>
          </w:tcPr>
          <w:p w14:paraId="79E03EB5" w14:textId="4078110D" w:rsidR="00BB7989" w:rsidRPr="006B3782" w:rsidRDefault="00BB7989" w:rsidP="006B3782">
            <w:pPr>
              <w:spacing w:after="0" w:line="240" w:lineRule="auto"/>
              <w:jc w:val="both"/>
              <w:rPr>
                <w:rFonts w:ascii="Times New Roman" w:eastAsia="楷体" w:hAnsi="Times New Roman" w:cs="Times New Roman"/>
                <w:color w:val="000000"/>
                <w:sz w:val="24"/>
                <w:szCs w:val="24"/>
                <w:lang w:val="en-US"/>
              </w:rPr>
            </w:pPr>
            <w:proofErr w:type="gramStart"/>
            <w:r w:rsidRPr="006B3782">
              <w:rPr>
                <w:rFonts w:ascii="Times New Roman" w:eastAsia="楷体" w:hAnsi="Times New Roman" w:cs="Times New Roman"/>
                <w:sz w:val="24"/>
                <w:szCs w:val="24"/>
              </w:rPr>
              <w:t>宁泉资产</w:t>
            </w:r>
            <w:proofErr w:type="gramEnd"/>
          </w:p>
        </w:tc>
      </w:tr>
      <w:tr w:rsidR="00BB7989" w:rsidRPr="006B3782" w14:paraId="6D96ADB2" w14:textId="77777777" w:rsidTr="00BB7989">
        <w:trPr>
          <w:trHeight w:val="276"/>
        </w:trPr>
        <w:tc>
          <w:tcPr>
            <w:tcW w:w="817" w:type="dxa"/>
            <w:noWrap/>
            <w:vAlign w:val="center"/>
          </w:tcPr>
          <w:p w14:paraId="23DF676B" w14:textId="77919661"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28</w:t>
            </w:r>
          </w:p>
        </w:tc>
        <w:tc>
          <w:tcPr>
            <w:tcW w:w="4140" w:type="dxa"/>
            <w:noWrap/>
          </w:tcPr>
          <w:p w14:paraId="4C8F3309" w14:textId="5932ED1F" w:rsidR="00BB7989" w:rsidRPr="006B3782" w:rsidRDefault="00BB7989" w:rsidP="006B3782">
            <w:pPr>
              <w:spacing w:after="0" w:line="240" w:lineRule="auto"/>
              <w:jc w:val="both"/>
              <w:rPr>
                <w:rFonts w:ascii="Times New Roman" w:eastAsia="楷体" w:hAnsi="Times New Roman" w:cs="Times New Roman"/>
                <w:color w:val="000000"/>
                <w:sz w:val="24"/>
                <w:szCs w:val="24"/>
                <w:lang w:val="en-US"/>
              </w:rPr>
            </w:pPr>
            <w:r w:rsidRPr="006B3782">
              <w:rPr>
                <w:rFonts w:ascii="Times New Roman" w:eastAsia="楷体" w:hAnsi="Times New Roman" w:cs="Times New Roman"/>
                <w:sz w:val="24"/>
                <w:szCs w:val="24"/>
              </w:rPr>
              <w:t>朱雀基金</w:t>
            </w:r>
          </w:p>
        </w:tc>
      </w:tr>
      <w:tr w:rsidR="00BB7989" w:rsidRPr="006B3782" w14:paraId="4E472B40" w14:textId="77777777" w:rsidTr="00BB7989">
        <w:trPr>
          <w:trHeight w:val="276"/>
        </w:trPr>
        <w:tc>
          <w:tcPr>
            <w:tcW w:w="817" w:type="dxa"/>
            <w:noWrap/>
            <w:vAlign w:val="center"/>
          </w:tcPr>
          <w:p w14:paraId="18A4D42F" w14:textId="51562DA9"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29</w:t>
            </w:r>
          </w:p>
        </w:tc>
        <w:tc>
          <w:tcPr>
            <w:tcW w:w="4140" w:type="dxa"/>
            <w:noWrap/>
          </w:tcPr>
          <w:p w14:paraId="066CBDFC" w14:textId="2B6B83FF" w:rsidR="00BB7989" w:rsidRPr="006B3782" w:rsidRDefault="00BB7989" w:rsidP="006B3782">
            <w:pPr>
              <w:spacing w:after="0" w:line="240" w:lineRule="auto"/>
              <w:jc w:val="both"/>
              <w:rPr>
                <w:rFonts w:ascii="Times New Roman" w:eastAsia="楷体" w:hAnsi="Times New Roman" w:cs="Times New Roman"/>
                <w:sz w:val="24"/>
                <w:szCs w:val="24"/>
              </w:rPr>
            </w:pPr>
            <w:r w:rsidRPr="006B3782">
              <w:rPr>
                <w:rFonts w:ascii="Times New Roman" w:eastAsia="楷体" w:hAnsi="Times New Roman" w:cs="Times New Roman"/>
                <w:sz w:val="24"/>
                <w:szCs w:val="24"/>
              </w:rPr>
              <w:t>上海</w:t>
            </w:r>
            <w:proofErr w:type="gramStart"/>
            <w:r w:rsidRPr="006B3782">
              <w:rPr>
                <w:rFonts w:ascii="Times New Roman" w:eastAsia="楷体" w:hAnsi="Times New Roman" w:cs="Times New Roman"/>
                <w:sz w:val="24"/>
                <w:szCs w:val="24"/>
              </w:rPr>
              <w:t>潼骁</w:t>
            </w:r>
            <w:proofErr w:type="gramEnd"/>
            <w:r w:rsidRPr="006B3782">
              <w:rPr>
                <w:rFonts w:ascii="Times New Roman" w:eastAsia="楷体" w:hAnsi="Times New Roman" w:cs="Times New Roman"/>
                <w:sz w:val="24"/>
                <w:szCs w:val="24"/>
              </w:rPr>
              <w:t>投资</w:t>
            </w:r>
          </w:p>
        </w:tc>
      </w:tr>
      <w:tr w:rsidR="00BB7989" w:rsidRPr="006B3782" w14:paraId="1B554535" w14:textId="77777777" w:rsidTr="00BB7989">
        <w:trPr>
          <w:trHeight w:val="276"/>
        </w:trPr>
        <w:tc>
          <w:tcPr>
            <w:tcW w:w="817" w:type="dxa"/>
            <w:noWrap/>
            <w:vAlign w:val="center"/>
          </w:tcPr>
          <w:p w14:paraId="1600C6DA" w14:textId="34F6F5C4"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30</w:t>
            </w:r>
          </w:p>
        </w:tc>
        <w:tc>
          <w:tcPr>
            <w:tcW w:w="4140" w:type="dxa"/>
            <w:noWrap/>
          </w:tcPr>
          <w:p w14:paraId="36D95404" w14:textId="56B3A9F3" w:rsidR="00BB7989" w:rsidRPr="006B3782" w:rsidRDefault="00BB7989" w:rsidP="006B3782">
            <w:pPr>
              <w:spacing w:after="0" w:line="240" w:lineRule="auto"/>
              <w:jc w:val="both"/>
              <w:rPr>
                <w:rFonts w:ascii="Times New Roman" w:eastAsia="楷体" w:hAnsi="Times New Roman" w:cs="Times New Roman"/>
                <w:sz w:val="24"/>
                <w:szCs w:val="24"/>
              </w:rPr>
            </w:pPr>
            <w:r w:rsidRPr="006B3782">
              <w:rPr>
                <w:rFonts w:ascii="Times New Roman" w:eastAsia="楷体" w:hAnsi="Times New Roman" w:cs="Times New Roman"/>
                <w:sz w:val="24"/>
                <w:szCs w:val="24"/>
              </w:rPr>
              <w:t>建信</w:t>
            </w:r>
            <w:proofErr w:type="gramStart"/>
            <w:r w:rsidRPr="006B3782">
              <w:rPr>
                <w:rFonts w:ascii="Times New Roman" w:eastAsia="楷体" w:hAnsi="Times New Roman" w:cs="Times New Roman"/>
                <w:sz w:val="24"/>
                <w:szCs w:val="24"/>
              </w:rPr>
              <w:t>保险资管</w:t>
            </w:r>
            <w:proofErr w:type="gramEnd"/>
          </w:p>
        </w:tc>
      </w:tr>
      <w:tr w:rsidR="00BB7989" w:rsidRPr="006B3782" w14:paraId="2E19B81C" w14:textId="77777777" w:rsidTr="00BB7989">
        <w:trPr>
          <w:trHeight w:val="276"/>
        </w:trPr>
        <w:tc>
          <w:tcPr>
            <w:tcW w:w="817" w:type="dxa"/>
            <w:noWrap/>
            <w:vAlign w:val="center"/>
          </w:tcPr>
          <w:p w14:paraId="5FFE267A" w14:textId="71B3C8E4"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31</w:t>
            </w:r>
          </w:p>
        </w:tc>
        <w:tc>
          <w:tcPr>
            <w:tcW w:w="4140" w:type="dxa"/>
            <w:noWrap/>
          </w:tcPr>
          <w:p w14:paraId="341704B1" w14:textId="458BA0B9" w:rsidR="00BB7989" w:rsidRPr="006B3782" w:rsidRDefault="00BB7989" w:rsidP="006B3782">
            <w:pPr>
              <w:spacing w:after="0" w:line="240" w:lineRule="auto"/>
              <w:jc w:val="both"/>
              <w:rPr>
                <w:rFonts w:ascii="Times New Roman" w:eastAsia="楷体" w:hAnsi="Times New Roman" w:cs="Times New Roman"/>
                <w:sz w:val="24"/>
                <w:szCs w:val="24"/>
              </w:rPr>
            </w:pPr>
            <w:r w:rsidRPr="006B3782">
              <w:rPr>
                <w:rFonts w:ascii="Times New Roman" w:eastAsia="楷体" w:hAnsi="Times New Roman" w:cs="Times New Roman"/>
                <w:sz w:val="24"/>
                <w:szCs w:val="24"/>
              </w:rPr>
              <w:t>大成基金</w:t>
            </w:r>
          </w:p>
        </w:tc>
      </w:tr>
      <w:tr w:rsidR="00BB7989" w:rsidRPr="006B3782" w14:paraId="59053BB7" w14:textId="77777777" w:rsidTr="00BB7989">
        <w:trPr>
          <w:trHeight w:val="276"/>
        </w:trPr>
        <w:tc>
          <w:tcPr>
            <w:tcW w:w="817" w:type="dxa"/>
            <w:noWrap/>
            <w:vAlign w:val="center"/>
          </w:tcPr>
          <w:p w14:paraId="052A29D6" w14:textId="309CE2A6"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32</w:t>
            </w:r>
          </w:p>
        </w:tc>
        <w:tc>
          <w:tcPr>
            <w:tcW w:w="4140" w:type="dxa"/>
            <w:noWrap/>
          </w:tcPr>
          <w:p w14:paraId="3D93A99E" w14:textId="18A1C40F" w:rsidR="00BB7989" w:rsidRPr="006B3782" w:rsidRDefault="00BB7989" w:rsidP="006B3782">
            <w:pPr>
              <w:spacing w:after="0" w:line="240" w:lineRule="auto"/>
              <w:jc w:val="both"/>
              <w:rPr>
                <w:rFonts w:ascii="Times New Roman" w:eastAsia="楷体" w:hAnsi="Times New Roman" w:cs="Times New Roman"/>
                <w:sz w:val="24"/>
                <w:szCs w:val="24"/>
              </w:rPr>
            </w:pPr>
            <w:r w:rsidRPr="006B3782">
              <w:rPr>
                <w:rFonts w:ascii="Times New Roman" w:eastAsia="楷体" w:hAnsi="Times New Roman" w:cs="Times New Roman"/>
                <w:sz w:val="24"/>
                <w:szCs w:val="24"/>
              </w:rPr>
              <w:t>中银理财</w:t>
            </w:r>
          </w:p>
        </w:tc>
      </w:tr>
      <w:tr w:rsidR="00BB7989" w:rsidRPr="006B3782" w14:paraId="2F845914" w14:textId="77777777" w:rsidTr="00BB7989">
        <w:trPr>
          <w:trHeight w:val="276"/>
        </w:trPr>
        <w:tc>
          <w:tcPr>
            <w:tcW w:w="817" w:type="dxa"/>
            <w:noWrap/>
            <w:vAlign w:val="center"/>
          </w:tcPr>
          <w:p w14:paraId="3FD34ABF" w14:textId="290673AE"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33</w:t>
            </w:r>
          </w:p>
        </w:tc>
        <w:tc>
          <w:tcPr>
            <w:tcW w:w="4140" w:type="dxa"/>
            <w:noWrap/>
          </w:tcPr>
          <w:p w14:paraId="27E74845" w14:textId="10EB27AD" w:rsidR="00BB7989" w:rsidRPr="006B3782" w:rsidRDefault="00BB7989" w:rsidP="006B3782">
            <w:pPr>
              <w:spacing w:after="0" w:line="240" w:lineRule="auto"/>
              <w:jc w:val="both"/>
              <w:rPr>
                <w:rFonts w:ascii="Times New Roman" w:eastAsia="楷体" w:hAnsi="Times New Roman" w:cs="Times New Roman"/>
                <w:sz w:val="24"/>
                <w:szCs w:val="24"/>
              </w:rPr>
            </w:pPr>
            <w:r w:rsidRPr="006B3782">
              <w:rPr>
                <w:rFonts w:ascii="Times New Roman" w:eastAsia="楷体" w:hAnsi="Times New Roman" w:cs="Times New Roman"/>
                <w:sz w:val="24"/>
                <w:szCs w:val="24"/>
              </w:rPr>
              <w:t>华泰</w:t>
            </w:r>
            <w:proofErr w:type="gramStart"/>
            <w:r w:rsidRPr="006B3782">
              <w:rPr>
                <w:rFonts w:ascii="Times New Roman" w:eastAsia="楷体" w:hAnsi="Times New Roman" w:cs="Times New Roman"/>
                <w:sz w:val="24"/>
                <w:szCs w:val="24"/>
              </w:rPr>
              <w:t>证券资管</w:t>
            </w:r>
            <w:proofErr w:type="gramEnd"/>
          </w:p>
        </w:tc>
      </w:tr>
      <w:tr w:rsidR="00BB7989" w:rsidRPr="006B3782" w14:paraId="630F9983" w14:textId="77777777" w:rsidTr="00BB7989">
        <w:trPr>
          <w:trHeight w:val="276"/>
        </w:trPr>
        <w:tc>
          <w:tcPr>
            <w:tcW w:w="817" w:type="dxa"/>
            <w:noWrap/>
            <w:vAlign w:val="center"/>
          </w:tcPr>
          <w:p w14:paraId="6FD58ED8" w14:textId="0549C90C" w:rsidR="00BB7989" w:rsidRPr="006B3782" w:rsidRDefault="00BB7989" w:rsidP="006B3782">
            <w:pPr>
              <w:spacing w:after="0" w:line="240" w:lineRule="auto"/>
              <w:jc w:val="center"/>
              <w:rPr>
                <w:rFonts w:ascii="Times New Roman" w:eastAsia="楷体" w:hAnsi="Times New Roman" w:cs="Times New Roman"/>
                <w:color w:val="000000"/>
                <w:sz w:val="24"/>
                <w:szCs w:val="24"/>
                <w:lang w:val="en-US"/>
              </w:rPr>
            </w:pPr>
            <w:r w:rsidRPr="006B3782">
              <w:rPr>
                <w:rFonts w:ascii="Times New Roman" w:eastAsia="楷体" w:hAnsi="Times New Roman" w:cs="Times New Roman"/>
                <w:color w:val="000000"/>
                <w:sz w:val="24"/>
                <w:szCs w:val="24"/>
                <w:lang w:val="en-US"/>
              </w:rPr>
              <w:t>34</w:t>
            </w:r>
          </w:p>
        </w:tc>
        <w:tc>
          <w:tcPr>
            <w:tcW w:w="4140" w:type="dxa"/>
            <w:noWrap/>
          </w:tcPr>
          <w:p w14:paraId="6ED5F7BE" w14:textId="285DE27A" w:rsidR="00BB7989" w:rsidRPr="006B3782" w:rsidRDefault="00BB7989" w:rsidP="006B3782">
            <w:pPr>
              <w:spacing w:after="0" w:line="240" w:lineRule="auto"/>
              <w:jc w:val="both"/>
              <w:rPr>
                <w:rFonts w:ascii="Times New Roman" w:eastAsia="楷体" w:hAnsi="Times New Roman" w:cs="Times New Roman"/>
                <w:sz w:val="24"/>
                <w:szCs w:val="24"/>
              </w:rPr>
            </w:pPr>
            <w:proofErr w:type="gramStart"/>
            <w:r w:rsidRPr="006B3782">
              <w:rPr>
                <w:rFonts w:ascii="Times New Roman" w:eastAsia="楷体" w:hAnsi="Times New Roman" w:cs="Times New Roman"/>
                <w:sz w:val="24"/>
                <w:szCs w:val="24"/>
              </w:rPr>
              <w:t>弘尚资产</w:t>
            </w:r>
            <w:proofErr w:type="gramEnd"/>
          </w:p>
        </w:tc>
      </w:tr>
    </w:tbl>
    <w:p w14:paraId="594C2F92" w14:textId="77777777" w:rsidR="003A6A47" w:rsidRPr="00D84E3B" w:rsidRDefault="003A6A47" w:rsidP="00CE7A04">
      <w:pPr>
        <w:rPr>
          <w:rFonts w:ascii="Times New Roman" w:eastAsia="楷体" w:hAnsi="Times New Roman" w:cs="Times New Roman"/>
          <w:sz w:val="24"/>
          <w:szCs w:val="24"/>
          <w:lang w:val="en-US"/>
        </w:rPr>
      </w:pPr>
    </w:p>
    <w:sectPr w:rsidR="003A6A47" w:rsidRPr="00D84E3B" w:rsidSect="006B3782">
      <w:headerReference w:type="default" r:id="rId10"/>
      <w:footerReference w:type="default" r:id="rId11"/>
      <w:pgSz w:w="11906" w:h="16838"/>
      <w:pgMar w:top="1440" w:right="1800" w:bottom="1276" w:left="1800" w:header="851" w:footer="49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8B03" w14:textId="77777777" w:rsidR="00535821" w:rsidRDefault="00535821" w:rsidP="00226B25">
      <w:pPr>
        <w:spacing w:after="0" w:line="240" w:lineRule="auto"/>
      </w:pPr>
      <w:r>
        <w:separator/>
      </w:r>
    </w:p>
  </w:endnote>
  <w:endnote w:type="continuationSeparator" w:id="0">
    <w:p w14:paraId="01BE1BEE" w14:textId="77777777" w:rsidR="00535821" w:rsidRDefault="00535821" w:rsidP="00226B25">
      <w:pPr>
        <w:spacing w:after="0" w:line="240" w:lineRule="auto"/>
      </w:pPr>
      <w:r>
        <w:continuationSeparator/>
      </w:r>
    </w:p>
  </w:endnote>
  <w:endnote w:type="continuationNotice" w:id="1">
    <w:p w14:paraId="05A631AB" w14:textId="77777777" w:rsidR="00535821" w:rsidRDefault="005358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127490"/>
      <w:docPartObj>
        <w:docPartGallery w:val="Page Numbers (Bottom of Page)"/>
        <w:docPartUnique/>
      </w:docPartObj>
    </w:sdtPr>
    <w:sdtEndPr>
      <w:rPr>
        <w:rFonts w:ascii="Times New Roman" w:hAnsi="Times New Roman" w:cs="Times New Roman"/>
      </w:rPr>
    </w:sdtEndPr>
    <w:sdtContent>
      <w:p w14:paraId="633BE877" w14:textId="42074528" w:rsidR="00086946" w:rsidRPr="00086946" w:rsidRDefault="00440207">
        <w:pPr>
          <w:pStyle w:val="a6"/>
          <w:jc w:val="center"/>
          <w:rPr>
            <w:rFonts w:ascii="Times New Roman" w:hAnsi="Times New Roman" w:cs="Times New Roman"/>
          </w:rPr>
        </w:pPr>
        <w:r w:rsidRPr="00086946">
          <w:rPr>
            <w:rFonts w:ascii="Times New Roman" w:hAnsi="Times New Roman" w:cs="Times New Roman"/>
          </w:rPr>
          <w:fldChar w:fldCharType="begin"/>
        </w:r>
        <w:r w:rsidR="00086946" w:rsidRPr="00086946">
          <w:rPr>
            <w:rFonts w:ascii="Times New Roman" w:hAnsi="Times New Roman" w:cs="Times New Roman"/>
          </w:rPr>
          <w:instrText>PAGE   \* MERGEFORMAT</w:instrText>
        </w:r>
        <w:r w:rsidRPr="00086946">
          <w:rPr>
            <w:rFonts w:ascii="Times New Roman" w:hAnsi="Times New Roman" w:cs="Times New Roman"/>
          </w:rPr>
          <w:fldChar w:fldCharType="separate"/>
        </w:r>
        <w:r w:rsidR="00BD19A1" w:rsidRPr="00BD19A1">
          <w:rPr>
            <w:rFonts w:ascii="Times New Roman" w:hAnsi="Times New Roman" w:cs="Times New Roman"/>
            <w:noProof/>
            <w:lang w:val="zh-CN"/>
          </w:rPr>
          <w:t>3</w:t>
        </w:r>
        <w:r w:rsidRPr="00086946">
          <w:rPr>
            <w:rFonts w:ascii="Times New Roman" w:hAnsi="Times New Roman" w:cs="Times New Roman"/>
          </w:rPr>
          <w:fldChar w:fldCharType="end"/>
        </w:r>
        <w:r w:rsidR="00050A0B">
          <w:rPr>
            <w:rFonts w:ascii="Times New Roman" w:hAnsi="Times New Roman" w:cs="Times New Roman" w:hint="eastAsia"/>
          </w:rPr>
          <w:t xml:space="preserve"> </w:t>
        </w:r>
        <w:r w:rsidR="00050A0B">
          <w:rPr>
            <w:rFonts w:ascii="Times New Roman" w:hAnsi="Times New Roman" w:cs="Times New Roman" w:hint="eastAsia"/>
          </w:rPr>
          <w:t xml:space="preserve">of </w:t>
        </w:r>
        <w:r w:rsidR="00050A0B">
          <w:rPr>
            <w:rFonts w:ascii="Times New Roman" w:hAnsi="Times New Roman" w:cs="Times New Roman"/>
          </w:rPr>
          <w:fldChar w:fldCharType="begin"/>
        </w:r>
        <w:r w:rsidR="00050A0B">
          <w:rPr>
            <w:rFonts w:ascii="Times New Roman" w:hAnsi="Times New Roman" w:cs="Times New Roman"/>
          </w:rPr>
          <w:instrText xml:space="preserve"> </w:instrText>
        </w:r>
        <w:r w:rsidR="00050A0B">
          <w:rPr>
            <w:rFonts w:ascii="Times New Roman" w:hAnsi="Times New Roman" w:cs="Times New Roman" w:hint="eastAsia"/>
          </w:rPr>
          <w:instrText>NUMPAGES  \* Arabic  \* MERGEFORMAT</w:instrText>
        </w:r>
        <w:r w:rsidR="00050A0B">
          <w:rPr>
            <w:rFonts w:ascii="Times New Roman" w:hAnsi="Times New Roman" w:cs="Times New Roman"/>
          </w:rPr>
          <w:instrText xml:space="preserve"> </w:instrText>
        </w:r>
        <w:r w:rsidR="00050A0B">
          <w:rPr>
            <w:rFonts w:ascii="Times New Roman" w:hAnsi="Times New Roman" w:cs="Times New Roman"/>
          </w:rPr>
          <w:fldChar w:fldCharType="separate"/>
        </w:r>
        <w:r w:rsidR="00050A0B">
          <w:rPr>
            <w:rFonts w:ascii="Times New Roman" w:hAnsi="Times New Roman" w:cs="Times New Roman"/>
            <w:noProof/>
          </w:rPr>
          <w:t>27</w:t>
        </w:r>
        <w:r w:rsidR="00050A0B">
          <w:rPr>
            <w:rFonts w:ascii="Times New Roman" w:hAnsi="Times New Roman" w:cs="Times New Roman"/>
          </w:rPr>
          <w:fldChar w:fldCharType="end"/>
        </w:r>
      </w:p>
    </w:sdtContent>
  </w:sdt>
  <w:p w14:paraId="0C520190" w14:textId="77777777" w:rsidR="00086946" w:rsidRDefault="000869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239CA" w14:textId="77777777" w:rsidR="00535821" w:rsidRDefault="00535821" w:rsidP="00226B25">
      <w:pPr>
        <w:spacing w:after="0" w:line="240" w:lineRule="auto"/>
      </w:pPr>
      <w:r>
        <w:separator/>
      </w:r>
    </w:p>
  </w:footnote>
  <w:footnote w:type="continuationSeparator" w:id="0">
    <w:p w14:paraId="7E239C7F" w14:textId="77777777" w:rsidR="00535821" w:rsidRDefault="00535821" w:rsidP="00226B25">
      <w:pPr>
        <w:spacing w:after="0" w:line="240" w:lineRule="auto"/>
      </w:pPr>
      <w:r>
        <w:continuationSeparator/>
      </w:r>
    </w:p>
  </w:footnote>
  <w:footnote w:type="continuationNotice" w:id="1">
    <w:p w14:paraId="6DB54EDE" w14:textId="77777777" w:rsidR="00535821" w:rsidRDefault="005358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819E" w14:textId="46C2BD38" w:rsidR="00B86FD7" w:rsidRPr="00D44165" w:rsidRDefault="00D44165" w:rsidP="00D44165">
    <w:pPr>
      <w:pStyle w:val="a4"/>
      <w:rPr>
        <w:rFonts w:ascii="Times New Roman" w:eastAsia="楷体" w:hAnsi="Times New Roman" w:cs="Times New Roman"/>
      </w:rPr>
    </w:pPr>
    <w:r w:rsidRPr="007B33A0">
      <w:rPr>
        <w:rFonts w:ascii="Times New Roman" w:eastAsia="楷体" w:hAnsi="Times New Roman" w:cs="Times New Roman"/>
      </w:rPr>
      <w:t>Bluestar Adisseo Company</w:t>
    </w:r>
    <w:r>
      <w:rPr>
        <w:rFonts w:ascii="Times New Roman" w:eastAsia="楷体" w:hAnsi="Times New Roman" w:cs="Times New Roman" w:hint="eastAsia"/>
      </w:rPr>
      <w:t xml:space="preserve"> </w:t>
    </w:r>
    <w:r w:rsidR="00521F0B" w:rsidRPr="009870C8">
      <w:rPr>
        <w:rFonts w:ascii="楷体" w:eastAsia="楷体" w:hAnsi="楷体" w:hint="eastAsia"/>
      </w:rPr>
      <w:t>蓝星安迪苏</w:t>
    </w:r>
    <w:r w:rsidR="00521F0B" w:rsidRPr="009870C8">
      <w:rPr>
        <w:rFonts w:ascii="楷体" w:eastAsia="楷体" w:hAnsi="楷体"/>
      </w:rPr>
      <w:t>股份有限公司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0C1D"/>
    <w:multiLevelType w:val="multilevel"/>
    <w:tmpl w:val="5C1C2CE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楷体"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D28B8"/>
    <w:multiLevelType w:val="hybridMultilevel"/>
    <w:tmpl w:val="164223E8"/>
    <w:lvl w:ilvl="0" w:tplc="A58A3922">
      <w:numFmt w:val="bullet"/>
      <w:lvlText w:val="•"/>
      <w:lvlJc w:val="left"/>
      <w:pPr>
        <w:ind w:left="4500" w:hanging="440"/>
      </w:pPr>
      <w:rPr>
        <w:rFonts w:ascii="Courier New" w:eastAsia="楷体" w:hAnsi="Courier New" w:cs="Courier New" w:hint="default"/>
      </w:rPr>
    </w:lvl>
    <w:lvl w:ilvl="1" w:tplc="FFFFFFFF">
      <w:start w:val="1"/>
      <w:numFmt w:val="decimal"/>
      <w:lvlText w:val="%2."/>
      <w:lvlJc w:val="left"/>
      <w:pPr>
        <w:ind w:left="4420" w:hanging="360"/>
      </w:pPr>
    </w:lvl>
    <w:lvl w:ilvl="2" w:tplc="FFFFFFFF">
      <w:start w:val="1"/>
      <w:numFmt w:val="bullet"/>
      <w:lvlText w:val=""/>
      <w:lvlJc w:val="left"/>
      <w:pPr>
        <w:ind w:left="5380" w:hanging="440"/>
      </w:pPr>
      <w:rPr>
        <w:rFonts w:ascii="Wingdings" w:hAnsi="Wingdings" w:hint="default"/>
      </w:rPr>
    </w:lvl>
    <w:lvl w:ilvl="3" w:tplc="FFFFFFFF" w:tentative="1">
      <w:start w:val="1"/>
      <w:numFmt w:val="bullet"/>
      <w:lvlText w:val=""/>
      <w:lvlJc w:val="left"/>
      <w:pPr>
        <w:ind w:left="5820" w:hanging="440"/>
      </w:pPr>
      <w:rPr>
        <w:rFonts w:ascii="Wingdings" w:hAnsi="Wingdings" w:hint="default"/>
      </w:rPr>
    </w:lvl>
    <w:lvl w:ilvl="4" w:tplc="FFFFFFFF" w:tentative="1">
      <w:start w:val="1"/>
      <w:numFmt w:val="bullet"/>
      <w:lvlText w:val=""/>
      <w:lvlJc w:val="left"/>
      <w:pPr>
        <w:ind w:left="6260" w:hanging="440"/>
      </w:pPr>
      <w:rPr>
        <w:rFonts w:ascii="Wingdings" w:hAnsi="Wingdings" w:hint="default"/>
      </w:rPr>
    </w:lvl>
    <w:lvl w:ilvl="5" w:tplc="FFFFFFFF" w:tentative="1">
      <w:start w:val="1"/>
      <w:numFmt w:val="bullet"/>
      <w:lvlText w:val=""/>
      <w:lvlJc w:val="left"/>
      <w:pPr>
        <w:ind w:left="6700" w:hanging="440"/>
      </w:pPr>
      <w:rPr>
        <w:rFonts w:ascii="Wingdings" w:hAnsi="Wingdings" w:hint="default"/>
      </w:rPr>
    </w:lvl>
    <w:lvl w:ilvl="6" w:tplc="FFFFFFFF" w:tentative="1">
      <w:start w:val="1"/>
      <w:numFmt w:val="bullet"/>
      <w:lvlText w:val=""/>
      <w:lvlJc w:val="left"/>
      <w:pPr>
        <w:ind w:left="7140" w:hanging="440"/>
      </w:pPr>
      <w:rPr>
        <w:rFonts w:ascii="Wingdings" w:hAnsi="Wingdings" w:hint="default"/>
      </w:rPr>
    </w:lvl>
    <w:lvl w:ilvl="7" w:tplc="FFFFFFFF" w:tentative="1">
      <w:start w:val="1"/>
      <w:numFmt w:val="bullet"/>
      <w:lvlText w:val=""/>
      <w:lvlJc w:val="left"/>
      <w:pPr>
        <w:ind w:left="7580" w:hanging="440"/>
      </w:pPr>
      <w:rPr>
        <w:rFonts w:ascii="Wingdings" w:hAnsi="Wingdings" w:hint="default"/>
      </w:rPr>
    </w:lvl>
    <w:lvl w:ilvl="8" w:tplc="FFFFFFFF" w:tentative="1">
      <w:start w:val="1"/>
      <w:numFmt w:val="bullet"/>
      <w:lvlText w:val=""/>
      <w:lvlJc w:val="left"/>
      <w:pPr>
        <w:ind w:left="8020" w:hanging="440"/>
      </w:pPr>
      <w:rPr>
        <w:rFonts w:ascii="Wingdings" w:hAnsi="Wingdings" w:hint="default"/>
      </w:rPr>
    </w:lvl>
  </w:abstractNum>
  <w:abstractNum w:abstractNumId="2" w15:restartNumberingAfterBreak="0">
    <w:nsid w:val="3B753B60"/>
    <w:multiLevelType w:val="hybridMultilevel"/>
    <w:tmpl w:val="21483ED8"/>
    <w:lvl w:ilvl="0" w:tplc="D646C3F6">
      <w:start w:val="1"/>
      <w:numFmt w:val="bullet"/>
      <w:lvlText w:val=""/>
      <w:lvlJc w:val="left"/>
      <w:pPr>
        <w:ind w:left="874" w:hanging="440"/>
      </w:pPr>
      <w:rPr>
        <w:rFonts w:ascii="Wingdings" w:hAnsi="Wingdings" w:hint="default"/>
      </w:rPr>
    </w:lvl>
    <w:lvl w:ilvl="1" w:tplc="04090003" w:tentative="1">
      <w:start w:val="1"/>
      <w:numFmt w:val="bullet"/>
      <w:lvlText w:val=""/>
      <w:lvlJc w:val="left"/>
      <w:pPr>
        <w:ind w:left="1314" w:hanging="440"/>
      </w:pPr>
      <w:rPr>
        <w:rFonts w:ascii="Wingdings" w:hAnsi="Wingdings" w:hint="default"/>
      </w:rPr>
    </w:lvl>
    <w:lvl w:ilvl="2" w:tplc="04090005" w:tentative="1">
      <w:start w:val="1"/>
      <w:numFmt w:val="bullet"/>
      <w:lvlText w:val=""/>
      <w:lvlJc w:val="left"/>
      <w:pPr>
        <w:ind w:left="1754" w:hanging="440"/>
      </w:pPr>
      <w:rPr>
        <w:rFonts w:ascii="Wingdings" w:hAnsi="Wingdings" w:hint="default"/>
      </w:rPr>
    </w:lvl>
    <w:lvl w:ilvl="3" w:tplc="04090001" w:tentative="1">
      <w:start w:val="1"/>
      <w:numFmt w:val="bullet"/>
      <w:lvlText w:val=""/>
      <w:lvlJc w:val="left"/>
      <w:pPr>
        <w:ind w:left="2194" w:hanging="440"/>
      </w:pPr>
      <w:rPr>
        <w:rFonts w:ascii="Wingdings" w:hAnsi="Wingdings" w:hint="default"/>
      </w:rPr>
    </w:lvl>
    <w:lvl w:ilvl="4" w:tplc="04090003" w:tentative="1">
      <w:start w:val="1"/>
      <w:numFmt w:val="bullet"/>
      <w:lvlText w:val=""/>
      <w:lvlJc w:val="left"/>
      <w:pPr>
        <w:ind w:left="2634" w:hanging="440"/>
      </w:pPr>
      <w:rPr>
        <w:rFonts w:ascii="Wingdings" w:hAnsi="Wingdings" w:hint="default"/>
      </w:rPr>
    </w:lvl>
    <w:lvl w:ilvl="5" w:tplc="04090005" w:tentative="1">
      <w:start w:val="1"/>
      <w:numFmt w:val="bullet"/>
      <w:lvlText w:val=""/>
      <w:lvlJc w:val="left"/>
      <w:pPr>
        <w:ind w:left="3074" w:hanging="440"/>
      </w:pPr>
      <w:rPr>
        <w:rFonts w:ascii="Wingdings" w:hAnsi="Wingdings" w:hint="default"/>
      </w:rPr>
    </w:lvl>
    <w:lvl w:ilvl="6" w:tplc="04090001" w:tentative="1">
      <w:start w:val="1"/>
      <w:numFmt w:val="bullet"/>
      <w:lvlText w:val=""/>
      <w:lvlJc w:val="left"/>
      <w:pPr>
        <w:ind w:left="3514" w:hanging="440"/>
      </w:pPr>
      <w:rPr>
        <w:rFonts w:ascii="Wingdings" w:hAnsi="Wingdings" w:hint="default"/>
      </w:rPr>
    </w:lvl>
    <w:lvl w:ilvl="7" w:tplc="04090003" w:tentative="1">
      <w:start w:val="1"/>
      <w:numFmt w:val="bullet"/>
      <w:lvlText w:val=""/>
      <w:lvlJc w:val="left"/>
      <w:pPr>
        <w:ind w:left="3954" w:hanging="440"/>
      </w:pPr>
      <w:rPr>
        <w:rFonts w:ascii="Wingdings" w:hAnsi="Wingdings" w:hint="default"/>
      </w:rPr>
    </w:lvl>
    <w:lvl w:ilvl="8" w:tplc="04090005" w:tentative="1">
      <w:start w:val="1"/>
      <w:numFmt w:val="bullet"/>
      <w:lvlText w:val=""/>
      <w:lvlJc w:val="left"/>
      <w:pPr>
        <w:ind w:left="4394" w:hanging="440"/>
      </w:pPr>
      <w:rPr>
        <w:rFonts w:ascii="Wingdings" w:hAnsi="Wingdings" w:hint="default"/>
      </w:rPr>
    </w:lvl>
  </w:abstractNum>
  <w:abstractNum w:abstractNumId="3" w15:restartNumberingAfterBreak="0">
    <w:nsid w:val="433C0961"/>
    <w:multiLevelType w:val="hybridMultilevel"/>
    <w:tmpl w:val="CDAA89E4"/>
    <w:lvl w:ilvl="0" w:tplc="5B8436E8">
      <w:start w:val="1"/>
      <w:numFmt w:val="bullet"/>
      <w:lvlText w:val=""/>
      <w:lvlJc w:val="left"/>
      <w:pPr>
        <w:ind w:left="800" w:hanging="440"/>
      </w:pPr>
      <w:rPr>
        <w:rFonts w:ascii="Wingdings" w:hAnsi="Wingdings" w:hint="default"/>
        <w:color w:val="5B9BD5" w:themeColor="accent1"/>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4" w15:restartNumberingAfterBreak="0">
    <w:nsid w:val="454C386A"/>
    <w:multiLevelType w:val="multilevel"/>
    <w:tmpl w:val="0416344A"/>
    <w:lvl w:ilvl="0">
      <w:start w:val="1"/>
      <w:numFmt w:val="chineseCountingThousand"/>
      <w:suff w:val="nothing"/>
      <w:lvlText w:val="%1、"/>
      <w:lvlJc w:val="left"/>
      <w:pPr>
        <w:ind w:left="420" w:hanging="420"/>
      </w:pPr>
      <w:rPr>
        <w:rFonts w:hint="default"/>
        <w:b w:val="0"/>
        <w:i w:val="0"/>
        <w:color w:val="auto"/>
        <w:lang w:val="en-US"/>
      </w:rPr>
    </w:lvl>
    <w:lvl w:ilvl="1">
      <w:start w:val="1"/>
      <w:numFmt w:val="chineseCountingThousand"/>
      <w:lvlText w:val="(%2)"/>
      <w:lvlJc w:val="left"/>
      <w:pPr>
        <w:ind w:left="1413" w:hanging="420"/>
      </w:pPr>
    </w:lvl>
    <w:lvl w:ilvl="2">
      <w:start w:val="1"/>
      <w:numFmt w:val="lowerRoman"/>
      <w:lvlText w:val="%3."/>
      <w:lvlJc w:val="right"/>
      <w:pPr>
        <w:ind w:left="1260" w:hanging="420"/>
      </w:pPr>
    </w:lvl>
    <w:lvl w:ilvl="3">
      <w:start w:val="1"/>
      <w:numFmt w:val="decimal"/>
      <w:lvlText w:val="%4."/>
      <w:lvlJc w:val="left"/>
      <w:pPr>
        <w:ind w:left="1680" w:hanging="420"/>
      </w:pPr>
      <w:rPr>
        <w:rFonts w:ascii="Times New Roman" w:eastAsia="楷体" w:hAnsi="Times New Roman" w:cstheme="minorBidi"/>
        <w:color w:val="auto"/>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1A5712B"/>
    <w:multiLevelType w:val="hybridMultilevel"/>
    <w:tmpl w:val="3E6ACD42"/>
    <w:lvl w:ilvl="0" w:tplc="7C68183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81A078A"/>
    <w:multiLevelType w:val="hybridMultilevel"/>
    <w:tmpl w:val="460EED24"/>
    <w:lvl w:ilvl="0" w:tplc="D646C3F6">
      <w:start w:val="1"/>
      <w:numFmt w:val="bullet"/>
      <w:lvlText w:val=""/>
      <w:lvlJc w:val="left"/>
      <w:pPr>
        <w:ind w:left="800" w:hanging="440"/>
      </w:pPr>
      <w:rPr>
        <w:rFonts w:ascii="Wingdings" w:hAnsi="Wingdings" w:hint="default"/>
      </w:rPr>
    </w:lvl>
    <w:lvl w:ilvl="1" w:tplc="FFFFFFFF" w:tentative="1">
      <w:start w:val="1"/>
      <w:numFmt w:val="bullet"/>
      <w:lvlText w:val=""/>
      <w:lvlJc w:val="left"/>
      <w:pPr>
        <w:ind w:left="1240" w:hanging="440"/>
      </w:pPr>
      <w:rPr>
        <w:rFonts w:ascii="Wingdings" w:hAnsi="Wingdings"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7" w15:restartNumberingAfterBreak="0">
    <w:nsid w:val="6FDA4AE9"/>
    <w:multiLevelType w:val="hybridMultilevel"/>
    <w:tmpl w:val="1AC0A0F8"/>
    <w:lvl w:ilvl="0" w:tplc="A58A3922">
      <w:numFmt w:val="bullet"/>
      <w:lvlText w:val="•"/>
      <w:lvlJc w:val="left"/>
      <w:pPr>
        <w:ind w:left="4500" w:hanging="440"/>
      </w:pPr>
      <w:rPr>
        <w:rFonts w:ascii="Courier New" w:eastAsia="楷体" w:hAnsi="Courier New" w:cs="Courier New" w:hint="default"/>
      </w:rPr>
    </w:lvl>
    <w:lvl w:ilvl="1" w:tplc="FFFFFFFF">
      <w:start w:val="1"/>
      <w:numFmt w:val="decimal"/>
      <w:lvlText w:val="%2."/>
      <w:lvlJc w:val="left"/>
      <w:pPr>
        <w:ind w:left="4420" w:hanging="360"/>
      </w:pPr>
    </w:lvl>
    <w:lvl w:ilvl="2" w:tplc="FFFFFFFF">
      <w:start w:val="1"/>
      <w:numFmt w:val="bullet"/>
      <w:lvlText w:val=""/>
      <w:lvlJc w:val="left"/>
      <w:pPr>
        <w:ind w:left="5380" w:hanging="440"/>
      </w:pPr>
      <w:rPr>
        <w:rFonts w:ascii="Wingdings" w:hAnsi="Wingdings" w:hint="default"/>
      </w:rPr>
    </w:lvl>
    <w:lvl w:ilvl="3" w:tplc="FFFFFFFF" w:tentative="1">
      <w:start w:val="1"/>
      <w:numFmt w:val="bullet"/>
      <w:lvlText w:val=""/>
      <w:lvlJc w:val="left"/>
      <w:pPr>
        <w:ind w:left="5820" w:hanging="440"/>
      </w:pPr>
      <w:rPr>
        <w:rFonts w:ascii="Wingdings" w:hAnsi="Wingdings" w:hint="default"/>
      </w:rPr>
    </w:lvl>
    <w:lvl w:ilvl="4" w:tplc="FFFFFFFF" w:tentative="1">
      <w:start w:val="1"/>
      <w:numFmt w:val="bullet"/>
      <w:lvlText w:val=""/>
      <w:lvlJc w:val="left"/>
      <w:pPr>
        <w:ind w:left="6260" w:hanging="440"/>
      </w:pPr>
      <w:rPr>
        <w:rFonts w:ascii="Wingdings" w:hAnsi="Wingdings" w:hint="default"/>
      </w:rPr>
    </w:lvl>
    <w:lvl w:ilvl="5" w:tplc="FFFFFFFF" w:tentative="1">
      <w:start w:val="1"/>
      <w:numFmt w:val="bullet"/>
      <w:lvlText w:val=""/>
      <w:lvlJc w:val="left"/>
      <w:pPr>
        <w:ind w:left="6700" w:hanging="440"/>
      </w:pPr>
      <w:rPr>
        <w:rFonts w:ascii="Wingdings" w:hAnsi="Wingdings" w:hint="default"/>
      </w:rPr>
    </w:lvl>
    <w:lvl w:ilvl="6" w:tplc="FFFFFFFF" w:tentative="1">
      <w:start w:val="1"/>
      <w:numFmt w:val="bullet"/>
      <w:lvlText w:val=""/>
      <w:lvlJc w:val="left"/>
      <w:pPr>
        <w:ind w:left="7140" w:hanging="440"/>
      </w:pPr>
      <w:rPr>
        <w:rFonts w:ascii="Wingdings" w:hAnsi="Wingdings" w:hint="default"/>
      </w:rPr>
    </w:lvl>
    <w:lvl w:ilvl="7" w:tplc="FFFFFFFF" w:tentative="1">
      <w:start w:val="1"/>
      <w:numFmt w:val="bullet"/>
      <w:lvlText w:val=""/>
      <w:lvlJc w:val="left"/>
      <w:pPr>
        <w:ind w:left="7580" w:hanging="440"/>
      </w:pPr>
      <w:rPr>
        <w:rFonts w:ascii="Wingdings" w:hAnsi="Wingdings" w:hint="default"/>
      </w:rPr>
    </w:lvl>
    <w:lvl w:ilvl="8" w:tplc="FFFFFFFF" w:tentative="1">
      <w:start w:val="1"/>
      <w:numFmt w:val="bullet"/>
      <w:lvlText w:val=""/>
      <w:lvlJc w:val="left"/>
      <w:pPr>
        <w:ind w:left="8020" w:hanging="440"/>
      </w:pPr>
      <w:rPr>
        <w:rFonts w:ascii="Wingdings" w:hAnsi="Wingdings" w:hint="default"/>
      </w:rPr>
    </w:lvl>
  </w:abstractNum>
  <w:abstractNum w:abstractNumId="8" w15:restartNumberingAfterBreak="0">
    <w:nsid w:val="786A409A"/>
    <w:multiLevelType w:val="hybridMultilevel"/>
    <w:tmpl w:val="E57EBC30"/>
    <w:lvl w:ilvl="0" w:tplc="FB72D206">
      <w:start w:val="5"/>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7E431557"/>
    <w:multiLevelType w:val="hybridMultilevel"/>
    <w:tmpl w:val="03C4D06E"/>
    <w:lvl w:ilvl="0" w:tplc="B8181A52">
      <w:numFmt w:val="bullet"/>
      <w:lvlText w:val="-"/>
      <w:lvlJc w:val="left"/>
      <w:pPr>
        <w:ind w:left="1160" w:hanging="360"/>
      </w:pPr>
      <w:rPr>
        <w:rFonts w:ascii="Times New Roman" w:eastAsia="楷体" w:hAnsi="Times New Roman" w:cs="Times New Roman" w:hint="default"/>
      </w:rPr>
    </w:lvl>
    <w:lvl w:ilvl="1" w:tplc="04090003" w:tentative="1">
      <w:start w:val="1"/>
      <w:numFmt w:val="bullet"/>
      <w:lvlText w:val=""/>
      <w:lvlJc w:val="left"/>
      <w:pPr>
        <w:ind w:left="1680" w:hanging="440"/>
      </w:pPr>
      <w:rPr>
        <w:rFonts w:ascii="Wingdings" w:hAnsi="Wingdings" w:hint="default"/>
      </w:rPr>
    </w:lvl>
    <w:lvl w:ilvl="2" w:tplc="04090005"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3" w:tentative="1">
      <w:start w:val="1"/>
      <w:numFmt w:val="bullet"/>
      <w:lvlText w:val=""/>
      <w:lvlJc w:val="left"/>
      <w:pPr>
        <w:ind w:left="3000" w:hanging="440"/>
      </w:pPr>
      <w:rPr>
        <w:rFonts w:ascii="Wingdings" w:hAnsi="Wingdings" w:hint="default"/>
      </w:rPr>
    </w:lvl>
    <w:lvl w:ilvl="5" w:tplc="04090005"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3" w:tentative="1">
      <w:start w:val="1"/>
      <w:numFmt w:val="bullet"/>
      <w:lvlText w:val=""/>
      <w:lvlJc w:val="left"/>
      <w:pPr>
        <w:ind w:left="4320" w:hanging="440"/>
      </w:pPr>
      <w:rPr>
        <w:rFonts w:ascii="Wingdings" w:hAnsi="Wingdings" w:hint="default"/>
      </w:rPr>
    </w:lvl>
    <w:lvl w:ilvl="8" w:tplc="04090005" w:tentative="1">
      <w:start w:val="1"/>
      <w:numFmt w:val="bullet"/>
      <w:lvlText w:val=""/>
      <w:lvlJc w:val="left"/>
      <w:pPr>
        <w:ind w:left="4760" w:hanging="440"/>
      </w:pPr>
      <w:rPr>
        <w:rFonts w:ascii="Wingdings" w:hAnsi="Wingdings" w:hint="default"/>
      </w:rPr>
    </w:lvl>
  </w:abstractNum>
  <w:num w:numId="1" w16cid:durableId="1614560216">
    <w:abstractNumId w:val="4"/>
  </w:num>
  <w:num w:numId="2" w16cid:durableId="803083500">
    <w:abstractNumId w:val="8"/>
  </w:num>
  <w:num w:numId="3" w16cid:durableId="1602641034">
    <w:abstractNumId w:val="1"/>
  </w:num>
  <w:num w:numId="4" w16cid:durableId="1914197986">
    <w:abstractNumId w:val="5"/>
  </w:num>
  <w:num w:numId="5" w16cid:durableId="1813257291">
    <w:abstractNumId w:val="6"/>
  </w:num>
  <w:num w:numId="6" w16cid:durableId="503403353">
    <w:abstractNumId w:val="3"/>
  </w:num>
  <w:num w:numId="7" w16cid:durableId="310597557">
    <w:abstractNumId w:val="7"/>
  </w:num>
  <w:num w:numId="8" w16cid:durableId="868295357">
    <w:abstractNumId w:val="9"/>
  </w:num>
  <w:num w:numId="9" w16cid:durableId="1495759100">
    <w:abstractNumId w:val="2"/>
  </w:num>
  <w:num w:numId="10" w16cid:durableId="214469201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C5"/>
    <w:rsid w:val="00000C03"/>
    <w:rsid w:val="000016A8"/>
    <w:rsid w:val="00001AFA"/>
    <w:rsid w:val="00002E84"/>
    <w:rsid w:val="000033CA"/>
    <w:rsid w:val="000038A9"/>
    <w:rsid w:val="0000546A"/>
    <w:rsid w:val="0000569B"/>
    <w:rsid w:val="0000635C"/>
    <w:rsid w:val="00007789"/>
    <w:rsid w:val="0001080C"/>
    <w:rsid w:val="000130C0"/>
    <w:rsid w:val="00014AC4"/>
    <w:rsid w:val="00015071"/>
    <w:rsid w:val="00020C4B"/>
    <w:rsid w:val="00021B10"/>
    <w:rsid w:val="00022FB1"/>
    <w:rsid w:val="00025FCA"/>
    <w:rsid w:val="0002720C"/>
    <w:rsid w:val="00027A9B"/>
    <w:rsid w:val="00030A0E"/>
    <w:rsid w:val="000334C6"/>
    <w:rsid w:val="0003422A"/>
    <w:rsid w:val="00037911"/>
    <w:rsid w:val="00037B51"/>
    <w:rsid w:val="00037B8C"/>
    <w:rsid w:val="00040143"/>
    <w:rsid w:val="00043847"/>
    <w:rsid w:val="00050A0B"/>
    <w:rsid w:val="000519AD"/>
    <w:rsid w:val="00051EAB"/>
    <w:rsid w:val="00051EBA"/>
    <w:rsid w:val="00054F51"/>
    <w:rsid w:val="0005510F"/>
    <w:rsid w:val="00055F3D"/>
    <w:rsid w:val="00056292"/>
    <w:rsid w:val="00056AA5"/>
    <w:rsid w:val="000634A8"/>
    <w:rsid w:val="00063505"/>
    <w:rsid w:val="00063CB5"/>
    <w:rsid w:val="00067325"/>
    <w:rsid w:val="000676D4"/>
    <w:rsid w:val="00071664"/>
    <w:rsid w:val="000729B8"/>
    <w:rsid w:val="000732A8"/>
    <w:rsid w:val="0007504E"/>
    <w:rsid w:val="00076889"/>
    <w:rsid w:val="00080769"/>
    <w:rsid w:val="00080A92"/>
    <w:rsid w:val="00082A41"/>
    <w:rsid w:val="0008395B"/>
    <w:rsid w:val="00083BD2"/>
    <w:rsid w:val="00085B70"/>
    <w:rsid w:val="00086493"/>
    <w:rsid w:val="00086946"/>
    <w:rsid w:val="00093C77"/>
    <w:rsid w:val="00094A89"/>
    <w:rsid w:val="00094DA2"/>
    <w:rsid w:val="00095EDB"/>
    <w:rsid w:val="00096C2E"/>
    <w:rsid w:val="000A03F7"/>
    <w:rsid w:val="000B1CCA"/>
    <w:rsid w:val="000B2C6A"/>
    <w:rsid w:val="000B33A7"/>
    <w:rsid w:val="000B5E27"/>
    <w:rsid w:val="000C13F0"/>
    <w:rsid w:val="000C5F73"/>
    <w:rsid w:val="000C6148"/>
    <w:rsid w:val="000D0773"/>
    <w:rsid w:val="000D0AC8"/>
    <w:rsid w:val="000D356D"/>
    <w:rsid w:val="000D395D"/>
    <w:rsid w:val="000D4984"/>
    <w:rsid w:val="000D4AF9"/>
    <w:rsid w:val="000D5738"/>
    <w:rsid w:val="000D6755"/>
    <w:rsid w:val="000D6D51"/>
    <w:rsid w:val="000E35A9"/>
    <w:rsid w:val="000E36ED"/>
    <w:rsid w:val="000E3D49"/>
    <w:rsid w:val="000E3FAF"/>
    <w:rsid w:val="000E6388"/>
    <w:rsid w:val="000F010F"/>
    <w:rsid w:val="000F0619"/>
    <w:rsid w:val="000F1B9B"/>
    <w:rsid w:val="000F21CF"/>
    <w:rsid w:val="000F2919"/>
    <w:rsid w:val="000F35E6"/>
    <w:rsid w:val="000F4444"/>
    <w:rsid w:val="000F50ED"/>
    <w:rsid w:val="000F53F1"/>
    <w:rsid w:val="000F7B46"/>
    <w:rsid w:val="001005D1"/>
    <w:rsid w:val="001030BE"/>
    <w:rsid w:val="00104F91"/>
    <w:rsid w:val="00110288"/>
    <w:rsid w:val="00111359"/>
    <w:rsid w:val="0011266F"/>
    <w:rsid w:val="00112F65"/>
    <w:rsid w:val="00114733"/>
    <w:rsid w:val="00114F9C"/>
    <w:rsid w:val="001159BA"/>
    <w:rsid w:val="00116DF0"/>
    <w:rsid w:val="00122C4C"/>
    <w:rsid w:val="001251D5"/>
    <w:rsid w:val="00130883"/>
    <w:rsid w:val="0013206A"/>
    <w:rsid w:val="0013317E"/>
    <w:rsid w:val="00134CAA"/>
    <w:rsid w:val="00134E34"/>
    <w:rsid w:val="001361A6"/>
    <w:rsid w:val="00136F33"/>
    <w:rsid w:val="00137BC5"/>
    <w:rsid w:val="00141E15"/>
    <w:rsid w:val="00142070"/>
    <w:rsid w:val="00143709"/>
    <w:rsid w:val="00144B55"/>
    <w:rsid w:val="00145211"/>
    <w:rsid w:val="001452A7"/>
    <w:rsid w:val="001508AD"/>
    <w:rsid w:val="00154C2C"/>
    <w:rsid w:val="00155870"/>
    <w:rsid w:val="00155AE4"/>
    <w:rsid w:val="00155BC5"/>
    <w:rsid w:val="0015640B"/>
    <w:rsid w:val="00157367"/>
    <w:rsid w:val="00160640"/>
    <w:rsid w:val="0016135B"/>
    <w:rsid w:val="00161965"/>
    <w:rsid w:val="00162260"/>
    <w:rsid w:val="00162C62"/>
    <w:rsid w:val="00162DF3"/>
    <w:rsid w:val="0016320B"/>
    <w:rsid w:val="0016340B"/>
    <w:rsid w:val="00164204"/>
    <w:rsid w:val="00173174"/>
    <w:rsid w:val="0017348C"/>
    <w:rsid w:val="001735EC"/>
    <w:rsid w:val="00173841"/>
    <w:rsid w:val="001752DE"/>
    <w:rsid w:val="00176F41"/>
    <w:rsid w:val="00177BDD"/>
    <w:rsid w:val="00180123"/>
    <w:rsid w:val="001805F7"/>
    <w:rsid w:val="00180A4F"/>
    <w:rsid w:val="001814BD"/>
    <w:rsid w:val="00181B14"/>
    <w:rsid w:val="001835BE"/>
    <w:rsid w:val="00183D53"/>
    <w:rsid w:val="001849F4"/>
    <w:rsid w:val="001868F8"/>
    <w:rsid w:val="00186F02"/>
    <w:rsid w:val="001947D3"/>
    <w:rsid w:val="00194A4B"/>
    <w:rsid w:val="00195007"/>
    <w:rsid w:val="00195394"/>
    <w:rsid w:val="001964EB"/>
    <w:rsid w:val="001A1148"/>
    <w:rsid w:val="001A1189"/>
    <w:rsid w:val="001A4053"/>
    <w:rsid w:val="001A59BF"/>
    <w:rsid w:val="001A6E1B"/>
    <w:rsid w:val="001B0844"/>
    <w:rsid w:val="001B1B94"/>
    <w:rsid w:val="001B384F"/>
    <w:rsid w:val="001B3B74"/>
    <w:rsid w:val="001B4B8B"/>
    <w:rsid w:val="001B57DA"/>
    <w:rsid w:val="001B5DCC"/>
    <w:rsid w:val="001B6FA8"/>
    <w:rsid w:val="001B707F"/>
    <w:rsid w:val="001C0047"/>
    <w:rsid w:val="001C0CC5"/>
    <w:rsid w:val="001C3012"/>
    <w:rsid w:val="001C4416"/>
    <w:rsid w:val="001C597C"/>
    <w:rsid w:val="001C5E0B"/>
    <w:rsid w:val="001C639E"/>
    <w:rsid w:val="001D1AE4"/>
    <w:rsid w:val="001D231A"/>
    <w:rsid w:val="001D24E8"/>
    <w:rsid w:val="001D4AFE"/>
    <w:rsid w:val="001D52AD"/>
    <w:rsid w:val="001D5BC5"/>
    <w:rsid w:val="001D5F49"/>
    <w:rsid w:val="001D615D"/>
    <w:rsid w:val="001D6945"/>
    <w:rsid w:val="001D69C9"/>
    <w:rsid w:val="001D76B7"/>
    <w:rsid w:val="001E181A"/>
    <w:rsid w:val="001E2BE0"/>
    <w:rsid w:val="001E352E"/>
    <w:rsid w:val="001E3990"/>
    <w:rsid w:val="001E425D"/>
    <w:rsid w:val="001E48A4"/>
    <w:rsid w:val="001E5D03"/>
    <w:rsid w:val="001E5D37"/>
    <w:rsid w:val="001E6007"/>
    <w:rsid w:val="001F1540"/>
    <w:rsid w:val="001F2166"/>
    <w:rsid w:val="001F2272"/>
    <w:rsid w:val="001F25BF"/>
    <w:rsid w:val="001F2DF2"/>
    <w:rsid w:val="001F3437"/>
    <w:rsid w:val="001F5184"/>
    <w:rsid w:val="001F54C2"/>
    <w:rsid w:val="001F5F68"/>
    <w:rsid w:val="001F6D3A"/>
    <w:rsid w:val="00200D57"/>
    <w:rsid w:val="00201137"/>
    <w:rsid w:val="00201631"/>
    <w:rsid w:val="00206EEF"/>
    <w:rsid w:val="0021001E"/>
    <w:rsid w:val="00211763"/>
    <w:rsid w:val="00212367"/>
    <w:rsid w:val="00212DB9"/>
    <w:rsid w:val="00215542"/>
    <w:rsid w:val="0021674D"/>
    <w:rsid w:val="00216869"/>
    <w:rsid w:val="00216B05"/>
    <w:rsid w:val="00216C72"/>
    <w:rsid w:val="00221227"/>
    <w:rsid w:val="00222E67"/>
    <w:rsid w:val="0022397C"/>
    <w:rsid w:val="0022539C"/>
    <w:rsid w:val="00225BA4"/>
    <w:rsid w:val="00226193"/>
    <w:rsid w:val="00226B25"/>
    <w:rsid w:val="002276B4"/>
    <w:rsid w:val="00227B02"/>
    <w:rsid w:val="00231422"/>
    <w:rsid w:val="00234D7D"/>
    <w:rsid w:val="002353BB"/>
    <w:rsid w:val="0023576F"/>
    <w:rsid w:val="00236014"/>
    <w:rsid w:val="00236B23"/>
    <w:rsid w:val="00236D6F"/>
    <w:rsid w:val="00241504"/>
    <w:rsid w:val="00241807"/>
    <w:rsid w:val="00243048"/>
    <w:rsid w:val="00245734"/>
    <w:rsid w:val="00250A19"/>
    <w:rsid w:val="00251485"/>
    <w:rsid w:val="00252034"/>
    <w:rsid w:val="00252EE9"/>
    <w:rsid w:val="00254DDC"/>
    <w:rsid w:val="002561B6"/>
    <w:rsid w:val="002576E5"/>
    <w:rsid w:val="002605D2"/>
    <w:rsid w:val="002635E0"/>
    <w:rsid w:val="00263EF6"/>
    <w:rsid w:val="00267D7C"/>
    <w:rsid w:val="00271533"/>
    <w:rsid w:val="002720B6"/>
    <w:rsid w:val="0027506E"/>
    <w:rsid w:val="002753A8"/>
    <w:rsid w:val="00275BAA"/>
    <w:rsid w:val="00277C4E"/>
    <w:rsid w:val="00282EAB"/>
    <w:rsid w:val="00283272"/>
    <w:rsid w:val="002856D2"/>
    <w:rsid w:val="00285E74"/>
    <w:rsid w:val="00286B7C"/>
    <w:rsid w:val="002879A6"/>
    <w:rsid w:val="002942CB"/>
    <w:rsid w:val="00294370"/>
    <w:rsid w:val="002944F8"/>
    <w:rsid w:val="00294ACF"/>
    <w:rsid w:val="00294B13"/>
    <w:rsid w:val="00294BB6"/>
    <w:rsid w:val="0029728B"/>
    <w:rsid w:val="00297300"/>
    <w:rsid w:val="002A1979"/>
    <w:rsid w:val="002A252A"/>
    <w:rsid w:val="002A2937"/>
    <w:rsid w:val="002A3668"/>
    <w:rsid w:val="002A3E91"/>
    <w:rsid w:val="002A46D2"/>
    <w:rsid w:val="002A5236"/>
    <w:rsid w:val="002A5C8D"/>
    <w:rsid w:val="002B344A"/>
    <w:rsid w:val="002B359E"/>
    <w:rsid w:val="002B3704"/>
    <w:rsid w:val="002B3E77"/>
    <w:rsid w:val="002B44B1"/>
    <w:rsid w:val="002B768E"/>
    <w:rsid w:val="002B791C"/>
    <w:rsid w:val="002C0698"/>
    <w:rsid w:val="002C1997"/>
    <w:rsid w:val="002C53BD"/>
    <w:rsid w:val="002C6360"/>
    <w:rsid w:val="002C7EEB"/>
    <w:rsid w:val="002D276B"/>
    <w:rsid w:val="002D2B22"/>
    <w:rsid w:val="002D5060"/>
    <w:rsid w:val="002E2865"/>
    <w:rsid w:val="002E375D"/>
    <w:rsid w:val="002E4BCA"/>
    <w:rsid w:val="002E573F"/>
    <w:rsid w:val="002E65B3"/>
    <w:rsid w:val="002E6651"/>
    <w:rsid w:val="002F09A2"/>
    <w:rsid w:val="002F2B31"/>
    <w:rsid w:val="002F3C52"/>
    <w:rsid w:val="002F43D0"/>
    <w:rsid w:val="002F6C1B"/>
    <w:rsid w:val="002F724A"/>
    <w:rsid w:val="00302A16"/>
    <w:rsid w:val="00302EF7"/>
    <w:rsid w:val="003032C0"/>
    <w:rsid w:val="003048FD"/>
    <w:rsid w:val="00305D2B"/>
    <w:rsid w:val="00307F18"/>
    <w:rsid w:val="00310342"/>
    <w:rsid w:val="00310B1E"/>
    <w:rsid w:val="00311809"/>
    <w:rsid w:val="00313761"/>
    <w:rsid w:val="00314813"/>
    <w:rsid w:val="0031531E"/>
    <w:rsid w:val="003161F0"/>
    <w:rsid w:val="003220CE"/>
    <w:rsid w:val="00324585"/>
    <w:rsid w:val="00324776"/>
    <w:rsid w:val="00326630"/>
    <w:rsid w:val="003269CA"/>
    <w:rsid w:val="00327B55"/>
    <w:rsid w:val="003304BA"/>
    <w:rsid w:val="0033177A"/>
    <w:rsid w:val="0033550A"/>
    <w:rsid w:val="00337BAC"/>
    <w:rsid w:val="00340458"/>
    <w:rsid w:val="0034072E"/>
    <w:rsid w:val="00342459"/>
    <w:rsid w:val="0034440A"/>
    <w:rsid w:val="00344F0D"/>
    <w:rsid w:val="00346B69"/>
    <w:rsid w:val="00347707"/>
    <w:rsid w:val="003500EB"/>
    <w:rsid w:val="003509F0"/>
    <w:rsid w:val="003510EC"/>
    <w:rsid w:val="003541CE"/>
    <w:rsid w:val="003600A9"/>
    <w:rsid w:val="00360B49"/>
    <w:rsid w:val="00361C5C"/>
    <w:rsid w:val="00361C62"/>
    <w:rsid w:val="003621AA"/>
    <w:rsid w:val="00362FF2"/>
    <w:rsid w:val="0036354E"/>
    <w:rsid w:val="003644A9"/>
    <w:rsid w:val="0036645F"/>
    <w:rsid w:val="003702DB"/>
    <w:rsid w:val="00370801"/>
    <w:rsid w:val="00370D88"/>
    <w:rsid w:val="003714D4"/>
    <w:rsid w:val="00372737"/>
    <w:rsid w:val="0037603E"/>
    <w:rsid w:val="0037649A"/>
    <w:rsid w:val="00381D50"/>
    <w:rsid w:val="00383BC5"/>
    <w:rsid w:val="0038502F"/>
    <w:rsid w:val="003850E6"/>
    <w:rsid w:val="00386272"/>
    <w:rsid w:val="00391E83"/>
    <w:rsid w:val="0039264F"/>
    <w:rsid w:val="00392F17"/>
    <w:rsid w:val="003955C3"/>
    <w:rsid w:val="003A0222"/>
    <w:rsid w:val="003A0412"/>
    <w:rsid w:val="003A15CB"/>
    <w:rsid w:val="003A2BC9"/>
    <w:rsid w:val="003A3690"/>
    <w:rsid w:val="003A506C"/>
    <w:rsid w:val="003A57A5"/>
    <w:rsid w:val="003A6A47"/>
    <w:rsid w:val="003A6B3A"/>
    <w:rsid w:val="003B02DE"/>
    <w:rsid w:val="003B1C50"/>
    <w:rsid w:val="003B24D2"/>
    <w:rsid w:val="003B7197"/>
    <w:rsid w:val="003B7D7B"/>
    <w:rsid w:val="003B7FE3"/>
    <w:rsid w:val="003C0730"/>
    <w:rsid w:val="003C1BB6"/>
    <w:rsid w:val="003C7EFB"/>
    <w:rsid w:val="003D1D7C"/>
    <w:rsid w:val="003D5AED"/>
    <w:rsid w:val="003E1788"/>
    <w:rsid w:val="003E2105"/>
    <w:rsid w:val="003E3862"/>
    <w:rsid w:val="003E4802"/>
    <w:rsid w:val="003E5CB5"/>
    <w:rsid w:val="003E6041"/>
    <w:rsid w:val="003E7387"/>
    <w:rsid w:val="003E7854"/>
    <w:rsid w:val="003F2600"/>
    <w:rsid w:val="003F53CE"/>
    <w:rsid w:val="003F5515"/>
    <w:rsid w:val="003F5A64"/>
    <w:rsid w:val="003F5C4A"/>
    <w:rsid w:val="004008A9"/>
    <w:rsid w:val="004046E3"/>
    <w:rsid w:val="00404A54"/>
    <w:rsid w:val="00405275"/>
    <w:rsid w:val="00405724"/>
    <w:rsid w:val="00407755"/>
    <w:rsid w:val="00410A43"/>
    <w:rsid w:val="00411B47"/>
    <w:rsid w:val="004126D4"/>
    <w:rsid w:val="00415515"/>
    <w:rsid w:val="004156D3"/>
    <w:rsid w:val="0041684B"/>
    <w:rsid w:val="00417450"/>
    <w:rsid w:val="00417F32"/>
    <w:rsid w:val="00421783"/>
    <w:rsid w:val="004218F7"/>
    <w:rsid w:val="00421C5C"/>
    <w:rsid w:val="00423CDF"/>
    <w:rsid w:val="004306D1"/>
    <w:rsid w:val="00434351"/>
    <w:rsid w:val="00435CDC"/>
    <w:rsid w:val="0043669F"/>
    <w:rsid w:val="004378BB"/>
    <w:rsid w:val="004379C5"/>
    <w:rsid w:val="00437B4A"/>
    <w:rsid w:val="00440207"/>
    <w:rsid w:val="00440369"/>
    <w:rsid w:val="00440FF3"/>
    <w:rsid w:val="00441477"/>
    <w:rsid w:val="0044328B"/>
    <w:rsid w:val="0044414E"/>
    <w:rsid w:val="00444FBD"/>
    <w:rsid w:val="004462EB"/>
    <w:rsid w:val="0044708D"/>
    <w:rsid w:val="0045092B"/>
    <w:rsid w:val="00451BC5"/>
    <w:rsid w:val="00452A2D"/>
    <w:rsid w:val="00454376"/>
    <w:rsid w:val="004564B0"/>
    <w:rsid w:val="00457679"/>
    <w:rsid w:val="0045774E"/>
    <w:rsid w:val="00463B04"/>
    <w:rsid w:val="00463C19"/>
    <w:rsid w:val="00463C9B"/>
    <w:rsid w:val="00463CFB"/>
    <w:rsid w:val="00463FB7"/>
    <w:rsid w:val="00464AC2"/>
    <w:rsid w:val="004651F5"/>
    <w:rsid w:val="00465273"/>
    <w:rsid w:val="00465477"/>
    <w:rsid w:val="0046565D"/>
    <w:rsid w:val="004657A3"/>
    <w:rsid w:val="0046593B"/>
    <w:rsid w:val="00466084"/>
    <w:rsid w:val="004666BC"/>
    <w:rsid w:val="00466B44"/>
    <w:rsid w:val="0046724C"/>
    <w:rsid w:val="00471435"/>
    <w:rsid w:val="00474B7E"/>
    <w:rsid w:val="00474BC3"/>
    <w:rsid w:val="00475531"/>
    <w:rsid w:val="004756A2"/>
    <w:rsid w:val="004757EC"/>
    <w:rsid w:val="004769EC"/>
    <w:rsid w:val="00476BED"/>
    <w:rsid w:val="00480906"/>
    <w:rsid w:val="0048196B"/>
    <w:rsid w:val="00484890"/>
    <w:rsid w:val="00485225"/>
    <w:rsid w:val="00486215"/>
    <w:rsid w:val="0048710D"/>
    <w:rsid w:val="004873B1"/>
    <w:rsid w:val="0049060A"/>
    <w:rsid w:val="00495C43"/>
    <w:rsid w:val="004960E9"/>
    <w:rsid w:val="004971EF"/>
    <w:rsid w:val="004A0C26"/>
    <w:rsid w:val="004A0C9F"/>
    <w:rsid w:val="004A5056"/>
    <w:rsid w:val="004A7095"/>
    <w:rsid w:val="004B1A76"/>
    <w:rsid w:val="004B1F09"/>
    <w:rsid w:val="004B2315"/>
    <w:rsid w:val="004B278F"/>
    <w:rsid w:val="004B419F"/>
    <w:rsid w:val="004B60A3"/>
    <w:rsid w:val="004B7C51"/>
    <w:rsid w:val="004B7CCF"/>
    <w:rsid w:val="004C07AE"/>
    <w:rsid w:val="004C12D3"/>
    <w:rsid w:val="004C5AC5"/>
    <w:rsid w:val="004D0196"/>
    <w:rsid w:val="004D01EE"/>
    <w:rsid w:val="004D05F4"/>
    <w:rsid w:val="004D1340"/>
    <w:rsid w:val="004D3775"/>
    <w:rsid w:val="004D397A"/>
    <w:rsid w:val="004D39E0"/>
    <w:rsid w:val="004D4B45"/>
    <w:rsid w:val="004D590C"/>
    <w:rsid w:val="004D6E0B"/>
    <w:rsid w:val="004D7763"/>
    <w:rsid w:val="004E04C9"/>
    <w:rsid w:val="004E1A2C"/>
    <w:rsid w:val="004E2458"/>
    <w:rsid w:val="004E25AE"/>
    <w:rsid w:val="004E2D3D"/>
    <w:rsid w:val="004E46DC"/>
    <w:rsid w:val="004E5DB7"/>
    <w:rsid w:val="004E6521"/>
    <w:rsid w:val="004E6F5C"/>
    <w:rsid w:val="004F062C"/>
    <w:rsid w:val="004F27F9"/>
    <w:rsid w:val="004F41AF"/>
    <w:rsid w:val="004F5065"/>
    <w:rsid w:val="00501424"/>
    <w:rsid w:val="0050194F"/>
    <w:rsid w:val="005032B3"/>
    <w:rsid w:val="0050434B"/>
    <w:rsid w:val="00505560"/>
    <w:rsid w:val="005056F3"/>
    <w:rsid w:val="00505F2D"/>
    <w:rsid w:val="005068C8"/>
    <w:rsid w:val="00507024"/>
    <w:rsid w:val="005079E9"/>
    <w:rsid w:val="00507BB6"/>
    <w:rsid w:val="0051053C"/>
    <w:rsid w:val="00510B71"/>
    <w:rsid w:val="005117B4"/>
    <w:rsid w:val="00512589"/>
    <w:rsid w:val="00513206"/>
    <w:rsid w:val="00517F76"/>
    <w:rsid w:val="00520899"/>
    <w:rsid w:val="0052137E"/>
    <w:rsid w:val="00521F0B"/>
    <w:rsid w:val="00522CC7"/>
    <w:rsid w:val="00526E8D"/>
    <w:rsid w:val="00527842"/>
    <w:rsid w:val="00527CB6"/>
    <w:rsid w:val="00530B41"/>
    <w:rsid w:val="00532D50"/>
    <w:rsid w:val="005354E0"/>
    <w:rsid w:val="00535821"/>
    <w:rsid w:val="005362CB"/>
    <w:rsid w:val="00536CD9"/>
    <w:rsid w:val="00537FC2"/>
    <w:rsid w:val="0054261E"/>
    <w:rsid w:val="00543B66"/>
    <w:rsid w:val="00544CDD"/>
    <w:rsid w:val="00547D20"/>
    <w:rsid w:val="00550B05"/>
    <w:rsid w:val="00551503"/>
    <w:rsid w:val="005520A2"/>
    <w:rsid w:val="00555667"/>
    <w:rsid w:val="00555A6F"/>
    <w:rsid w:val="00557C1F"/>
    <w:rsid w:val="00557E4B"/>
    <w:rsid w:val="005606AD"/>
    <w:rsid w:val="00560723"/>
    <w:rsid w:val="00561BA8"/>
    <w:rsid w:val="00565600"/>
    <w:rsid w:val="0056662C"/>
    <w:rsid w:val="00566722"/>
    <w:rsid w:val="00567446"/>
    <w:rsid w:val="00574892"/>
    <w:rsid w:val="00574C82"/>
    <w:rsid w:val="00577904"/>
    <w:rsid w:val="00580C5C"/>
    <w:rsid w:val="00580CA5"/>
    <w:rsid w:val="00582F32"/>
    <w:rsid w:val="00583D0A"/>
    <w:rsid w:val="00584D45"/>
    <w:rsid w:val="005852DA"/>
    <w:rsid w:val="00585D1F"/>
    <w:rsid w:val="00593B6A"/>
    <w:rsid w:val="00595865"/>
    <w:rsid w:val="005972A7"/>
    <w:rsid w:val="005A2A2E"/>
    <w:rsid w:val="005A3A37"/>
    <w:rsid w:val="005A4505"/>
    <w:rsid w:val="005A5872"/>
    <w:rsid w:val="005A6A9D"/>
    <w:rsid w:val="005B21A5"/>
    <w:rsid w:val="005B2DD9"/>
    <w:rsid w:val="005B4BD6"/>
    <w:rsid w:val="005B6F10"/>
    <w:rsid w:val="005B7255"/>
    <w:rsid w:val="005C3626"/>
    <w:rsid w:val="005C52C2"/>
    <w:rsid w:val="005C6E84"/>
    <w:rsid w:val="005C7738"/>
    <w:rsid w:val="005D1CC0"/>
    <w:rsid w:val="005D5079"/>
    <w:rsid w:val="005D521D"/>
    <w:rsid w:val="005D7A10"/>
    <w:rsid w:val="005D7BB1"/>
    <w:rsid w:val="005E0762"/>
    <w:rsid w:val="005E0A36"/>
    <w:rsid w:val="005E1118"/>
    <w:rsid w:val="005E347E"/>
    <w:rsid w:val="005E3FE3"/>
    <w:rsid w:val="005E410A"/>
    <w:rsid w:val="005E4A46"/>
    <w:rsid w:val="005E4A8F"/>
    <w:rsid w:val="005E623C"/>
    <w:rsid w:val="005F06F0"/>
    <w:rsid w:val="005F1AA6"/>
    <w:rsid w:val="005F3316"/>
    <w:rsid w:val="005F511F"/>
    <w:rsid w:val="005F58B2"/>
    <w:rsid w:val="005F737E"/>
    <w:rsid w:val="00602F14"/>
    <w:rsid w:val="00607C6B"/>
    <w:rsid w:val="00610313"/>
    <w:rsid w:val="00613AA1"/>
    <w:rsid w:val="006156FA"/>
    <w:rsid w:val="00616FC6"/>
    <w:rsid w:val="00621D3F"/>
    <w:rsid w:val="006240F4"/>
    <w:rsid w:val="00624323"/>
    <w:rsid w:val="006248E3"/>
    <w:rsid w:val="00625E85"/>
    <w:rsid w:val="00626075"/>
    <w:rsid w:val="00626245"/>
    <w:rsid w:val="006266C4"/>
    <w:rsid w:val="006266FF"/>
    <w:rsid w:val="00630A76"/>
    <w:rsid w:val="00630C0D"/>
    <w:rsid w:val="00631D7C"/>
    <w:rsid w:val="00632484"/>
    <w:rsid w:val="0063311C"/>
    <w:rsid w:val="0063338E"/>
    <w:rsid w:val="00637D35"/>
    <w:rsid w:val="00641ABD"/>
    <w:rsid w:val="00641B6E"/>
    <w:rsid w:val="00641ECF"/>
    <w:rsid w:val="0064316C"/>
    <w:rsid w:val="006450E9"/>
    <w:rsid w:val="00646D48"/>
    <w:rsid w:val="00646E63"/>
    <w:rsid w:val="00647B81"/>
    <w:rsid w:val="00647EC9"/>
    <w:rsid w:val="00651045"/>
    <w:rsid w:val="00652CF9"/>
    <w:rsid w:val="0065367C"/>
    <w:rsid w:val="006553A0"/>
    <w:rsid w:val="006566B4"/>
    <w:rsid w:val="00660B9C"/>
    <w:rsid w:val="00660FA2"/>
    <w:rsid w:val="00664B03"/>
    <w:rsid w:val="00664D4F"/>
    <w:rsid w:val="00666692"/>
    <w:rsid w:val="00673557"/>
    <w:rsid w:val="00673A55"/>
    <w:rsid w:val="006747F0"/>
    <w:rsid w:val="006762E6"/>
    <w:rsid w:val="006805C3"/>
    <w:rsid w:val="0068081C"/>
    <w:rsid w:val="00680B96"/>
    <w:rsid w:val="006829A5"/>
    <w:rsid w:val="00685061"/>
    <w:rsid w:val="006862DF"/>
    <w:rsid w:val="00686632"/>
    <w:rsid w:val="00686B25"/>
    <w:rsid w:val="006870C0"/>
    <w:rsid w:val="00687D9A"/>
    <w:rsid w:val="006901FF"/>
    <w:rsid w:val="006902DC"/>
    <w:rsid w:val="00690B60"/>
    <w:rsid w:val="006924B9"/>
    <w:rsid w:val="00694351"/>
    <w:rsid w:val="00696B98"/>
    <w:rsid w:val="006A01E4"/>
    <w:rsid w:val="006A5EFD"/>
    <w:rsid w:val="006A60DB"/>
    <w:rsid w:val="006A6F9E"/>
    <w:rsid w:val="006A760C"/>
    <w:rsid w:val="006B02C1"/>
    <w:rsid w:val="006B09AB"/>
    <w:rsid w:val="006B1899"/>
    <w:rsid w:val="006B3782"/>
    <w:rsid w:val="006B5B55"/>
    <w:rsid w:val="006C066F"/>
    <w:rsid w:val="006C0E9C"/>
    <w:rsid w:val="006C0FEC"/>
    <w:rsid w:val="006C24DE"/>
    <w:rsid w:val="006C29B0"/>
    <w:rsid w:val="006C2DB4"/>
    <w:rsid w:val="006C5293"/>
    <w:rsid w:val="006C56D4"/>
    <w:rsid w:val="006C72E1"/>
    <w:rsid w:val="006D0BCA"/>
    <w:rsid w:val="006D1811"/>
    <w:rsid w:val="006D22F3"/>
    <w:rsid w:val="006D705E"/>
    <w:rsid w:val="006E1C0D"/>
    <w:rsid w:val="006E2CC9"/>
    <w:rsid w:val="006E39C9"/>
    <w:rsid w:val="006E3B25"/>
    <w:rsid w:val="006E5769"/>
    <w:rsid w:val="006E59A3"/>
    <w:rsid w:val="006E5EE7"/>
    <w:rsid w:val="006E64AD"/>
    <w:rsid w:val="006E6E1C"/>
    <w:rsid w:val="006E7F9B"/>
    <w:rsid w:val="006F1850"/>
    <w:rsid w:val="006F2098"/>
    <w:rsid w:val="006F2A8C"/>
    <w:rsid w:val="006F4ECD"/>
    <w:rsid w:val="006F7930"/>
    <w:rsid w:val="006F7DE9"/>
    <w:rsid w:val="00700A3A"/>
    <w:rsid w:val="00700E5B"/>
    <w:rsid w:val="00701BA1"/>
    <w:rsid w:val="007036DB"/>
    <w:rsid w:val="0070643D"/>
    <w:rsid w:val="007112A7"/>
    <w:rsid w:val="00711865"/>
    <w:rsid w:val="00711934"/>
    <w:rsid w:val="007119F9"/>
    <w:rsid w:val="007122B8"/>
    <w:rsid w:val="007146C7"/>
    <w:rsid w:val="00714B73"/>
    <w:rsid w:val="0071532C"/>
    <w:rsid w:val="00716349"/>
    <w:rsid w:val="00717564"/>
    <w:rsid w:val="007209F1"/>
    <w:rsid w:val="00720A99"/>
    <w:rsid w:val="00721333"/>
    <w:rsid w:val="00721527"/>
    <w:rsid w:val="00722201"/>
    <w:rsid w:val="007227A0"/>
    <w:rsid w:val="00722932"/>
    <w:rsid w:val="00724DC6"/>
    <w:rsid w:val="0072658D"/>
    <w:rsid w:val="00726758"/>
    <w:rsid w:val="007271D7"/>
    <w:rsid w:val="007274B3"/>
    <w:rsid w:val="00731E76"/>
    <w:rsid w:val="00734198"/>
    <w:rsid w:val="007341C9"/>
    <w:rsid w:val="0073441A"/>
    <w:rsid w:val="00734BEC"/>
    <w:rsid w:val="00741B41"/>
    <w:rsid w:val="00741BB5"/>
    <w:rsid w:val="007421E6"/>
    <w:rsid w:val="00743F4A"/>
    <w:rsid w:val="00744534"/>
    <w:rsid w:val="00744C14"/>
    <w:rsid w:val="00744E3D"/>
    <w:rsid w:val="00745BC7"/>
    <w:rsid w:val="0074717F"/>
    <w:rsid w:val="00747775"/>
    <w:rsid w:val="007479D2"/>
    <w:rsid w:val="00750489"/>
    <w:rsid w:val="0075461E"/>
    <w:rsid w:val="007547EF"/>
    <w:rsid w:val="00756279"/>
    <w:rsid w:val="00756D9A"/>
    <w:rsid w:val="00756E24"/>
    <w:rsid w:val="007614E0"/>
    <w:rsid w:val="00763ACD"/>
    <w:rsid w:val="007647D1"/>
    <w:rsid w:val="00764F07"/>
    <w:rsid w:val="0076517E"/>
    <w:rsid w:val="00765833"/>
    <w:rsid w:val="00765C02"/>
    <w:rsid w:val="00770193"/>
    <w:rsid w:val="00770B8C"/>
    <w:rsid w:val="00772487"/>
    <w:rsid w:val="00774658"/>
    <w:rsid w:val="007753AE"/>
    <w:rsid w:val="00776C64"/>
    <w:rsid w:val="00776E18"/>
    <w:rsid w:val="0077700F"/>
    <w:rsid w:val="00777546"/>
    <w:rsid w:val="007803A0"/>
    <w:rsid w:val="00781A58"/>
    <w:rsid w:val="00783C77"/>
    <w:rsid w:val="00783F1E"/>
    <w:rsid w:val="00784916"/>
    <w:rsid w:val="007850CE"/>
    <w:rsid w:val="007868A4"/>
    <w:rsid w:val="00786CBF"/>
    <w:rsid w:val="00787877"/>
    <w:rsid w:val="0079105F"/>
    <w:rsid w:val="00791720"/>
    <w:rsid w:val="00791946"/>
    <w:rsid w:val="00794AB4"/>
    <w:rsid w:val="007A0072"/>
    <w:rsid w:val="007A1668"/>
    <w:rsid w:val="007A1C0A"/>
    <w:rsid w:val="007A26FD"/>
    <w:rsid w:val="007A3343"/>
    <w:rsid w:val="007A3DD0"/>
    <w:rsid w:val="007A65AF"/>
    <w:rsid w:val="007A7401"/>
    <w:rsid w:val="007A76BA"/>
    <w:rsid w:val="007B1574"/>
    <w:rsid w:val="007B211F"/>
    <w:rsid w:val="007C0BB8"/>
    <w:rsid w:val="007C5F59"/>
    <w:rsid w:val="007C67C7"/>
    <w:rsid w:val="007C6E61"/>
    <w:rsid w:val="007C7228"/>
    <w:rsid w:val="007D107E"/>
    <w:rsid w:val="007E1843"/>
    <w:rsid w:val="007E2BB8"/>
    <w:rsid w:val="007E2FCE"/>
    <w:rsid w:val="007E31F2"/>
    <w:rsid w:val="007E4BC7"/>
    <w:rsid w:val="007E53EF"/>
    <w:rsid w:val="007E69E6"/>
    <w:rsid w:val="007E6F5B"/>
    <w:rsid w:val="007E7155"/>
    <w:rsid w:val="007E7A13"/>
    <w:rsid w:val="007F41AF"/>
    <w:rsid w:val="007F599A"/>
    <w:rsid w:val="007F6233"/>
    <w:rsid w:val="007F7999"/>
    <w:rsid w:val="007F7A98"/>
    <w:rsid w:val="00800EC5"/>
    <w:rsid w:val="00804176"/>
    <w:rsid w:val="00805B96"/>
    <w:rsid w:val="008068ED"/>
    <w:rsid w:val="008075ED"/>
    <w:rsid w:val="0080769B"/>
    <w:rsid w:val="00807D91"/>
    <w:rsid w:val="0081364D"/>
    <w:rsid w:val="00816CD1"/>
    <w:rsid w:val="0081749D"/>
    <w:rsid w:val="008214FD"/>
    <w:rsid w:val="00821CF9"/>
    <w:rsid w:val="00822E9A"/>
    <w:rsid w:val="00826531"/>
    <w:rsid w:val="0083020D"/>
    <w:rsid w:val="00830B2E"/>
    <w:rsid w:val="00831ED0"/>
    <w:rsid w:val="0083330B"/>
    <w:rsid w:val="00836706"/>
    <w:rsid w:val="00840FF3"/>
    <w:rsid w:val="00841FDB"/>
    <w:rsid w:val="008422B2"/>
    <w:rsid w:val="0084450D"/>
    <w:rsid w:val="008449C4"/>
    <w:rsid w:val="00847628"/>
    <w:rsid w:val="00847C09"/>
    <w:rsid w:val="00847F10"/>
    <w:rsid w:val="008512A2"/>
    <w:rsid w:val="0085477F"/>
    <w:rsid w:val="0085493B"/>
    <w:rsid w:val="00854A00"/>
    <w:rsid w:val="00857A79"/>
    <w:rsid w:val="00861315"/>
    <w:rsid w:val="008626F4"/>
    <w:rsid w:val="00863464"/>
    <w:rsid w:val="00863B48"/>
    <w:rsid w:val="00864338"/>
    <w:rsid w:val="00865307"/>
    <w:rsid w:val="00866C55"/>
    <w:rsid w:val="00872A1F"/>
    <w:rsid w:val="0087366D"/>
    <w:rsid w:val="00873677"/>
    <w:rsid w:val="00874397"/>
    <w:rsid w:val="008749E3"/>
    <w:rsid w:val="00874F22"/>
    <w:rsid w:val="00876697"/>
    <w:rsid w:val="00877097"/>
    <w:rsid w:val="0087759B"/>
    <w:rsid w:val="0088290A"/>
    <w:rsid w:val="00882E97"/>
    <w:rsid w:val="008838A0"/>
    <w:rsid w:val="00886005"/>
    <w:rsid w:val="0088623C"/>
    <w:rsid w:val="00886E73"/>
    <w:rsid w:val="00887A05"/>
    <w:rsid w:val="00887B7F"/>
    <w:rsid w:val="00887F2B"/>
    <w:rsid w:val="008907E4"/>
    <w:rsid w:val="00890A00"/>
    <w:rsid w:val="008912F1"/>
    <w:rsid w:val="008914DA"/>
    <w:rsid w:val="008921FB"/>
    <w:rsid w:val="00894B8F"/>
    <w:rsid w:val="008A0C6B"/>
    <w:rsid w:val="008A18FC"/>
    <w:rsid w:val="008A4035"/>
    <w:rsid w:val="008A51DB"/>
    <w:rsid w:val="008A69C8"/>
    <w:rsid w:val="008A7352"/>
    <w:rsid w:val="008A7927"/>
    <w:rsid w:val="008B2700"/>
    <w:rsid w:val="008B4B42"/>
    <w:rsid w:val="008B5829"/>
    <w:rsid w:val="008C03A9"/>
    <w:rsid w:val="008C0547"/>
    <w:rsid w:val="008C1827"/>
    <w:rsid w:val="008C201F"/>
    <w:rsid w:val="008C26D1"/>
    <w:rsid w:val="008C36C6"/>
    <w:rsid w:val="008C73E0"/>
    <w:rsid w:val="008C79BA"/>
    <w:rsid w:val="008D0E17"/>
    <w:rsid w:val="008D109D"/>
    <w:rsid w:val="008D2A00"/>
    <w:rsid w:val="008D44C2"/>
    <w:rsid w:val="008D4BFA"/>
    <w:rsid w:val="008D533C"/>
    <w:rsid w:val="008D72ED"/>
    <w:rsid w:val="008D76C3"/>
    <w:rsid w:val="008D7A69"/>
    <w:rsid w:val="008D7DDD"/>
    <w:rsid w:val="008E53ED"/>
    <w:rsid w:val="008E548F"/>
    <w:rsid w:val="008E5AB8"/>
    <w:rsid w:val="008E6F1C"/>
    <w:rsid w:val="008E7F1C"/>
    <w:rsid w:val="008F4E3D"/>
    <w:rsid w:val="008F518B"/>
    <w:rsid w:val="008F51FC"/>
    <w:rsid w:val="008F5255"/>
    <w:rsid w:val="008F5545"/>
    <w:rsid w:val="008F5D90"/>
    <w:rsid w:val="008F6D95"/>
    <w:rsid w:val="008F7370"/>
    <w:rsid w:val="009007F6"/>
    <w:rsid w:val="00901D0F"/>
    <w:rsid w:val="00902CE9"/>
    <w:rsid w:val="0090303E"/>
    <w:rsid w:val="009065D1"/>
    <w:rsid w:val="009066FF"/>
    <w:rsid w:val="00907A9A"/>
    <w:rsid w:val="00913DC3"/>
    <w:rsid w:val="00917029"/>
    <w:rsid w:val="00917CCE"/>
    <w:rsid w:val="009208C1"/>
    <w:rsid w:val="009236C5"/>
    <w:rsid w:val="00923C14"/>
    <w:rsid w:val="009309CE"/>
    <w:rsid w:val="00931E8F"/>
    <w:rsid w:val="00932BD9"/>
    <w:rsid w:val="0093470A"/>
    <w:rsid w:val="00936D78"/>
    <w:rsid w:val="009376BF"/>
    <w:rsid w:val="00940EEF"/>
    <w:rsid w:val="009423B3"/>
    <w:rsid w:val="009438D9"/>
    <w:rsid w:val="00944E9C"/>
    <w:rsid w:val="00945552"/>
    <w:rsid w:val="0094777A"/>
    <w:rsid w:val="009506C5"/>
    <w:rsid w:val="00951EDA"/>
    <w:rsid w:val="00952BD6"/>
    <w:rsid w:val="009532B6"/>
    <w:rsid w:val="009555DF"/>
    <w:rsid w:val="009556EB"/>
    <w:rsid w:val="00956F9D"/>
    <w:rsid w:val="00962EB5"/>
    <w:rsid w:val="00964972"/>
    <w:rsid w:val="0097209B"/>
    <w:rsid w:val="009755D6"/>
    <w:rsid w:val="009757AA"/>
    <w:rsid w:val="00975C40"/>
    <w:rsid w:val="00976BE2"/>
    <w:rsid w:val="00983F62"/>
    <w:rsid w:val="00986B66"/>
    <w:rsid w:val="009870C8"/>
    <w:rsid w:val="0099019E"/>
    <w:rsid w:val="009910E9"/>
    <w:rsid w:val="009919F0"/>
    <w:rsid w:val="00993EFD"/>
    <w:rsid w:val="00994B5C"/>
    <w:rsid w:val="009964F1"/>
    <w:rsid w:val="0099786D"/>
    <w:rsid w:val="009A1918"/>
    <w:rsid w:val="009A2E0C"/>
    <w:rsid w:val="009A4B24"/>
    <w:rsid w:val="009A4F63"/>
    <w:rsid w:val="009A5417"/>
    <w:rsid w:val="009A6D44"/>
    <w:rsid w:val="009A7AAB"/>
    <w:rsid w:val="009A7AC4"/>
    <w:rsid w:val="009B0F65"/>
    <w:rsid w:val="009B1161"/>
    <w:rsid w:val="009B2624"/>
    <w:rsid w:val="009B48EF"/>
    <w:rsid w:val="009B5309"/>
    <w:rsid w:val="009B6003"/>
    <w:rsid w:val="009B697E"/>
    <w:rsid w:val="009B6B19"/>
    <w:rsid w:val="009B7E76"/>
    <w:rsid w:val="009C23CD"/>
    <w:rsid w:val="009C394D"/>
    <w:rsid w:val="009C44E7"/>
    <w:rsid w:val="009C4ADA"/>
    <w:rsid w:val="009C51F4"/>
    <w:rsid w:val="009C52E5"/>
    <w:rsid w:val="009C6244"/>
    <w:rsid w:val="009C6864"/>
    <w:rsid w:val="009D06AC"/>
    <w:rsid w:val="009D0B94"/>
    <w:rsid w:val="009D1B56"/>
    <w:rsid w:val="009D288F"/>
    <w:rsid w:val="009D2BF8"/>
    <w:rsid w:val="009D309B"/>
    <w:rsid w:val="009E0FFE"/>
    <w:rsid w:val="009E254D"/>
    <w:rsid w:val="009E2B3A"/>
    <w:rsid w:val="009E40F2"/>
    <w:rsid w:val="009E7755"/>
    <w:rsid w:val="009F0B8F"/>
    <w:rsid w:val="009F1BCD"/>
    <w:rsid w:val="009F375E"/>
    <w:rsid w:val="009F4C85"/>
    <w:rsid w:val="009F5CA2"/>
    <w:rsid w:val="009F606A"/>
    <w:rsid w:val="009F6893"/>
    <w:rsid w:val="009F7607"/>
    <w:rsid w:val="00A00EF2"/>
    <w:rsid w:val="00A044E5"/>
    <w:rsid w:val="00A06209"/>
    <w:rsid w:val="00A10E94"/>
    <w:rsid w:val="00A1494F"/>
    <w:rsid w:val="00A157DF"/>
    <w:rsid w:val="00A17412"/>
    <w:rsid w:val="00A204D5"/>
    <w:rsid w:val="00A205D1"/>
    <w:rsid w:val="00A21313"/>
    <w:rsid w:val="00A22C84"/>
    <w:rsid w:val="00A23A4E"/>
    <w:rsid w:val="00A2467E"/>
    <w:rsid w:val="00A308BC"/>
    <w:rsid w:val="00A31EF3"/>
    <w:rsid w:val="00A32FF2"/>
    <w:rsid w:val="00A33533"/>
    <w:rsid w:val="00A34764"/>
    <w:rsid w:val="00A35615"/>
    <w:rsid w:val="00A37241"/>
    <w:rsid w:val="00A40CC1"/>
    <w:rsid w:val="00A41C22"/>
    <w:rsid w:val="00A51393"/>
    <w:rsid w:val="00A51AD8"/>
    <w:rsid w:val="00A51DD0"/>
    <w:rsid w:val="00A537AA"/>
    <w:rsid w:val="00A53BB0"/>
    <w:rsid w:val="00A54E56"/>
    <w:rsid w:val="00A5527F"/>
    <w:rsid w:val="00A553AA"/>
    <w:rsid w:val="00A56B6C"/>
    <w:rsid w:val="00A57420"/>
    <w:rsid w:val="00A574A4"/>
    <w:rsid w:val="00A60138"/>
    <w:rsid w:val="00A612C5"/>
    <w:rsid w:val="00A62FF1"/>
    <w:rsid w:val="00A63864"/>
    <w:rsid w:val="00A651E7"/>
    <w:rsid w:val="00A66A2B"/>
    <w:rsid w:val="00A66C53"/>
    <w:rsid w:val="00A72FFA"/>
    <w:rsid w:val="00A74411"/>
    <w:rsid w:val="00A75546"/>
    <w:rsid w:val="00A833F8"/>
    <w:rsid w:val="00A86FC0"/>
    <w:rsid w:val="00A90DE9"/>
    <w:rsid w:val="00A91F5D"/>
    <w:rsid w:val="00A937C4"/>
    <w:rsid w:val="00A94D70"/>
    <w:rsid w:val="00A950A6"/>
    <w:rsid w:val="00A960C5"/>
    <w:rsid w:val="00A96F17"/>
    <w:rsid w:val="00AA0C99"/>
    <w:rsid w:val="00AA19A1"/>
    <w:rsid w:val="00AA23EB"/>
    <w:rsid w:val="00AA4737"/>
    <w:rsid w:val="00AA639E"/>
    <w:rsid w:val="00AA6498"/>
    <w:rsid w:val="00AA6686"/>
    <w:rsid w:val="00AA79E4"/>
    <w:rsid w:val="00AB37DB"/>
    <w:rsid w:val="00AB4EC7"/>
    <w:rsid w:val="00AB77A3"/>
    <w:rsid w:val="00AC0D21"/>
    <w:rsid w:val="00AC1372"/>
    <w:rsid w:val="00AC23A1"/>
    <w:rsid w:val="00AC3571"/>
    <w:rsid w:val="00AC6230"/>
    <w:rsid w:val="00AC7FC2"/>
    <w:rsid w:val="00AD0578"/>
    <w:rsid w:val="00AD12A0"/>
    <w:rsid w:val="00AD12A2"/>
    <w:rsid w:val="00AD3AA4"/>
    <w:rsid w:val="00AD493D"/>
    <w:rsid w:val="00AD7A54"/>
    <w:rsid w:val="00AE0488"/>
    <w:rsid w:val="00AE27E2"/>
    <w:rsid w:val="00AE2CB2"/>
    <w:rsid w:val="00AE3808"/>
    <w:rsid w:val="00AE76D4"/>
    <w:rsid w:val="00AF1143"/>
    <w:rsid w:val="00AF510F"/>
    <w:rsid w:val="00AF5ACB"/>
    <w:rsid w:val="00AF5D4B"/>
    <w:rsid w:val="00B0022A"/>
    <w:rsid w:val="00B02F9C"/>
    <w:rsid w:val="00B039E0"/>
    <w:rsid w:val="00B0476A"/>
    <w:rsid w:val="00B04FFE"/>
    <w:rsid w:val="00B13B88"/>
    <w:rsid w:val="00B13D02"/>
    <w:rsid w:val="00B174A3"/>
    <w:rsid w:val="00B21D75"/>
    <w:rsid w:val="00B21D9B"/>
    <w:rsid w:val="00B23E4C"/>
    <w:rsid w:val="00B25C0A"/>
    <w:rsid w:val="00B32630"/>
    <w:rsid w:val="00B32C2E"/>
    <w:rsid w:val="00B33DFA"/>
    <w:rsid w:val="00B35118"/>
    <w:rsid w:val="00B354EC"/>
    <w:rsid w:val="00B35ACE"/>
    <w:rsid w:val="00B36AE0"/>
    <w:rsid w:val="00B37724"/>
    <w:rsid w:val="00B4078A"/>
    <w:rsid w:val="00B408B2"/>
    <w:rsid w:val="00B40BC7"/>
    <w:rsid w:val="00B40CD0"/>
    <w:rsid w:val="00B4168C"/>
    <w:rsid w:val="00B46571"/>
    <w:rsid w:val="00B476DC"/>
    <w:rsid w:val="00B47FC0"/>
    <w:rsid w:val="00B51344"/>
    <w:rsid w:val="00B52D9F"/>
    <w:rsid w:val="00B535B2"/>
    <w:rsid w:val="00B53F30"/>
    <w:rsid w:val="00B548CE"/>
    <w:rsid w:val="00B5786B"/>
    <w:rsid w:val="00B57875"/>
    <w:rsid w:val="00B60D71"/>
    <w:rsid w:val="00B63565"/>
    <w:rsid w:val="00B636D1"/>
    <w:rsid w:val="00B6397D"/>
    <w:rsid w:val="00B66892"/>
    <w:rsid w:val="00B66D85"/>
    <w:rsid w:val="00B705DC"/>
    <w:rsid w:val="00B707EA"/>
    <w:rsid w:val="00B7101A"/>
    <w:rsid w:val="00B71C61"/>
    <w:rsid w:val="00B73568"/>
    <w:rsid w:val="00B75F07"/>
    <w:rsid w:val="00B76C99"/>
    <w:rsid w:val="00B76F91"/>
    <w:rsid w:val="00B77B05"/>
    <w:rsid w:val="00B8187F"/>
    <w:rsid w:val="00B82E58"/>
    <w:rsid w:val="00B83E4F"/>
    <w:rsid w:val="00B84920"/>
    <w:rsid w:val="00B851A9"/>
    <w:rsid w:val="00B86A18"/>
    <w:rsid w:val="00B86FD7"/>
    <w:rsid w:val="00B875AE"/>
    <w:rsid w:val="00B912CF"/>
    <w:rsid w:val="00B93C91"/>
    <w:rsid w:val="00B94A0F"/>
    <w:rsid w:val="00B94DF0"/>
    <w:rsid w:val="00BA1ABD"/>
    <w:rsid w:val="00BA274B"/>
    <w:rsid w:val="00BA4317"/>
    <w:rsid w:val="00BA50C5"/>
    <w:rsid w:val="00BB2657"/>
    <w:rsid w:val="00BB2A57"/>
    <w:rsid w:val="00BB2F75"/>
    <w:rsid w:val="00BB306F"/>
    <w:rsid w:val="00BB4980"/>
    <w:rsid w:val="00BB7989"/>
    <w:rsid w:val="00BC1A03"/>
    <w:rsid w:val="00BC261A"/>
    <w:rsid w:val="00BC2F4A"/>
    <w:rsid w:val="00BC5289"/>
    <w:rsid w:val="00BC65DE"/>
    <w:rsid w:val="00BD009E"/>
    <w:rsid w:val="00BD18F0"/>
    <w:rsid w:val="00BD19A1"/>
    <w:rsid w:val="00BD2B8C"/>
    <w:rsid w:val="00BD6BBD"/>
    <w:rsid w:val="00BE1233"/>
    <w:rsid w:val="00BE1377"/>
    <w:rsid w:val="00BE1E90"/>
    <w:rsid w:val="00BE32FD"/>
    <w:rsid w:val="00BE39B3"/>
    <w:rsid w:val="00BE3BC6"/>
    <w:rsid w:val="00BE5625"/>
    <w:rsid w:val="00BE5D60"/>
    <w:rsid w:val="00BE6536"/>
    <w:rsid w:val="00BF0783"/>
    <w:rsid w:val="00BF0BA8"/>
    <w:rsid w:val="00BF15DE"/>
    <w:rsid w:val="00BF2E32"/>
    <w:rsid w:val="00BF3B1E"/>
    <w:rsid w:val="00BF3EC0"/>
    <w:rsid w:val="00BF3FAC"/>
    <w:rsid w:val="00C01096"/>
    <w:rsid w:val="00C03774"/>
    <w:rsid w:val="00C06583"/>
    <w:rsid w:val="00C0681A"/>
    <w:rsid w:val="00C06903"/>
    <w:rsid w:val="00C06C10"/>
    <w:rsid w:val="00C12597"/>
    <w:rsid w:val="00C13EE4"/>
    <w:rsid w:val="00C20B4D"/>
    <w:rsid w:val="00C20C02"/>
    <w:rsid w:val="00C20F79"/>
    <w:rsid w:val="00C21E7B"/>
    <w:rsid w:val="00C222B1"/>
    <w:rsid w:val="00C23F31"/>
    <w:rsid w:val="00C2571C"/>
    <w:rsid w:val="00C27426"/>
    <w:rsid w:val="00C31245"/>
    <w:rsid w:val="00C32328"/>
    <w:rsid w:val="00C338D1"/>
    <w:rsid w:val="00C34B8D"/>
    <w:rsid w:val="00C40838"/>
    <w:rsid w:val="00C42963"/>
    <w:rsid w:val="00C43C35"/>
    <w:rsid w:val="00C504E4"/>
    <w:rsid w:val="00C51725"/>
    <w:rsid w:val="00C53358"/>
    <w:rsid w:val="00C54657"/>
    <w:rsid w:val="00C54F38"/>
    <w:rsid w:val="00C5560F"/>
    <w:rsid w:val="00C56B41"/>
    <w:rsid w:val="00C56C2A"/>
    <w:rsid w:val="00C56D70"/>
    <w:rsid w:val="00C60B96"/>
    <w:rsid w:val="00C635A1"/>
    <w:rsid w:val="00C64ECA"/>
    <w:rsid w:val="00C65F24"/>
    <w:rsid w:val="00C67629"/>
    <w:rsid w:val="00C701A4"/>
    <w:rsid w:val="00C70337"/>
    <w:rsid w:val="00C71496"/>
    <w:rsid w:val="00C71C7A"/>
    <w:rsid w:val="00C72493"/>
    <w:rsid w:val="00C73097"/>
    <w:rsid w:val="00C7344A"/>
    <w:rsid w:val="00C7559A"/>
    <w:rsid w:val="00C77B75"/>
    <w:rsid w:val="00C805E0"/>
    <w:rsid w:val="00C80AFA"/>
    <w:rsid w:val="00C83033"/>
    <w:rsid w:val="00C85CEA"/>
    <w:rsid w:val="00C8725D"/>
    <w:rsid w:val="00C92DBC"/>
    <w:rsid w:val="00C96113"/>
    <w:rsid w:val="00C964EA"/>
    <w:rsid w:val="00C965BE"/>
    <w:rsid w:val="00C96B00"/>
    <w:rsid w:val="00C97E63"/>
    <w:rsid w:val="00CA009B"/>
    <w:rsid w:val="00CA0E01"/>
    <w:rsid w:val="00CA1481"/>
    <w:rsid w:val="00CA23E6"/>
    <w:rsid w:val="00CA4464"/>
    <w:rsid w:val="00CA4F7D"/>
    <w:rsid w:val="00CA64CF"/>
    <w:rsid w:val="00CA7D57"/>
    <w:rsid w:val="00CB017A"/>
    <w:rsid w:val="00CB01AE"/>
    <w:rsid w:val="00CB08BE"/>
    <w:rsid w:val="00CB0A9F"/>
    <w:rsid w:val="00CB0DD3"/>
    <w:rsid w:val="00CB1D6E"/>
    <w:rsid w:val="00CB1D82"/>
    <w:rsid w:val="00CB42CE"/>
    <w:rsid w:val="00CB4669"/>
    <w:rsid w:val="00CB5446"/>
    <w:rsid w:val="00CB641B"/>
    <w:rsid w:val="00CB6926"/>
    <w:rsid w:val="00CB7A9B"/>
    <w:rsid w:val="00CC07B8"/>
    <w:rsid w:val="00CC07D7"/>
    <w:rsid w:val="00CC2230"/>
    <w:rsid w:val="00CC3C1B"/>
    <w:rsid w:val="00CC69F0"/>
    <w:rsid w:val="00CC726D"/>
    <w:rsid w:val="00CC7FD7"/>
    <w:rsid w:val="00CD0CCF"/>
    <w:rsid w:val="00CD12ED"/>
    <w:rsid w:val="00CD3277"/>
    <w:rsid w:val="00CD4F3F"/>
    <w:rsid w:val="00CD56BE"/>
    <w:rsid w:val="00CD67AB"/>
    <w:rsid w:val="00CD6A05"/>
    <w:rsid w:val="00CD6D94"/>
    <w:rsid w:val="00CE0470"/>
    <w:rsid w:val="00CE0902"/>
    <w:rsid w:val="00CE1548"/>
    <w:rsid w:val="00CE22A1"/>
    <w:rsid w:val="00CE2DC7"/>
    <w:rsid w:val="00CE5142"/>
    <w:rsid w:val="00CE67B2"/>
    <w:rsid w:val="00CE7574"/>
    <w:rsid w:val="00CE7A04"/>
    <w:rsid w:val="00CF19DB"/>
    <w:rsid w:val="00CF7F64"/>
    <w:rsid w:val="00D01D15"/>
    <w:rsid w:val="00D02774"/>
    <w:rsid w:val="00D02C73"/>
    <w:rsid w:val="00D062FB"/>
    <w:rsid w:val="00D07ED0"/>
    <w:rsid w:val="00D07F40"/>
    <w:rsid w:val="00D114A8"/>
    <w:rsid w:val="00D12E1E"/>
    <w:rsid w:val="00D141E8"/>
    <w:rsid w:val="00D14AC3"/>
    <w:rsid w:val="00D1572E"/>
    <w:rsid w:val="00D21427"/>
    <w:rsid w:val="00D2355F"/>
    <w:rsid w:val="00D23FC4"/>
    <w:rsid w:val="00D25527"/>
    <w:rsid w:val="00D31BFB"/>
    <w:rsid w:val="00D32ABB"/>
    <w:rsid w:val="00D32B23"/>
    <w:rsid w:val="00D34B37"/>
    <w:rsid w:val="00D40B01"/>
    <w:rsid w:val="00D41D87"/>
    <w:rsid w:val="00D44165"/>
    <w:rsid w:val="00D454D2"/>
    <w:rsid w:val="00D45D3D"/>
    <w:rsid w:val="00D50738"/>
    <w:rsid w:val="00D50BB5"/>
    <w:rsid w:val="00D50EE3"/>
    <w:rsid w:val="00D51005"/>
    <w:rsid w:val="00D52BFA"/>
    <w:rsid w:val="00D52CA5"/>
    <w:rsid w:val="00D53425"/>
    <w:rsid w:val="00D53E7C"/>
    <w:rsid w:val="00D54836"/>
    <w:rsid w:val="00D57E77"/>
    <w:rsid w:val="00D60180"/>
    <w:rsid w:val="00D6133D"/>
    <w:rsid w:val="00D62BB9"/>
    <w:rsid w:val="00D64F4D"/>
    <w:rsid w:val="00D707F3"/>
    <w:rsid w:val="00D70B0B"/>
    <w:rsid w:val="00D70CAA"/>
    <w:rsid w:val="00D71731"/>
    <w:rsid w:val="00D74BA2"/>
    <w:rsid w:val="00D74F0E"/>
    <w:rsid w:val="00D77035"/>
    <w:rsid w:val="00D80DB6"/>
    <w:rsid w:val="00D82F55"/>
    <w:rsid w:val="00D83C5A"/>
    <w:rsid w:val="00D84E3B"/>
    <w:rsid w:val="00D84FE0"/>
    <w:rsid w:val="00D86D1E"/>
    <w:rsid w:val="00D87180"/>
    <w:rsid w:val="00D87353"/>
    <w:rsid w:val="00D87B2A"/>
    <w:rsid w:val="00D94655"/>
    <w:rsid w:val="00D95821"/>
    <w:rsid w:val="00D970EE"/>
    <w:rsid w:val="00DA02EF"/>
    <w:rsid w:val="00DA3462"/>
    <w:rsid w:val="00DA74B7"/>
    <w:rsid w:val="00DA7D3B"/>
    <w:rsid w:val="00DB2943"/>
    <w:rsid w:val="00DB2AEE"/>
    <w:rsid w:val="00DB347C"/>
    <w:rsid w:val="00DB3826"/>
    <w:rsid w:val="00DB74A6"/>
    <w:rsid w:val="00DBAE16"/>
    <w:rsid w:val="00DC0FC1"/>
    <w:rsid w:val="00DC14D7"/>
    <w:rsid w:val="00DC1804"/>
    <w:rsid w:val="00DC24EE"/>
    <w:rsid w:val="00DC309A"/>
    <w:rsid w:val="00DC31FE"/>
    <w:rsid w:val="00DC4A56"/>
    <w:rsid w:val="00DC539F"/>
    <w:rsid w:val="00DC540F"/>
    <w:rsid w:val="00DC71C4"/>
    <w:rsid w:val="00DC7FC5"/>
    <w:rsid w:val="00DD0423"/>
    <w:rsid w:val="00DD0D28"/>
    <w:rsid w:val="00DD0FB2"/>
    <w:rsid w:val="00DD10B2"/>
    <w:rsid w:val="00DD28A7"/>
    <w:rsid w:val="00DD3784"/>
    <w:rsid w:val="00DD41CF"/>
    <w:rsid w:val="00DD4452"/>
    <w:rsid w:val="00DD5365"/>
    <w:rsid w:val="00DE11F9"/>
    <w:rsid w:val="00DE32CB"/>
    <w:rsid w:val="00DE4741"/>
    <w:rsid w:val="00DE618A"/>
    <w:rsid w:val="00DE64CA"/>
    <w:rsid w:val="00DE7C5F"/>
    <w:rsid w:val="00DF0D54"/>
    <w:rsid w:val="00DF14C3"/>
    <w:rsid w:val="00DF38AA"/>
    <w:rsid w:val="00DF43D0"/>
    <w:rsid w:val="00DF50E7"/>
    <w:rsid w:val="00DF5D14"/>
    <w:rsid w:val="00DF6D15"/>
    <w:rsid w:val="00E00A68"/>
    <w:rsid w:val="00E01BE6"/>
    <w:rsid w:val="00E031E3"/>
    <w:rsid w:val="00E05DA0"/>
    <w:rsid w:val="00E100C1"/>
    <w:rsid w:val="00E11178"/>
    <w:rsid w:val="00E1403B"/>
    <w:rsid w:val="00E14903"/>
    <w:rsid w:val="00E14FD7"/>
    <w:rsid w:val="00E150C9"/>
    <w:rsid w:val="00E152DF"/>
    <w:rsid w:val="00E16830"/>
    <w:rsid w:val="00E16B10"/>
    <w:rsid w:val="00E178FB"/>
    <w:rsid w:val="00E22377"/>
    <w:rsid w:val="00E234C7"/>
    <w:rsid w:val="00E23D1F"/>
    <w:rsid w:val="00E240CF"/>
    <w:rsid w:val="00E27771"/>
    <w:rsid w:val="00E279ED"/>
    <w:rsid w:val="00E27B50"/>
    <w:rsid w:val="00E30288"/>
    <w:rsid w:val="00E34E9B"/>
    <w:rsid w:val="00E40046"/>
    <w:rsid w:val="00E4012F"/>
    <w:rsid w:val="00E40D32"/>
    <w:rsid w:val="00E41E93"/>
    <w:rsid w:val="00E42D54"/>
    <w:rsid w:val="00E43E50"/>
    <w:rsid w:val="00E45425"/>
    <w:rsid w:val="00E504FA"/>
    <w:rsid w:val="00E53ED2"/>
    <w:rsid w:val="00E54478"/>
    <w:rsid w:val="00E5629A"/>
    <w:rsid w:val="00E56360"/>
    <w:rsid w:val="00E56FEA"/>
    <w:rsid w:val="00E574A2"/>
    <w:rsid w:val="00E60BD8"/>
    <w:rsid w:val="00E61DBA"/>
    <w:rsid w:val="00E63DE6"/>
    <w:rsid w:val="00E641F8"/>
    <w:rsid w:val="00E64A9B"/>
    <w:rsid w:val="00E668BF"/>
    <w:rsid w:val="00E7049E"/>
    <w:rsid w:val="00E70874"/>
    <w:rsid w:val="00E71DD6"/>
    <w:rsid w:val="00E72CC9"/>
    <w:rsid w:val="00E756FC"/>
    <w:rsid w:val="00E77275"/>
    <w:rsid w:val="00E80035"/>
    <w:rsid w:val="00E808FA"/>
    <w:rsid w:val="00E810C3"/>
    <w:rsid w:val="00E82315"/>
    <w:rsid w:val="00E85631"/>
    <w:rsid w:val="00E87522"/>
    <w:rsid w:val="00E90EB6"/>
    <w:rsid w:val="00E92C97"/>
    <w:rsid w:val="00E93549"/>
    <w:rsid w:val="00E937F2"/>
    <w:rsid w:val="00E9438B"/>
    <w:rsid w:val="00E94D35"/>
    <w:rsid w:val="00E95632"/>
    <w:rsid w:val="00EA040A"/>
    <w:rsid w:val="00EA04FB"/>
    <w:rsid w:val="00EA1005"/>
    <w:rsid w:val="00EA1DB2"/>
    <w:rsid w:val="00EA3BB8"/>
    <w:rsid w:val="00EA3C91"/>
    <w:rsid w:val="00EA3EBC"/>
    <w:rsid w:val="00EA4D24"/>
    <w:rsid w:val="00EA6DE7"/>
    <w:rsid w:val="00EB1CEC"/>
    <w:rsid w:val="00EB286B"/>
    <w:rsid w:val="00EB5AA1"/>
    <w:rsid w:val="00EB5B8E"/>
    <w:rsid w:val="00EB61FE"/>
    <w:rsid w:val="00EB6E73"/>
    <w:rsid w:val="00EC02F5"/>
    <w:rsid w:val="00EC2D8F"/>
    <w:rsid w:val="00EC3FAD"/>
    <w:rsid w:val="00EC51AB"/>
    <w:rsid w:val="00EC7778"/>
    <w:rsid w:val="00ED0C9E"/>
    <w:rsid w:val="00ED1C1F"/>
    <w:rsid w:val="00ED254D"/>
    <w:rsid w:val="00ED3295"/>
    <w:rsid w:val="00ED4008"/>
    <w:rsid w:val="00ED44C4"/>
    <w:rsid w:val="00ED4C5B"/>
    <w:rsid w:val="00EE0C4E"/>
    <w:rsid w:val="00EE1528"/>
    <w:rsid w:val="00EE2F72"/>
    <w:rsid w:val="00EE431D"/>
    <w:rsid w:val="00EE4361"/>
    <w:rsid w:val="00EE4455"/>
    <w:rsid w:val="00EE534E"/>
    <w:rsid w:val="00EE5F09"/>
    <w:rsid w:val="00EF0FF3"/>
    <w:rsid w:val="00EF2F20"/>
    <w:rsid w:val="00EF64B5"/>
    <w:rsid w:val="00EF7EE4"/>
    <w:rsid w:val="00F01056"/>
    <w:rsid w:val="00F03C68"/>
    <w:rsid w:val="00F06FC3"/>
    <w:rsid w:val="00F0794F"/>
    <w:rsid w:val="00F114F4"/>
    <w:rsid w:val="00F14746"/>
    <w:rsid w:val="00F16630"/>
    <w:rsid w:val="00F1674E"/>
    <w:rsid w:val="00F170FF"/>
    <w:rsid w:val="00F20774"/>
    <w:rsid w:val="00F21900"/>
    <w:rsid w:val="00F21943"/>
    <w:rsid w:val="00F21C35"/>
    <w:rsid w:val="00F21FF8"/>
    <w:rsid w:val="00F22B9D"/>
    <w:rsid w:val="00F22F40"/>
    <w:rsid w:val="00F26281"/>
    <w:rsid w:val="00F26DEA"/>
    <w:rsid w:val="00F274BB"/>
    <w:rsid w:val="00F30264"/>
    <w:rsid w:val="00F30AF2"/>
    <w:rsid w:val="00F3101F"/>
    <w:rsid w:val="00F32EAF"/>
    <w:rsid w:val="00F3391D"/>
    <w:rsid w:val="00F33C32"/>
    <w:rsid w:val="00F34E34"/>
    <w:rsid w:val="00F35049"/>
    <w:rsid w:val="00F36A31"/>
    <w:rsid w:val="00F37838"/>
    <w:rsid w:val="00F4069F"/>
    <w:rsid w:val="00F43E03"/>
    <w:rsid w:val="00F449DB"/>
    <w:rsid w:val="00F44B03"/>
    <w:rsid w:val="00F44C11"/>
    <w:rsid w:val="00F451FD"/>
    <w:rsid w:val="00F45900"/>
    <w:rsid w:val="00F5400A"/>
    <w:rsid w:val="00F578F9"/>
    <w:rsid w:val="00F6151F"/>
    <w:rsid w:val="00F61A6A"/>
    <w:rsid w:val="00F65977"/>
    <w:rsid w:val="00F65FBB"/>
    <w:rsid w:val="00F66346"/>
    <w:rsid w:val="00F71877"/>
    <w:rsid w:val="00F71A7B"/>
    <w:rsid w:val="00F7223F"/>
    <w:rsid w:val="00F73C40"/>
    <w:rsid w:val="00F750D7"/>
    <w:rsid w:val="00F757A4"/>
    <w:rsid w:val="00F7774D"/>
    <w:rsid w:val="00F81073"/>
    <w:rsid w:val="00F81E9C"/>
    <w:rsid w:val="00F833B1"/>
    <w:rsid w:val="00F84B40"/>
    <w:rsid w:val="00F85EA2"/>
    <w:rsid w:val="00F866C3"/>
    <w:rsid w:val="00F90F4A"/>
    <w:rsid w:val="00F91FF0"/>
    <w:rsid w:val="00F9457F"/>
    <w:rsid w:val="00F9470C"/>
    <w:rsid w:val="00F97EE3"/>
    <w:rsid w:val="00FA1B6E"/>
    <w:rsid w:val="00FA24C8"/>
    <w:rsid w:val="00FA3F1A"/>
    <w:rsid w:val="00FA3F64"/>
    <w:rsid w:val="00FA5119"/>
    <w:rsid w:val="00FA649D"/>
    <w:rsid w:val="00FB1A15"/>
    <w:rsid w:val="00FB4C84"/>
    <w:rsid w:val="00FB5737"/>
    <w:rsid w:val="00FB5DA9"/>
    <w:rsid w:val="00FB64A1"/>
    <w:rsid w:val="00FB7430"/>
    <w:rsid w:val="00FC04F5"/>
    <w:rsid w:val="00FC112F"/>
    <w:rsid w:val="00FC1C6C"/>
    <w:rsid w:val="00FC1F5E"/>
    <w:rsid w:val="00FC3CCC"/>
    <w:rsid w:val="00FC5980"/>
    <w:rsid w:val="00FC692F"/>
    <w:rsid w:val="00FC745D"/>
    <w:rsid w:val="00FD0370"/>
    <w:rsid w:val="00FD0EC3"/>
    <w:rsid w:val="00FD3722"/>
    <w:rsid w:val="00FD4377"/>
    <w:rsid w:val="00FD7237"/>
    <w:rsid w:val="00FE141C"/>
    <w:rsid w:val="00FE1C87"/>
    <w:rsid w:val="00FE2A7A"/>
    <w:rsid w:val="00FE3CF0"/>
    <w:rsid w:val="00FE51D3"/>
    <w:rsid w:val="00FE7249"/>
    <w:rsid w:val="00FF0E56"/>
    <w:rsid w:val="00FF12F1"/>
    <w:rsid w:val="00FF2EC9"/>
    <w:rsid w:val="00FF574E"/>
    <w:rsid w:val="018F2C7C"/>
    <w:rsid w:val="0223830F"/>
    <w:rsid w:val="02552B95"/>
    <w:rsid w:val="03AA5366"/>
    <w:rsid w:val="03DEA702"/>
    <w:rsid w:val="03E09B19"/>
    <w:rsid w:val="0436B491"/>
    <w:rsid w:val="044C23CC"/>
    <w:rsid w:val="046BB1A0"/>
    <w:rsid w:val="060DE4CE"/>
    <w:rsid w:val="06AA95AC"/>
    <w:rsid w:val="06DB26A1"/>
    <w:rsid w:val="0828172C"/>
    <w:rsid w:val="083BC2A9"/>
    <w:rsid w:val="0855DC1E"/>
    <w:rsid w:val="086BED07"/>
    <w:rsid w:val="08862C90"/>
    <w:rsid w:val="090C2ADA"/>
    <w:rsid w:val="091E0476"/>
    <w:rsid w:val="0C053BF8"/>
    <w:rsid w:val="0E847063"/>
    <w:rsid w:val="0EF8B580"/>
    <w:rsid w:val="0F2511E5"/>
    <w:rsid w:val="0F30B655"/>
    <w:rsid w:val="10C78A19"/>
    <w:rsid w:val="11482078"/>
    <w:rsid w:val="11F2049D"/>
    <w:rsid w:val="11F8D1F8"/>
    <w:rsid w:val="13ABCC2D"/>
    <w:rsid w:val="13B4C578"/>
    <w:rsid w:val="1657A6E4"/>
    <w:rsid w:val="17363740"/>
    <w:rsid w:val="177612BA"/>
    <w:rsid w:val="19F173A4"/>
    <w:rsid w:val="1AD71EF9"/>
    <w:rsid w:val="1ADD3561"/>
    <w:rsid w:val="1AEF8786"/>
    <w:rsid w:val="1B003A64"/>
    <w:rsid w:val="1B520E0C"/>
    <w:rsid w:val="1D4A2E5F"/>
    <w:rsid w:val="1DC5469B"/>
    <w:rsid w:val="1EDED836"/>
    <w:rsid w:val="2022CF09"/>
    <w:rsid w:val="20B4347A"/>
    <w:rsid w:val="20FE5C14"/>
    <w:rsid w:val="21266565"/>
    <w:rsid w:val="21BF9F6E"/>
    <w:rsid w:val="223909F7"/>
    <w:rsid w:val="2395CC85"/>
    <w:rsid w:val="24205648"/>
    <w:rsid w:val="24B610B6"/>
    <w:rsid w:val="24C8ED7E"/>
    <w:rsid w:val="2543E090"/>
    <w:rsid w:val="25F7D34D"/>
    <w:rsid w:val="2787C01C"/>
    <w:rsid w:val="2AEB0F2D"/>
    <w:rsid w:val="2B16B5AE"/>
    <w:rsid w:val="2CAF03F0"/>
    <w:rsid w:val="2CB92925"/>
    <w:rsid w:val="2CD38E61"/>
    <w:rsid w:val="2CE65BB5"/>
    <w:rsid w:val="2CF1BB6A"/>
    <w:rsid w:val="302C7385"/>
    <w:rsid w:val="30D4462E"/>
    <w:rsid w:val="3166BD88"/>
    <w:rsid w:val="3194CFAE"/>
    <w:rsid w:val="32551CE6"/>
    <w:rsid w:val="33423D1D"/>
    <w:rsid w:val="33764D40"/>
    <w:rsid w:val="33E3D813"/>
    <w:rsid w:val="34A11309"/>
    <w:rsid w:val="35350AE1"/>
    <w:rsid w:val="35793BCF"/>
    <w:rsid w:val="36025CB4"/>
    <w:rsid w:val="36595780"/>
    <w:rsid w:val="383610B4"/>
    <w:rsid w:val="38EA5D45"/>
    <w:rsid w:val="39D43A98"/>
    <w:rsid w:val="3A405198"/>
    <w:rsid w:val="3C76498E"/>
    <w:rsid w:val="3C978616"/>
    <w:rsid w:val="3E22C235"/>
    <w:rsid w:val="40455841"/>
    <w:rsid w:val="42CE0488"/>
    <w:rsid w:val="42D84A17"/>
    <w:rsid w:val="4307D578"/>
    <w:rsid w:val="45615729"/>
    <w:rsid w:val="4611766F"/>
    <w:rsid w:val="474695F0"/>
    <w:rsid w:val="47BB2A35"/>
    <w:rsid w:val="49A9BA01"/>
    <w:rsid w:val="4A0488F1"/>
    <w:rsid w:val="4CDC50C2"/>
    <w:rsid w:val="50F031AA"/>
    <w:rsid w:val="53534A9C"/>
    <w:rsid w:val="53B7B48F"/>
    <w:rsid w:val="56A89708"/>
    <w:rsid w:val="595FCE6E"/>
    <w:rsid w:val="5A61B064"/>
    <w:rsid w:val="5B4137B9"/>
    <w:rsid w:val="5C2E801C"/>
    <w:rsid w:val="5D1631A7"/>
    <w:rsid w:val="5DC5B595"/>
    <w:rsid w:val="61187632"/>
    <w:rsid w:val="6CCC45C6"/>
    <w:rsid w:val="6EA00B8A"/>
    <w:rsid w:val="6F2B5800"/>
    <w:rsid w:val="6F8048FF"/>
    <w:rsid w:val="6F9005FC"/>
    <w:rsid w:val="71085E5A"/>
    <w:rsid w:val="71414F15"/>
    <w:rsid w:val="72499451"/>
    <w:rsid w:val="726446B4"/>
    <w:rsid w:val="728DBCC9"/>
    <w:rsid w:val="7331984B"/>
    <w:rsid w:val="7457EB84"/>
    <w:rsid w:val="745A0F75"/>
    <w:rsid w:val="74B60CF0"/>
    <w:rsid w:val="752734A6"/>
    <w:rsid w:val="773DEA55"/>
    <w:rsid w:val="781D3B24"/>
    <w:rsid w:val="7970BC4C"/>
    <w:rsid w:val="7AD583FC"/>
    <w:rsid w:val="7B976168"/>
    <w:rsid w:val="7BC0CA22"/>
    <w:rsid w:val="7C02FFD6"/>
    <w:rsid w:val="7C7462DF"/>
    <w:rsid w:val="7C8BECE2"/>
    <w:rsid w:val="7E31909D"/>
    <w:rsid w:val="7EF3CB26"/>
    <w:rsid w:val="7FAD0579"/>
    <w:rsid w:val="7FF5F37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D0A0D"/>
  <w15:docId w15:val="{935928B4-4F47-4B2C-A9F2-153B04A9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589"/>
  </w:style>
  <w:style w:type="paragraph" w:styleId="1">
    <w:name w:val="heading 1"/>
    <w:basedOn w:val="a"/>
    <w:next w:val="a"/>
    <w:link w:val="10"/>
    <w:uiPriority w:val="9"/>
    <w:qFormat/>
    <w:rsid w:val="004E2D3D"/>
    <w:pPr>
      <w:keepNext/>
      <w:keepLines/>
      <w:spacing w:before="340" w:after="330" w:line="578" w:lineRule="auto"/>
      <w:jc w:val="both"/>
      <w:outlineLvl w:val="0"/>
    </w:pPr>
    <w:rPr>
      <w:rFonts w:ascii="等线" w:eastAsia="等线" w:hAnsi="等线" w:cs="宋体"/>
      <w:b/>
      <w:bCs/>
      <w:kern w:val="44"/>
      <w:sz w:val="44"/>
      <w:szCs w:val="4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3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6B25"/>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226B25"/>
    <w:rPr>
      <w:sz w:val="18"/>
      <w:szCs w:val="18"/>
    </w:rPr>
  </w:style>
  <w:style w:type="paragraph" w:styleId="a6">
    <w:name w:val="footer"/>
    <w:basedOn w:val="a"/>
    <w:link w:val="a7"/>
    <w:uiPriority w:val="99"/>
    <w:unhideWhenUsed/>
    <w:rsid w:val="00226B25"/>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226B25"/>
    <w:rPr>
      <w:sz w:val="18"/>
      <w:szCs w:val="18"/>
    </w:rPr>
  </w:style>
  <w:style w:type="paragraph" w:styleId="a8">
    <w:name w:val="List Paragraph"/>
    <w:basedOn w:val="a"/>
    <w:link w:val="a9"/>
    <w:uiPriority w:val="34"/>
    <w:qFormat/>
    <w:rsid w:val="00226B25"/>
    <w:pPr>
      <w:widowControl w:val="0"/>
      <w:spacing w:after="0" w:line="240" w:lineRule="auto"/>
      <w:ind w:firstLineChars="200" w:firstLine="420"/>
      <w:jc w:val="both"/>
    </w:pPr>
    <w:rPr>
      <w:rFonts w:ascii="Calibri" w:eastAsia="宋体" w:hAnsi="Calibri" w:cs="Times New Roman"/>
      <w:kern w:val="2"/>
      <w:sz w:val="21"/>
      <w:lang w:val="en-US"/>
    </w:rPr>
  </w:style>
  <w:style w:type="paragraph" w:styleId="aa">
    <w:name w:val="Balloon Text"/>
    <w:basedOn w:val="a"/>
    <w:link w:val="ab"/>
    <w:uiPriority w:val="99"/>
    <w:semiHidden/>
    <w:unhideWhenUsed/>
    <w:rsid w:val="0087759B"/>
    <w:pPr>
      <w:spacing w:after="0" w:line="240" w:lineRule="auto"/>
    </w:pPr>
    <w:rPr>
      <w:rFonts w:ascii="宋体" w:eastAsia="宋体"/>
      <w:sz w:val="18"/>
      <w:szCs w:val="18"/>
    </w:rPr>
  </w:style>
  <w:style w:type="character" w:customStyle="1" w:styleId="ab">
    <w:name w:val="批注框文本 字符"/>
    <w:basedOn w:val="a0"/>
    <w:link w:val="aa"/>
    <w:uiPriority w:val="99"/>
    <w:semiHidden/>
    <w:rsid w:val="0087759B"/>
    <w:rPr>
      <w:rFonts w:ascii="宋体" w:eastAsia="宋体"/>
      <w:sz w:val="18"/>
      <w:szCs w:val="18"/>
    </w:rPr>
  </w:style>
  <w:style w:type="character" w:styleId="ac">
    <w:name w:val="annotation reference"/>
    <w:basedOn w:val="a0"/>
    <w:uiPriority w:val="99"/>
    <w:semiHidden/>
    <w:unhideWhenUsed/>
    <w:rsid w:val="00882E97"/>
    <w:rPr>
      <w:sz w:val="21"/>
      <w:szCs w:val="21"/>
    </w:rPr>
  </w:style>
  <w:style w:type="paragraph" w:styleId="ad">
    <w:name w:val="annotation text"/>
    <w:basedOn w:val="a"/>
    <w:link w:val="ae"/>
    <w:uiPriority w:val="99"/>
    <w:unhideWhenUsed/>
    <w:rsid w:val="00882E97"/>
  </w:style>
  <w:style w:type="character" w:customStyle="1" w:styleId="ae">
    <w:name w:val="批注文字 字符"/>
    <w:basedOn w:val="a0"/>
    <w:link w:val="ad"/>
    <w:uiPriority w:val="99"/>
    <w:rsid w:val="00882E97"/>
  </w:style>
  <w:style w:type="paragraph" w:styleId="af">
    <w:name w:val="annotation subject"/>
    <w:basedOn w:val="ad"/>
    <w:next w:val="ad"/>
    <w:link w:val="af0"/>
    <w:uiPriority w:val="99"/>
    <w:semiHidden/>
    <w:unhideWhenUsed/>
    <w:rsid w:val="00882E97"/>
    <w:rPr>
      <w:b/>
      <w:bCs/>
    </w:rPr>
  </w:style>
  <w:style w:type="character" w:customStyle="1" w:styleId="af0">
    <w:name w:val="批注主题 字符"/>
    <w:basedOn w:val="ae"/>
    <w:link w:val="af"/>
    <w:uiPriority w:val="99"/>
    <w:semiHidden/>
    <w:rsid w:val="00882E97"/>
    <w:rPr>
      <w:b/>
      <w:bCs/>
    </w:rPr>
  </w:style>
  <w:style w:type="paragraph" w:styleId="af1">
    <w:name w:val="Normal (Web)"/>
    <w:basedOn w:val="a"/>
    <w:uiPriority w:val="99"/>
    <w:semiHidden/>
    <w:unhideWhenUsed/>
    <w:rsid w:val="009D0B9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a0"/>
    <w:rsid w:val="009D0B94"/>
  </w:style>
  <w:style w:type="paragraph" w:customStyle="1" w:styleId="Default">
    <w:name w:val="Default"/>
    <w:link w:val="DefaultChar"/>
    <w:qFormat/>
    <w:rsid w:val="00282EAB"/>
    <w:pPr>
      <w:autoSpaceDE w:val="0"/>
      <w:autoSpaceDN w:val="0"/>
      <w:adjustRightInd w:val="0"/>
      <w:spacing w:after="0" w:line="240" w:lineRule="auto"/>
    </w:pPr>
    <w:rPr>
      <w:rFonts w:ascii="楷体" w:eastAsia="楷体" w:cs="楷体"/>
      <w:color w:val="000000"/>
      <w:sz w:val="24"/>
      <w:szCs w:val="24"/>
      <w:lang w:val="en-US"/>
    </w:rPr>
  </w:style>
  <w:style w:type="character" w:styleId="af2">
    <w:name w:val="Hyperlink"/>
    <w:basedOn w:val="a0"/>
    <w:uiPriority w:val="99"/>
    <w:unhideWhenUsed/>
    <w:rsid w:val="00480906"/>
    <w:rPr>
      <w:color w:val="0563C1" w:themeColor="hyperlink"/>
      <w:u w:val="single"/>
    </w:rPr>
  </w:style>
  <w:style w:type="character" w:customStyle="1" w:styleId="11">
    <w:name w:val="未处理的提及1"/>
    <w:basedOn w:val="a0"/>
    <w:uiPriority w:val="99"/>
    <w:semiHidden/>
    <w:unhideWhenUsed/>
    <w:rsid w:val="00480906"/>
    <w:rPr>
      <w:color w:val="605E5C"/>
      <w:shd w:val="clear" w:color="auto" w:fill="E1DFDD"/>
    </w:rPr>
  </w:style>
  <w:style w:type="character" w:customStyle="1" w:styleId="markedcontent">
    <w:name w:val="markedcontent"/>
    <w:basedOn w:val="a0"/>
    <w:rsid w:val="00E70874"/>
  </w:style>
  <w:style w:type="character" w:customStyle="1" w:styleId="a9">
    <w:name w:val="列表段落 字符"/>
    <w:basedOn w:val="a0"/>
    <w:link w:val="a8"/>
    <w:uiPriority w:val="34"/>
    <w:locked/>
    <w:rsid w:val="00744E3D"/>
    <w:rPr>
      <w:rFonts w:ascii="Calibri" w:eastAsia="宋体" w:hAnsi="Calibri" w:cs="Times New Roman"/>
      <w:kern w:val="2"/>
      <w:sz w:val="21"/>
      <w:lang w:val="en-US"/>
    </w:rPr>
  </w:style>
  <w:style w:type="character" w:customStyle="1" w:styleId="DefaultChar">
    <w:name w:val="Default Char"/>
    <w:link w:val="Default"/>
    <w:locked/>
    <w:rsid w:val="005520A2"/>
    <w:rPr>
      <w:rFonts w:ascii="楷体" w:eastAsia="楷体" w:cs="楷体"/>
      <w:color w:val="000000"/>
      <w:sz w:val="24"/>
      <w:szCs w:val="24"/>
      <w:lang w:val="en-US"/>
    </w:rPr>
  </w:style>
  <w:style w:type="character" w:customStyle="1" w:styleId="10">
    <w:name w:val="标题 1 字符"/>
    <w:basedOn w:val="a0"/>
    <w:link w:val="1"/>
    <w:uiPriority w:val="9"/>
    <w:rsid w:val="004E2D3D"/>
    <w:rPr>
      <w:rFonts w:ascii="等线" w:eastAsia="等线" w:hAnsi="等线" w:cs="宋体"/>
      <w:b/>
      <w:bCs/>
      <w:kern w:val="44"/>
      <w:sz w:val="44"/>
      <w:szCs w:val="44"/>
      <w:lang w:val="en-US"/>
    </w:rPr>
  </w:style>
  <w:style w:type="paragraph" w:styleId="HTML">
    <w:name w:val="HTML Preformatted"/>
    <w:basedOn w:val="a"/>
    <w:link w:val="HTML0"/>
    <w:uiPriority w:val="99"/>
    <w:unhideWhenUsed/>
    <w:rsid w:val="00D82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sz w:val="24"/>
      <w:szCs w:val="24"/>
      <w:lang w:val="en-US"/>
    </w:rPr>
  </w:style>
  <w:style w:type="character" w:customStyle="1" w:styleId="HTML0">
    <w:name w:val="HTML 预设格式 字符"/>
    <w:basedOn w:val="a0"/>
    <w:link w:val="HTML"/>
    <w:uiPriority w:val="99"/>
    <w:rsid w:val="00D82F55"/>
    <w:rPr>
      <w:rFonts w:ascii="宋体" w:eastAsia="宋体" w:hAnsi="宋体" w:cs="宋体"/>
      <w:sz w:val="24"/>
      <w:szCs w:val="24"/>
      <w:lang w:val="en-US"/>
    </w:rPr>
  </w:style>
  <w:style w:type="character" w:customStyle="1" w:styleId="text-only">
    <w:name w:val="text-only"/>
    <w:basedOn w:val="a0"/>
    <w:rsid w:val="00887A05"/>
  </w:style>
  <w:style w:type="paragraph" w:styleId="af3">
    <w:name w:val="Revision"/>
    <w:hidden/>
    <w:uiPriority w:val="99"/>
    <w:semiHidden/>
    <w:rsid w:val="00E5629A"/>
    <w:pPr>
      <w:spacing w:after="0" w:line="240" w:lineRule="auto"/>
    </w:pPr>
  </w:style>
  <w:style w:type="character" w:customStyle="1" w:styleId="normaltextrun">
    <w:name w:val="normaltextrun"/>
    <w:basedOn w:val="a0"/>
    <w:rsid w:val="00D84E3B"/>
  </w:style>
  <w:style w:type="character" w:customStyle="1" w:styleId="eop">
    <w:name w:val="eop"/>
    <w:basedOn w:val="a0"/>
    <w:rsid w:val="00D84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375">
      <w:bodyDiv w:val="1"/>
      <w:marLeft w:val="0"/>
      <w:marRight w:val="0"/>
      <w:marTop w:val="0"/>
      <w:marBottom w:val="0"/>
      <w:divBdr>
        <w:top w:val="none" w:sz="0" w:space="0" w:color="auto"/>
        <w:left w:val="none" w:sz="0" w:space="0" w:color="auto"/>
        <w:bottom w:val="none" w:sz="0" w:space="0" w:color="auto"/>
        <w:right w:val="none" w:sz="0" w:space="0" w:color="auto"/>
      </w:divBdr>
    </w:div>
    <w:div w:id="18967468">
      <w:bodyDiv w:val="1"/>
      <w:marLeft w:val="0"/>
      <w:marRight w:val="0"/>
      <w:marTop w:val="0"/>
      <w:marBottom w:val="0"/>
      <w:divBdr>
        <w:top w:val="none" w:sz="0" w:space="0" w:color="auto"/>
        <w:left w:val="none" w:sz="0" w:space="0" w:color="auto"/>
        <w:bottom w:val="none" w:sz="0" w:space="0" w:color="auto"/>
        <w:right w:val="none" w:sz="0" w:space="0" w:color="auto"/>
      </w:divBdr>
    </w:div>
    <w:div w:id="21904233">
      <w:bodyDiv w:val="1"/>
      <w:marLeft w:val="0"/>
      <w:marRight w:val="0"/>
      <w:marTop w:val="0"/>
      <w:marBottom w:val="0"/>
      <w:divBdr>
        <w:top w:val="none" w:sz="0" w:space="0" w:color="auto"/>
        <w:left w:val="none" w:sz="0" w:space="0" w:color="auto"/>
        <w:bottom w:val="none" w:sz="0" w:space="0" w:color="auto"/>
        <w:right w:val="none" w:sz="0" w:space="0" w:color="auto"/>
      </w:divBdr>
      <w:divsChild>
        <w:div w:id="1974169004">
          <w:marLeft w:val="0"/>
          <w:marRight w:val="0"/>
          <w:marTop w:val="0"/>
          <w:marBottom w:val="0"/>
          <w:divBdr>
            <w:top w:val="none" w:sz="0" w:space="0" w:color="auto"/>
            <w:left w:val="none" w:sz="0" w:space="0" w:color="auto"/>
            <w:bottom w:val="none" w:sz="0" w:space="0" w:color="auto"/>
            <w:right w:val="none" w:sz="0" w:space="0" w:color="auto"/>
          </w:divBdr>
        </w:div>
      </w:divsChild>
    </w:div>
    <w:div w:id="38090010">
      <w:bodyDiv w:val="1"/>
      <w:marLeft w:val="0"/>
      <w:marRight w:val="0"/>
      <w:marTop w:val="0"/>
      <w:marBottom w:val="0"/>
      <w:divBdr>
        <w:top w:val="none" w:sz="0" w:space="0" w:color="auto"/>
        <w:left w:val="none" w:sz="0" w:space="0" w:color="auto"/>
        <w:bottom w:val="none" w:sz="0" w:space="0" w:color="auto"/>
        <w:right w:val="none" w:sz="0" w:space="0" w:color="auto"/>
      </w:divBdr>
    </w:div>
    <w:div w:id="59716268">
      <w:bodyDiv w:val="1"/>
      <w:marLeft w:val="0"/>
      <w:marRight w:val="0"/>
      <w:marTop w:val="0"/>
      <w:marBottom w:val="0"/>
      <w:divBdr>
        <w:top w:val="none" w:sz="0" w:space="0" w:color="auto"/>
        <w:left w:val="none" w:sz="0" w:space="0" w:color="auto"/>
        <w:bottom w:val="none" w:sz="0" w:space="0" w:color="auto"/>
        <w:right w:val="none" w:sz="0" w:space="0" w:color="auto"/>
      </w:divBdr>
    </w:div>
    <w:div w:id="97409240">
      <w:bodyDiv w:val="1"/>
      <w:marLeft w:val="0"/>
      <w:marRight w:val="0"/>
      <w:marTop w:val="0"/>
      <w:marBottom w:val="0"/>
      <w:divBdr>
        <w:top w:val="none" w:sz="0" w:space="0" w:color="auto"/>
        <w:left w:val="none" w:sz="0" w:space="0" w:color="auto"/>
        <w:bottom w:val="none" w:sz="0" w:space="0" w:color="auto"/>
        <w:right w:val="none" w:sz="0" w:space="0" w:color="auto"/>
      </w:divBdr>
    </w:div>
    <w:div w:id="116686037">
      <w:bodyDiv w:val="1"/>
      <w:marLeft w:val="0"/>
      <w:marRight w:val="0"/>
      <w:marTop w:val="0"/>
      <w:marBottom w:val="0"/>
      <w:divBdr>
        <w:top w:val="none" w:sz="0" w:space="0" w:color="auto"/>
        <w:left w:val="none" w:sz="0" w:space="0" w:color="auto"/>
        <w:bottom w:val="none" w:sz="0" w:space="0" w:color="auto"/>
        <w:right w:val="none" w:sz="0" w:space="0" w:color="auto"/>
      </w:divBdr>
      <w:divsChild>
        <w:div w:id="1001356127">
          <w:marLeft w:val="0"/>
          <w:marRight w:val="0"/>
          <w:marTop w:val="0"/>
          <w:marBottom w:val="0"/>
          <w:divBdr>
            <w:top w:val="none" w:sz="0" w:space="0" w:color="auto"/>
            <w:left w:val="none" w:sz="0" w:space="0" w:color="auto"/>
            <w:bottom w:val="none" w:sz="0" w:space="0" w:color="auto"/>
            <w:right w:val="none" w:sz="0" w:space="0" w:color="auto"/>
          </w:divBdr>
        </w:div>
      </w:divsChild>
    </w:div>
    <w:div w:id="124392310">
      <w:bodyDiv w:val="1"/>
      <w:marLeft w:val="0"/>
      <w:marRight w:val="0"/>
      <w:marTop w:val="0"/>
      <w:marBottom w:val="0"/>
      <w:divBdr>
        <w:top w:val="none" w:sz="0" w:space="0" w:color="auto"/>
        <w:left w:val="none" w:sz="0" w:space="0" w:color="auto"/>
        <w:bottom w:val="none" w:sz="0" w:space="0" w:color="auto"/>
        <w:right w:val="none" w:sz="0" w:space="0" w:color="auto"/>
      </w:divBdr>
    </w:div>
    <w:div w:id="126895419">
      <w:bodyDiv w:val="1"/>
      <w:marLeft w:val="0"/>
      <w:marRight w:val="0"/>
      <w:marTop w:val="0"/>
      <w:marBottom w:val="0"/>
      <w:divBdr>
        <w:top w:val="none" w:sz="0" w:space="0" w:color="auto"/>
        <w:left w:val="none" w:sz="0" w:space="0" w:color="auto"/>
        <w:bottom w:val="none" w:sz="0" w:space="0" w:color="auto"/>
        <w:right w:val="none" w:sz="0" w:space="0" w:color="auto"/>
      </w:divBdr>
    </w:div>
    <w:div w:id="202133466">
      <w:bodyDiv w:val="1"/>
      <w:marLeft w:val="0"/>
      <w:marRight w:val="0"/>
      <w:marTop w:val="0"/>
      <w:marBottom w:val="0"/>
      <w:divBdr>
        <w:top w:val="none" w:sz="0" w:space="0" w:color="auto"/>
        <w:left w:val="none" w:sz="0" w:space="0" w:color="auto"/>
        <w:bottom w:val="none" w:sz="0" w:space="0" w:color="auto"/>
        <w:right w:val="none" w:sz="0" w:space="0" w:color="auto"/>
      </w:divBdr>
    </w:div>
    <w:div w:id="204564678">
      <w:bodyDiv w:val="1"/>
      <w:marLeft w:val="0"/>
      <w:marRight w:val="0"/>
      <w:marTop w:val="0"/>
      <w:marBottom w:val="0"/>
      <w:divBdr>
        <w:top w:val="none" w:sz="0" w:space="0" w:color="auto"/>
        <w:left w:val="none" w:sz="0" w:space="0" w:color="auto"/>
        <w:bottom w:val="none" w:sz="0" w:space="0" w:color="auto"/>
        <w:right w:val="none" w:sz="0" w:space="0" w:color="auto"/>
      </w:divBdr>
      <w:divsChild>
        <w:div w:id="3242199">
          <w:marLeft w:val="0"/>
          <w:marRight w:val="0"/>
          <w:marTop w:val="0"/>
          <w:marBottom w:val="0"/>
          <w:divBdr>
            <w:top w:val="none" w:sz="0" w:space="0" w:color="auto"/>
            <w:left w:val="none" w:sz="0" w:space="0" w:color="auto"/>
            <w:bottom w:val="none" w:sz="0" w:space="0" w:color="auto"/>
            <w:right w:val="none" w:sz="0" w:space="0" w:color="auto"/>
          </w:divBdr>
        </w:div>
      </w:divsChild>
    </w:div>
    <w:div w:id="215893908">
      <w:bodyDiv w:val="1"/>
      <w:marLeft w:val="0"/>
      <w:marRight w:val="0"/>
      <w:marTop w:val="0"/>
      <w:marBottom w:val="0"/>
      <w:divBdr>
        <w:top w:val="none" w:sz="0" w:space="0" w:color="auto"/>
        <w:left w:val="none" w:sz="0" w:space="0" w:color="auto"/>
        <w:bottom w:val="none" w:sz="0" w:space="0" w:color="auto"/>
        <w:right w:val="none" w:sz="0" w:space="0" w:color="auto"/>
      </w:divBdr>
    </w:div>
    <w:div w:id="271666738">
      <w:bodyDiv w:val="1"/>
      <w:marLeft w:val="0"/>
      <w:marRight w:val="0"/>
      <w:marTop w:val="0"/>
      <w:marBottom w:val="0"/>
      <w:divBdr>
        <w:top w:val="none" w:sz="0" w:space="0" w:color="auto"/>
        <w:left w:val="none" w:sz="0" w:space="0" w:color="auto"/>
        <w:bottom w:val="none" w:sz="0" w:space="0" w:color="auto"/>
        <w:right w:val="none" w:sz="0" w:space="0" w:color="auto"/>
      </w:divBdr>
    </w:div>
    <w:div w:id="285165524">
      <w:bodyDiv w:val="1"/>
      <w:marLeft w:val="0"/>
      <w:marRight w:val="0"/>
      <w:marTop w:val="0"/>
      <w:marBottom w:val="0"/>
      <w:divBdr>
        <w:top w:val="none" w:sz="0" w:space="0" w:color="auto"/>
        <w:left w:val="none" w:sz="0" w:space="0" w:color="auto"/>
        <w:bottom w:val="none" w:sz="0" w:space="0" w:color="auto"/>
        <w:right w:val="none" w:sz="0" w:space="0" w:color="auto"/>
      </w:divBdr>
    </w:div>
    <w:div w:id="307785753">
      <w:bodyDiv w:val="1"/>
      <w:marLeft w:val="0"/>
      <w:marRight w:val="0"/>
      <w:marTop w:val="0"/>
      <w:marBottom w:val="0"/>
      <w:divBdr>
        <w:top w:val="none" w:sz="0" w:space="0" w:color="auto"/>
        <w:left w:val="none" w:sz="0" w:space="0" w:color="auto"/>
        <w:bottom w:val="none" w:sz="0" w:space="0" w:color="auto"/>
        <w:right w:val="none" w:sz="0" w:space="0" w:color="auto"/>
      </w:divBdr>
      <w:divsChild>
        <w:div w:id="956258507">
          <w:marLeft w:val="0"/>
          <w:marRight w:val="0"/>
          <w:marTop w:val="0"/>
          <w:marBottom w:val="0"/>
          <w:divBdr>
            <w:top w:val="none" w:sz="0" w:space="0" w:color="auto"/>
            <w:left w:val="none" w:sz="0" w:space="0" w:color="auto"/>
            <w:bottom w:val="none" w:sz="0" w:space="0" w:color="auto"/>
            <w:right w:val="none" w:sz="0" w:space="0" w:color="auto"/>
          </w:divBdr>
        </w:div>
      </w:divsChild>
    </w:div>
    <w:div w:id="314842450">
      <w:bodyDiv w:val="1"/>
      <w:marLeft w:val="0"/>
      <w:marRight w:val="0"/>
      <w:marTop w:val="0"/>
      <w:marBottom w:val="0"/>
      <w:divBdr>
        <w:top w:val="none" w:sz="0" w:space="0" w:color="auto"/>
        <w:left w:val="none" w:sz="0" w:space="0" w:color="auto"/>
        <w:bottom w:val="none" w:sz="0" w:space="0" w:color="auto"/>
        <w:right w:val="none" w:sz="0" w:space="0" w:color="auto"/>
      </w:divBdr>
    </w:div>
    <w:div w:id="328294580">
      <w:bodyDiv w:val="1"/>
      <w:marLeft w:val="0"/>
      <w:marRight w:val="0"/>
      <w:marTop w:val="0"/>
      <w:marBottom w:val="0"/>
      <w:divBdr>
        <w:top w:val="none" w:sz="0" w:space="0" w:color="auto"/>
        <w:left w:val="none" w:sz="0" w:space="0" w:color="auto"/>
        <w:bottom w:val="none" w:sz="0" w:space="0" w:color="auto"/>
        <w:right w:val="none" w:sz="0" w:space="0" w:color="auto"/>
      </w:divBdr>
    </w:div>
    <w:div w:id="371082477">
      <w:bodyDiv w:val="1"/>
      <w:marLeft w:val="0"/>
      <w:marRight w:val="0"/>
      <w:marTop w:val="0"/>
      <w:marBottom w:val="0"/>
      <w:divBdr>
        <w:top w:val="none" w:sz="0" w:space="0" w:color="auto"/>
        <w:left w:val="none" w:sz="0" w:space="0" w:color="auto"/>
        <w:bottom w:val="none" w:sz="0" w:space="0" w:color="auto"/>
        <w:right w:val="none" w:sz="0" w:space="0" w:color="auto"/>
      </w:divBdr>
      <w:divsChild>
        <w:div w:id="1913614481">
          <w:marLeft w:val="0"/>
          <w:marRight w:val="0"/>
          <w:marTop w:val="0"/>
          <w:marBottom w:val="0"/>
          <w:divBdr>
            <w:top w:val="none" w:sz="0" w:space="0" w:color="auto"/>
            <w:left w:val="none" w:sz="0" w:space="0" w:color="auto"/>
            <w:bottom w:val="none" w:sz="0" w:space="0" w:color="auto"/>
            <w:right w:val="none" w:sz="0" w:space="0" w:color="auto"/>
          </w:divBdr>
        </w:div>
      </w:divsChild>
    </w:div>
    <w:div w:id="407464360">
      <w:bodyDiv w:val="1"/>
      <w:marLeft w:val="0"/>
      <w:marRight w:val="0"/>
      <w:marTop w:val="0"/>
      <w:marBottom w:val="0"/>
      <w:divBdr>
        <w:top w:val="none" w:sz="0" w:space="0" w:color="auto"/>
        <w:left w:val="none" w:sz="0" w:space="0" w:color="auto"/>
        <w:bottom w:val="none" w:sz="0" w:space="0" w:color="auto"/>
        <w:right w:val="none" w:sz="0" w:space="0" w:color="auto"/>
      </w:divBdr>
      <w:divsChild>
        <w:div w:id="262882056">
          <w:marLeft w:val="0"/>
          <w:marRight w:val="0"/>
          <w:marTop w:val="0"/>
          <w:marBottom w:val="0"/>
          <w:divBdr>
            <w:top w:val="none" w:sz="0" w:space="0" w:color="auto"/>
            <w:left w:val="none" w:sz="0" w:space="0" w:color="auto"/>
            <w:bottom w:val="none" w:sz="0" w:space="0" w:color="auto"/>
            <w:right w:val="none" w:sz="0" w:space="0" w:color="auto"/>
          </w:divBdr>
        </w:div>
      </w:divsChild>
    </w:div>
    <w:div w:id="429358464">
      <w:bodyDiv w:val="1"/>
      <w:marLeft w:val="0"/>
      <w:marRight w:val="0"/>
      <w:marTop w:val="0"/>
      <w:marBottom w:val="0"/>
      <w:divBdr>
        <w:top w:val="none" w:sz="0" w:space="0" w:color="auto"/>
        <w:left w:val="none" w:sz="0" w:space="0" w:color="auto"/>
        <w:bottom w:val="none" w:sz="0" w:space="0" w:color="auto"/>
        <w:right w:val="none" w:sz="0" w:space="0" w:color="auto"/>
      </w:divBdr>
    </w:div>
    <w:div w:id="482087820">
      <w:bodyDiv w:val="1"/>
      <w:marLeft w:val="0"/>
      <w:marRight w:val="0"/>
      <w:marTop w:val="0"/>
      <w:marBottom w:val="0"/>
      <w:divBdr>
        <w:top w:val="none" w:sz="0" w:space="0" w:color="auto"/>
        <w:left w:val="none" w:sz="0" w:space="0" w:color="auto"/>
        <w:bottom w:val="none" w:sz="0" w:space="0" w:color="auto"/>
        <w:right w:val="none" w:sz="0" w:space="0" w:color="auto"/>
      </w:divBdr>
    </w:div>
    <w:div w:id="512110069">
      <w:bodyDiv w:val="1"/>
      <w:marLeft w:val="0"/>
      <w:marRight w:val="0"/>
      <w:marTop w:val="0"/>
      <w:marBottom w:val="0"/>
      <w:divBdr>
        <w:top w:val="none" w:sz="0" w:space="0" w:color="auto"/>
        <w:left w:val="none" w:sz="0" w:space="0" w:color="auto"/>
        <w:bottom w:val="none" w:sz="0" w:space="0" w:color="auto"/>
        <w:right w:val="none" w:sz="0" w:space="0" w:color="auto"/>
      </w:divBdr>
    </w:div>
    <w:div w:id="512189189">
      <w:bodyDiv w:val="1"/>
      <w:marLeft w:val="0"/>
      <w:marRight w:val="0"/>
      <w:marTop w:val="0"/>
      <w:marBottom w:val="0"/>
      <w:divBdr>
        <w:top w:val="none" w:sz="0" w:space="0" w:color="auto"/>
        <w:left w:val="none" w:sz="0" w:space="0" w:color="auto"/>
        <w:bottom w:val="none" w:sz="0" w:space="0" w:color="auto"/>
        <w:right w:val="none" w:sz="0" w:space="0" w:color="auto"/>
      </w:divBdr>
    </w:div>
    <w:div w:id="550314770">
      <w:bodyDiv w:val="1"/>
      <w:marLeft w:val="0"/>
      <w:marRight w:val="0"/>
      <w:marTop w:val="0"/>
      <w:marBottom w:val="0"/>
      <w:divBdr>
        <w:top w:val="none" w:sz="0" w:space="0" w:color="auto"/>
        <w:left w:val="none" w:sz="0" w:space="0" w:color="auto"/>
        <w:bottom w:val="none" w:sz="0" w:space="0" w:color="auto"/>
        <w:right w:val="none" w:sz="0" w:space="0" w:color="auto"/>
      </w:divBdr>
    </w:div>
    <w:div w:id="600993909">
      <w:bodyDiv w:val="1"/>
      <w:marLeft w:val="0"/>
      <w:marRight w:val="0"/>
      <w:marTop w:val="0"/>
      <w:marBottom w:val="0"/>
      <w:divBdr>
        <w:top w:val="none" w:sz="0" w:space="0" w:color="auto"/>
        <w:left w:val="none" w:sz="0" w:space="0" w:color="auto"/>
        <w:bottom w:val="none" w:sz="0" w:space="0" w:color="auto"/>
        <w:right w:val="none" w:sz="0" w:space="0" w:color="auto"/>
      </w:divBdr>
    </w:div>
    <w:div w:id="604727994">
      <w:bodyDiv w:val="1"/>
      <w:marLeft w:val="0"/>
      <w:marRight w:val="0"/>
      <w:marTop w:val="0"/>
      <w:marBottom w:val="0"/>
      <w:divBdr>
        <w:top w:val="none" w:sz="0" w:space="0" w:color="auto"/>
        <w:left w:val="none" w:sz="0" w:space="0" w:color="auto"/>
        <w:bottom w:val="none" w:sz="0" w:space="0" w:color="auto"/>
        <w:right w:val="none" w:sz="0" w:space="0" w:color="auto"/>
      </w:divBdr>
      <w:divsChild>
        <w:div w:id="438062570">
          <w:marLeft w:val="0"/>
          <w:marRight w:val="0"/>
          <w:marTop w:val="0"/>
          <w:marBottom w:val="0"/>
          <w:divBdr>
            <w:top w:val="none" w:sz="0" w:space="0" w:color="auto"/>
            <w:left w:val="none" w:sz="0" w:space="0" w:color="auto"/>
            <w:bottom w:val="none" w:sz="0" w:space="0" w:color="auto"/>
            <w:right w:val="none" w:sz="0" w:space="0" w:color="auto"/>
          </w:divBdr>
        </w:div>
      </w:divsChild>
    </w:div>
    <w:div w:id="614562961">
      <w:bodyDiv w:val="1"/>
      <w:marLeft w:val="0"/>
      <w:marRight w:val="0"/>
      <w:marTop w:val="0"/>
      <w:marBottom w:val="0"/>
      <w:divBdr>
        <w:top w:val="none" w:sz="0" w:space="0" w:color="auto"/>
        <w:left w:val="none" w:sz="0" w:space="0" w:color="auto"/>
        <w:bottom w:val="none" w:sz="0" w:space="0" w:color="auto"/>
        <w:right w:val="none" w:sz="0" w:space="0" w:color="auto"/>
      </w:divBdr>
      <w:divsChild>
        <w:div w:id="433285809">
          <w:marLeft w:val="0"/>
          <w:marRight w:val="0"/>
          <w:marTop w:val="0"/>
          <w:marBottom w:val="0"/>
          <w:divBdr>
            <w:top w:val="none" w:sz="0" w:space="0" w:color="auto"/>
            <w:left w:val="none" w:sz="0" w:space="0" w:color="auto"/>
            <w:bottom w:val="none" w:sz="0" w:space="0" w:color="auto"/>
            <w:right w:val="none" w:sz="0" w:space="0" w:color="auto"/>
          </w:divBdr>
        </w:div>
      </w:divsChild>
    </w:div>
    <w:div w:id="642346561">
      <w:bodyDiv w:val="1"/>
      <w:marLeft w:val="0"/>
      <w:marRight w:val="0"/>
      <w:marTop w:val="0"/>
      <w:marBottom w:val="0"/>
      <w:divBdr>
        <w:top w:val="none" w:sz="0" w:space="0" w:color="auto"/>
        <w:left w:val="none" w:sz="0" w:space="0" w:color="auto"/>
        <w:bottom w:val="none" w:sz="0" w:space="0" w:color="auto"/>
        <w:right w:val="none" w:sz="0" w:space="0" w:color="auto"/>
      </w:divBdr>
    </w:div>
    <w:div w:id="664161691">
      <w:bodyDiv w:val="1"/>
      <w:marLeft w:val="0"/>
      <w:marRight w:val="0"/>
      <w:marTop w:val="0"/>
      <w:marBottom w:val="0"/>
      <w:divBdr>
        <w:top w:val="none" w:sz="0" w:space="0" w:color="auto"/>
        <w:left w:val="none" w:sz="0" w:space="0" w:color="auto"/>
        <w:bottom w:val="none" w:sz="0" w:space="0" w:color="auto"/>
        <w:right w:val="none" w:sz="0" w:space="0" w:color="auto"/>
      </w:divBdr>
    </w:div>
    <w:div w:id="691342383">
      <w:bodyDiv w:val="1"/>
      <w:marLeft w:val="0"/>
      <w:marRight w:val="0"/>
      <w:marTop w:val="0"/>
      <w:marBottom w:val="0"/>
      <w:divBdr>
        <w:top w:val="none" w:sz="0" w:space="0" w:color="auto"/>
        <w:left w:val="none" w:sz="0" w:space="0" w:color="auto"/>
        <w:bottom w:val="none" w:sz="0" w:space="0" w:color="auto"/>
        <w:right w:val="none" w:sz="0" w:space="0" w:color="auto"/>
      </w:divBdr>
      <w:divsChild>
        <w:div w:id="1689870671">
          <w:marLeft w:val="0"/>
          <w:marRight w:val="0"/>
          <w:marTop w:val="0"/>
          <w:marBottom w:val="0"/>
          <w:divBdr>
            <w:top w:val="none" w:sz="0" w:space="0" w:color="auto"/>
            <w:left w:val="none" w:sz="0" w:space="0" w:color="auto"/>
            <w:bottom w:val="none" w:sz="0" w:space="0" w:color="auto"/>
            <w:right w:val="none" w:sz="0" w:space="0" w:color="auto"/>
          </w:divBdr>
        </w:div>
      </w:divsChild>
    </w:div>
    <w:div w:id="695813119">
      <w:bodyDiv w:val="1"/>
      <w:marLeft w:val="0"/>
      <w:marRight w:val="0"/>
      <w:marTop w:val="0"/>
      <w:marBottom w:val="0"/>
      <w:divBdr>
        <w:top w:val="none" w:sz="0" w:space="0" w:color="auto"/>
        <w:left w:val="none" w:sz="0" w:space="0" w:color="auto"/>
        <w:bottom w:val="none" w:sz="0" w:space="0" w:color="auto"/>
        <w:right w:val="none" w:sz="0" w:space="0" w:color="auto"/>
      </w:divBdr>
    </w:div>
    <w:div w:id="726608406">
      <w:bodyDiv w:val="1"/>
      <w:marLeft w:val="0"/>
      <w:marRight w:val="0"/>
      <w:marTop w:val="0"/>
      <w:marBottom w:val="0"/>
      <w:divBdr>
        <w:top w:val="none" w:sz="0" w:space="0" w:color="auto"/>
        <w:left w:val="none" w:sz="0" w:space="0" w:color="auto"/>
        <w:bottom w:val="none" w:sz="0" w:space="0" w:color="auto"/>
        <w:right w:val="none" w:sz="0" w:space="0" w:color="auto"/>
      </w:divBdr>
      <w:divsChild>
        <w:div w:id="1535849924">
          <w:marLeft w:val="0"/>
          <w:marRight w:val="0"/>
          <w:marTop w:val="0"/>
          <w:marBottom w:val="0"/>
          <w:divBdr>
            <w:top w:val="none" w:sz="0" w:space="0" w:color="auto"/>
            <w:left w:val="none" w:sz="0" w:space="0" w:color="auto"/>
            <w:bottom w:val="none" w:sz="0" w:space="0" w:color="auto"/>
            <w:right w:val="none" w:sz="0" w:space="0" w:color="auto"/>
          </w:divBdr>
        </w:div>
      </w:divsChild>
    </w:div>
    <w:div w:id="807356410">
      <w:bodyDiv w:val="1"/>
      <w:marLeft w:val="0"/>
      <w:marRight w:val="0"/>
      <w:marTop w:val="0"/>
      <w:marBottom w:val="0"/>
      <w:divBdr>
        <w:top w:val="none" w:sz="0" w:space="0" w:color="auto"/>
        <w:left w:val="none" w:sz="0" w:space="0" w:color="auto"/>
        <w:bottom w:val="none" w:sz="0" w:space="0" w:color="auto"/>
        <w:right w:val="none" w:sz="0" w:space="0" w:color="auto"/>
      </w:divBdr>
    </w:div>
    <w:div w:id="855801809">
      <w:bodyDiv w:val="1"/>
      <w:marLeft w:val="0"/>
      <w:marRight w:val="0"/>
      <w:marTop w:val="0"/>
      <w:marBottom w:val="0"/>
      <w:divBdr>
        <w:top w:val="none" w:sz="0" w:space="0" w:color="auto"/>
        <w:left w:val="none" w:sz="0" w:space="0" w:color="auto"/>
        <w:bottom w:val="none" w:sz="0" w:space="0" w:color="auto"/>
        <w:right w:val="none" w:sz="0" w:space="0" w:color="auto"/>
      </w:divBdr>
    </w:div>
    <w:div w:id="875855027">
      <w:bodyDiv w:val="1"/>
      <w:marLeft w:val="0"/>
      <w:marRight w:val="0"/>
      <w:marTop w:val="0"/>
      <w:marBottom w:val="0"/>
      <w:divBdr>
        <w:top w:val="none" w:sz="0" w:space="0" w:color="auto"/>
        <w:left w:val="none" w:sz="0" w:space="0" w:color="auto"/>
        <w:bottom w:val="none" w:sz="0" w:space="0" w:color="auto"/>
        <w:right w:val="none" w:sz="0" w:space="0" w:color="auto"/>
      </w:divBdr>
      <w:divsChild>
        <w:div w:id="1557622820">
          <w:marLeft w:val="0"/>
          <w:marRight w:val="0"/>
          <w:marTop w:val="0"/>
          <w:marBottom w:val="0"/>
          <w:divBdr>
            <w:top w:val="none" w:sz="0" w:space="0" w:color="auto"/>
            <w:left w:val="none" w:sz="0" w:space="0" w:color="auto"/>
            <w:bottom w:val="none" w:sz="0" w:space="0" w:color="auto"/>
            <w:right w:val="none" w:sz="0" w:space="0" w:color="auto"/>
          </w:divBdr>
        </w:div>
      </w:divsChild>
    </w:div>
    <w:div w:id="887104801">
      <w:bodyDiv w:val="1"/>
      <w:marLeft w:val="0"/>
      <w:marRight w:val="0"/>
      <w:marTop w:val="0"/>
      <w:marBottom w:val="0"/>
      <w:divBdr>
        <w:top w:val="none" w:sz="0" w:space="0" w:color="auto"/>
        <w:left w:val="none" w:sz="0" w:space="0" w:color="auto"/>
        <w:bottom w:val="none" w:sz="0" w:space="0" w:color="auto"/>
        <w:right w:val="none" w:sz="0" w:space="0" w:color="auto"/>
      </w:divBdr>
    </w:div>
    <w:div w:id="890774604">
      <w:bodyDiv w:val="1"/>
      <w:marLeft w:val="0"/>
      <w:marRight w:val="0"/>
      <w:marTop w:val="0"/>
      <w:marBottom w:val="0"/>
      <w:divBdr>
        <w:top w:val="none" w:sz="0" w:space="0" w:color="auto"/>
        <w:left w:val="none" w:sz="0" w:space="0" w:color="auto"/>
        <w:bottom w:val="none" w:sz="0" w:space="0" w:color="auto"/>
        <w:right w:val="none" w:sz="0" w:space="0" w:color="auto"/>
      </w:divBdr>
    </w:div>
    <w:div w:id="892816807">
      <w:bodyDiv w:val="1"/>
      <w:marLeft w:val="0"/>
      <w:marRight w:val="0"/>
      <w:marTop w:val="0"/>
      <w:marBottom w:val="0"/>
      <w:divBdr>
        <w:top w:val="none" w:sz="0" w:space="0" w:color="auto"/>
        <w:left w:val="none" w:sz="0" w:space="0" w:color="auto"/>
        <w:bottom w:val="none" w:sz="0" w:space="0" w:color="auto"/>
        <w:right w:val="none" w:sz="0" w:space="0" w:color="auto"/>
      </w:divBdr>
      <w:divsChild>
        <w:div w:id="719406193">
          <w:marLeft w:val="0"/>
          <w:marRight w:val="0"/>
          <w:marTop w:val="0"/>
          <w:marBottom w:val="0"/>
          <w:divBdr>
            <w:top w:val="none" w:sz="0" w:space="0" w:color="auto"/>
            <w:left w:val="none" w:sz="0" w:space="0" w:color="auto"/>
            <w:bottom w:val="none" w:sz="0" w:space="0" w:color="auto"/>
            <w:right w:val="none" w:sz="0" w:space="0" w:color="auto"/>
          </w:divBdr>
        </w:div>
      </w:divsChild>
    </w:div>
    <w:div w:id="907694700">
      <w:bodyDiv w:val="1"/>
      <w:marLeft w:val="0"/>
      <w:marRight w:val="0"/>
      <w:marTop w:val="0"/>
      <w:marBottom w:val="0"/>
      <w:divBdr>
        <w:top w:val="none" w:sz="0" w:space="0" w:color="auto"/>
        <w:left w:val="none" w:sz="0" w:space="0" w:color="auto"/>
        <w:bottom w:val="none" w:sz="0" w:space="0" w:color="auto"/>
        <w:right w:val="none" w:sz="0" w:space="0" w:color="auto"/>
      </w:divBdr>
    </w:div>
    <w:div w:id="912470880">
      <w:bodyDiv w:val="1"/>
      <w:marLeft w:val="0"/>
      <w:marRight w:val="0"/>
      <w:marTop w:val="0"/>
      <w:marBottom w:val="0"/>
      <w:divBdr>
        <w:top w:val="none" w:sz="0" w:space="0" w:color="auto"/>
        <w:left w:val="none" w:sz="0" w:space="0" w:color="auto"/>
        <w:bottom w:val="none" w:sz="0" w:space="0" w:color="auto"/>
        <w:right w:val="none" w:sz="0" w:space="0" w:color="auto"/>
      </w:divBdr>
    </w:div>
    <w:div w:id="944725305">
      <w:bodyDiv w:val="1"/>
      <w:marLeft w:val="0"/>
      <w:marRight w:val="0"/>
      <w:marTop w:val="0"/>
      <w:marBottom w:val="0"/>
      <w:divBdr>
        <w:top w:val="none" w:sz="0" w:space="0" w:color="auto"/>
        <w:left w:val="none" w:sz="0" w:space="0" w:color="auto"/>
        <w:bottom w:val="none" w:sz="0" w:space="0" w:color="auto"/>
        <w:right w:val="none" w:sz="0" w:space="0" w:color="auto"/>
      </w:divBdr>
      <w:divsChild>
        <w:div w:id="1516073096">
          <w:marLeft w:val="0"/>
          <w:marRight w:val="0"/>
          <w:marTop w:val="0"/>
          <w:marBottom w:val="0"/>
          <w:divBdr>
            <w:top w:val="none" w:sz="0" w:space="0" w:color="auto"/>
            <w:left w:val="none" w:sz="0" w:space="0" w:color="auto"/>
            <w:bottom w:val="none" w:sz="0" w:space="0" w:color="auto"/>
            <w:right w:val="none" w:sz="0" w:space="0" w:color="auto"/>
          </w:divBdr>
        </w:div>
      </w:divsChild>
    </w:div>
    <w:div w:id="963191378">
      <w:bodyDiv w:val="1"/>
      <w:marLeft w:val="0"/>
      <w:marRight w:val="0"/>
      <w:marTop w:val="0"/>
      <w:marBottom w:val="0"/>
      <w:divBdr>
        <w:top w:val="none" w:sz="0" w:space="0" w:color="auto"/>
        <w:left w:val="none" w:sz="0" w:space="0" w:color="auto"/>
        <w:bottom w:val="none" w:sz="0" w:space="0" w:color="auto"/>
        <w:right w:val="none" w:sz="0" w:space="0" w:color="auto"/>
      </w:divBdr>
    </w:div>
    <w:div w:id="1000036987">
      <w:bodyDiv w:val="1"/>
      <w:marLeft w:val="0"/>
      <w:marRight w:val="0"/>
      <w:marTop w:val="0"/>
      <w:marBottom w:val="0"/>
      <w:divBdr>
        <w:top w:val="none" w:sz="0" w:space="0" w:color="auto"/>
        <w:left w:val="none" w:sz="0" w:space="0" w:color="auto"/>
        <w:bottom w:val="none" w:sz="0" w:space="0" w:color="auto"/>
        <w:right w:val="none" w:sz="0" w:space="0" w:color="auto"/>
      </w:divBdr>
    </w:div>
    <w:div w:id="1012494726">
      <w:bodyDiv w:val="1"/>
      <w:marLeft w:val="0"/>
      <w:marRight w:val="0"/>
      <w:marTop w:val="0"/>
      <w:marBottom w:val="0"/>
      <w:divBdr>
        <w:top w:val="none" w:sz="0" w:space="0" w:color="auto"/>
        <w:left w:val="none" w:sz="0" w:space="0" w:color="auto"/>
        <w:bottom w:val="none" w:sz="0" w:space="0" w:color="auto"/>
        <w:right w:val="none" w:sz="0" w:space="0" w:color="auto"/>
      </w:divBdr>
    </w:div>
    <w:div w:id="1049763572">
      <w:bodyDiv w:val="1"/>
      <w:marLeft w:val="0"/>
      <w:marRight w:val="0"/>
      <w:marTop w:val="0"/>
      <w:marBottom w:val="0"/>
      <w:divBdr>
        <w:top w:val="none" w:sz="0" w:space="0" w:color="auto"/>
        <w:left w:val="none" w:sz="0" w:space="0" w:color="auto"/>
        <w:bottom w:val="none" w:sz="0" w:space="0" w:color="auto"/>
        <w:right w:val="none" w:sz="0" w:space="0" w:color="auto"/>
      </w:divBdr>
    </w:div>
    <w:div w:id="1078163724">
      <w:bodyDiv w:val="1"/>
      <w:marLeft w:val="0"/>
      <w:marRight w:val="0"/>
      <w:marTop w:val="0"/>
      <w:marBottom w:val="0"/>
      <w:divBdr>
        <w:top w:val="none" w:sz="0" w:space="0" w:color="auto"/>
        <w:left w:val="none" w:sz="0" w:space="0" w:color="auto"/>
        <w:bottom w:val="none" w:sz="0" w:space="0" w:color="auto"/>
        <w:right w:val="none" w:sz="0" w:space="0" w:color="auto"/>
      </w:divBdr>
    </w:div>
    <w:div w:id="1123311478">
      <w:bodyDiv w:val="1"/>
      <w:marLeft w:val="0"/>
      <w:marRight w:val="0"/>
      <w:marTop w:val="0"/>
      <w:marBottom w:val="0"/>
      <w:divBdr>
        <w:top w:val="none" w:sz="0" w:space="0" w:color="auto"/>
        <w:left w:val="none" w:sz="0" w:space="0" w:color="auto"/>
        <w:bottom w:val="none" w:sz="0" w:space="0" w:color="auto"/>
        <w:right w:val="none" w:sz="0" w:space="0" w:color="auto"/>
      </w:divBdr>
    </w:div>
    <w:div w:id="1127890204">
      <w:bodyDiv w:val="1"/>
      <w:marLeft w:val="0"/>
      <w:marRight w:val="0"/>
      <w:marTop w:val="0"/>
      <w:marBottom w:val="0"/>
      <w:divBdr>
        <w:top w:val="none" w:sz="0" w:space="0" w:color="auto"/>
        <w:left w:val="none" w:sz="0" w:space="0" w:color="auto"/>
        <w:bottom w:val="none" w:sz="0" w:space="0" w:color="auto"/>
        <w:right w:val="none" w:sz="0" w:space="0" w:color="auto"/>
      </w:divBdr>
    </w:div>
    <w:div w:id="1129470055">
      <w:bodyDiv w:val="1"/>
      <w:marLeft w:val="0"/>
      <w:marRight w:val="0"/>
      <w:marTop w:val="0"/>
      <w:marBottom w:val="0"/>
      <w:divBdr>
        <w:top w:val="none" w:sz="0" w:space="0" w:color="auto"/>
        <w:left w:val="none" w:sz="0" w:space="0" w:color="auto"/>
        <w:bottom w:val="none" w:sz="0" w:space="0" w:color="auto"/>
        <w:right w:val="none" w:sz="0" w:space="0" w:color="auto"/>
      </w:divBdr>
    </w:div>
    <w:div w:id="1164973778">
      <w:bodyDiv w:val="1"/>
      <w:marLeft w:val="0"/>
      <w:marRight w:val="0"/>
      <w:marTop w:val="0"/>
      <w:marBottom w:val="0"/>
      <w:divBdr>
        <w:top w:val="none" w:sz="0" w:space="0" w:color="auto"/>
        <w:left w:val="none" w:sz="0" w:space="0" w:color="auto"/>
        <w:bottom w:val="none" w:sz="0" w:space="0" w:color="auto"/>
        <w:right w:val="none" w:sz="0" w:space="0" w:color="auto"/>
      </w:divBdr>
      <w:divsChild>
        <w:div w:id="1702978976">
          <w:marLeft w:val="0"/>
          <w:marRight w:val="0"/>
          <w:marTop w:val="0"/>
          <w:marBottom w:val="0"/>
          <w:divBdr>
            <w:top w:val="none" w:sz="0" w:space="0" w:color="auto"/>
            <w:left w:val="none" w:sz="0" w:space="0" w:color="auto"/>
            <w:bottom w:val="none" w:sz="0" w:space="0" w:color="auto"/>
            <w:right w:val="none" w:sz="0" w:space="0" w:color="auto"/>
          </w:divBdr>
        </w:div>
      </w:divsChild>
    </w:div>
    <w:div w:id="1238327622">
      <w:bodyDiv w:val="1"/>
      <w:marLeft w:val="0"/>
      <w:marRight w:val="0"/>
      <w:marTop w:val="0"/>
      <w:marBottom w:val="0"/>
      <w:divBdr>
        <w:top w:val="none" w:sz="0" w:space="0" w:color="auto"/>
        <w:left w:val="none" w:sz="0" w:space="0" w:color="auto"/>
        <w:bottom w:val="none" w:sz="0" w:space="0" w:color="auto"/>
        <w:right w:val="none" w:sz="0" w:space="0" w:color="auto"/>
      </w:divBdr>
    </w:div>
    <w:div w:id="1285892339">
      <w:bodyDiv w:val="1"/>
      <w:marLeft w:val="0"/>
      <w:marRight w:val="0"/>
      <w:marTop w:val="0"/>
      <w:marBottom w:val="0"/>
      <w:divBdr>
        <w:top w:val="none" w:sz="0" w:space="0" w:color="auto"/>
        <w:left w:val="none" w:sz="0" w:space="0" w:color="auto"/>
        <w:bottom w:val="none" w:sz="0" w:space="0" w:color="auto"/>
        <w:right w:val="none" w:sz="0" w:space="0" w:color="auto"/>
      </w:divBdr>
      <w:divsChild>
        <w:div w:id="1728721038">
          <w:marLeft w:val="0"/>
          <w:marRight w:val="0"/>
          <w:marTop w:val="0"/>
          <w:marBottom w:val="0"/>
          <w:divBdr>
            <w:top w:val="none" w:sz="0" w:space="0" w:color="auto"/>
            <w:left w:val="none" w:sz="0" w:space="0" w:color="auto"/>
            <w:bottom w:val="none" w:sz="0" w:space="0" w:color="auto"/>
            <w:right w:val="none" w:sz="0" w:space="0" w:color="auto"/>
          </w:divBdr>
        </w:div>
      </w:divsChild>
    </w:div>
    <w:div w:id="1369404930">
      <w:bodyDiv w:val="1"/>
      <w:marLeft w:val="0"/>
      <w:marRight w:val="0"/>
      <w:marTop w:val="0"/>
      <w:marBottom w:val="0"/>
      <w:divBdr>
        <w:top w:val="none" w:sz="0" w:space="0" w:color="auto"/>
        <w:left w:val="none" w:sz="0" w:space="0" w:color="auto"/>
        <w:bottom w:val="none" w:sz="0" w:space="0" w:color="auto"/>
        <w:right w:val="none" w:sz="0" w:space="0" w:color="auto"/>
      </w:divBdr>
      <w:divsChild>
        <w:div w:id="126818474">
          <w:marLeft w:val="0"/>
          <w:marRight w:val="0"/>
          <w:marTop w:val="0"/>
          <w:marBottom w:val="0"/>
          <w:divBdr>
            <w:top w:val="none" w:sz="0" w:space="0" w:color="auto"/>
            <w:left w:val="none" w:sz="0" w:space="0" w:color="auto"/>
            <w:bottom w:val="none" w:sz="0" w:space="0" w:color="auto"/>
            <w:right w:val="none" w:sz="0" w:space="0" w:color="auto"/>
          </w:divBdr>
        </w:div>
      </w:divsChild>
    </w:div>
    <w:div w:id="1374892315">
      <w:bodyDiv w:val="1"/>
      <w:marLeft w:val="0"/>
      <w:marRight w:val="0"/>
      <w:marTop w:val="0"/>
      <w:marBottom w:val="0"/>
      <w:divBdr>
        <w:top w:val="none" w:sz="0" w:space="0" w:color="auto"/>
        <w:left w:val="none" w:sz="0" w:space="0" w:color="auto"/>
        <w:bottom w:val="none" w:sz="0" w:space="0" w:color="auto"/>
        <w:right w:val="none" w:sz="0" w:space="0" w:color="auto"/>
      </w:divBdr>
    </w:div>
    <w:div w:id="1385759058">
      <w:bodyDiv w:val="1"/>
      <w:marLeft w:val="0"/>
      <w:marRight w:val="0"/>
      <w:marTop w:val="0"/>
      <w:marBottom w:val="0"/>
      <w:divBdr>
        <w:top w:val="none" w:sz="0" w:space="0" w:color="auto"/>
        <w:left w:val="none" w:sz="0" w:space="0" w:color="auto"/>
        <w:bottom w:val="none" w:sz="0" w:space="0" w:color="auto"/>
        <w:right w:val="none" w:sz="0" w:space="0" w:color="auto"/>
      </w:divBdr>
    </w:div>
    <w:div w:id="1448965557">
      <w:bodyDiv w:val="1"/>
      <w:marLeft w:val="0"/>
      <w:marRight w:val="0"/>
      <w:marTop w:val="0"/>
      <w:marBottom w:val="0"/>
      <w:divBdr>
        <w:top w:val="none" w:sz="0" w:space="0" w:color="auto"/>
        <w:left w:val="none" w:sz="0" w:space="0" w:color="auto"/>
        <w:bottom w:val="none" w:sz="0" w:space="0" w:color="auto"/>
        <w:right w:val="none" w:sz="0" w:space="0" w:color="auto"/>
      </w:divBdr>
      <w:divsChild>
        <w:div w:id="388455119">
          <w:marLeft w:val="0"/>
          <w:marRight w:val="0"/>
          <w:marTop w:val="0"/>
          <w:marBottom w:val="0"/>
          <w:divBdr>
            <w:top w:val="none" w:sz="0" w:space="0" w:color="auto"/>
            <w:left w:val="none" w:sz="0" w:space="0" w:color="auto"/>
            <w:bottom w:val="none" w:sz="0" w:space="0" w:color="auto"/>
            <w:right w:val="none" w:sz="0" w:space="0" w:color="auto"/>
          </w:divBdr>
        </w:div>
      </w:divsChild>
    </w:div>
    <w:div w:id="1513715978">
      <w:bodyDiv w:val="1"/>
      <w:marLeft w:val="0"/>
      <w:marRight w:val="0"/>
      <w:marTop w:val="0"/>
      <w:marBottom w:val="0"/>
      <w:divBdr>
        <w:top w:val="none" w:sz="0" w:space="0" w:color="auto"/>
        <w:left w:val="none" w:sz="0" w:space="0" w:color="auto"/>
        <w:bottom w:val="none" w:sz="0" w:space="0" w:color="auto"/>
        <w:right w:val="none" w:sz="0" w:space="0" w:color="auto"/>
      </w:divBdr>
      <w:divsChild>
        <w:div w:id="1309164508">
          <w:marLeft w:val="0"/>
          <w:marRight w:val="0"/>
          <w:marTop w:val="0"/>
          <w:marBottom w:val="0"/>
          <w:divBdr>
            <w:top w:val="none" w:sz="0" w:space="0" w:color="auto"/>
            <w:left w:val="none" w:sz="0" w:space="0" w:color="auto"/>
            <w:bottom w:val="none" w:sz="0" w:space="0" w:color="auto"/>
            <w:right w:val="none" w:sz="0" w:space="0" w:color="auto"/>
          </w:divBdr>
        </w:div>
      </w:divsChild>
    </w:div>
    <w:div w:id="1520698441">
      <w:bodyDiv w:val="1"/>
      <w:marLeft w:val="0"/>
      <w:marRight w:val="0"/>
      <w:marTop w:val="0"/>
      <w:marBottom w:val="0"/>
      <w:divBdr>
        <w:top w:val="none" w:sz="0" w:space="0" w:color="auto"/>
        <w:left w:val="none" w:sz="0" w:space="0" w:color="auto"/>
        <w:bottom w:val="none" w:sz="0" w:space="0" w:color="auto"/>
        <w:right w:val="none" w:sz="0" w:space="0" w:color="auto"/>
      </w:divBdr>
    </w:div>
    <w:div w:id="1587499686">
      <w:bodyDiv w:val="1"/>
      <w:marLeft w:val="0"/>
      <w:marRight w:val="0"/>
      <w:marTop w:val="0"/>
      <w:marBottom w:val="0"/>
      <w:divBdr>
        <w:top w:val="none" w:sz="0" w:space="0" w:color="auto"/>
        <w:left w:val="none" w:sz="0" w:space="0" w:color="auto"/>
        <w:bottom w:val="none" w:sz="0" w:space="0" w:color="auto"/>
        <w:right w:val="none" w:sz="0" w:space="0" w:color="auto"/>
      </w:divBdr>
      <w:divsChild>
        <w:div w:id="1313412066">
          <w:marLeft w:val="0"/>
          <w:marRight w:val="0"/>
          <w:marTop w:val="0"/>
          <w:marBottom w:val="0"/>
          <w:divBdr>
            <w:top w:val="none" w:sz="0" w:space="0" w:color="auto"/>
            <w:left w:val="none" w:sz="0" w:space="0" w:color="auto"/>
            <w:bottom w:val="none" w:sz="0" w:space="0" w:color="auto"/>
            <w:right w:val="none" w:sz="0" w:space="0" w:color="auto"/>
          </w:divBdr>
        </w:div>
      </w:divsChild>
    </w:div>
    <w:div w:id="1588883892">
      <w:bodyDiv w:val="1"/>
      <w:marLeft w:val="0"/>
      <w:marRight w:val="0"/>
      <w:marTop w:val="0"/>
      <w:marBottom w:val="0"/>
      <w:divBdr>
        <w:top w:val="none" w:sz="0" w:space="0" w:color="auto"/>
        <w:left w:val="none" w:sz="0" w:space="0" w:color="auto"/>
        <w:bottom w:val="none" w:sz="0" w:space="0" w:color="auto"/>
        <w:right w:val="none" w:sz="0" w:space="0" w:color="auto"/>
      </w:divBdr>
    </w:div>
    <w:div w:id="1630552564">
      <w:bodyDiv w:val="1"/>
      <w:marLeft w:val="0"/>
      <w:marRight w:val="0"/>
      <w:marTop w:val="0"/>
      <w:marBottom w:val="0"/>
      <w:divBdr>
        <w:top w:val="none" w:sz="0" w:space="0" w:color="auto"/>
        <w:left w:val="none" w:sz="0" w:space="0" w:color="auto"/>
        <w:bottom w:val="none" w:sz="0" w:space="0" w:color="auto"/>
        <w:right w:val="none" w:sz="0" w:space="0" w:color="auto"/>
      </w:divBdr>
    </w:div>
    <w:div w:id="1650555730">
      <w:bodyDiv w:val="1"/>
      <w:marLeft w:val="0"/>
      <w:marRight w:val="0"/>
      <w:marTop w:val="0"/>
      <w:marBottom w:val="0"/>
      <w:divBdr>
        <w:top w:val="none" w:sz="0" w:space="0" w:color="auto"/>
        <w:left w:val="none" w:sz="0" w:space="0" w:color="auto"/>
        <w:bottom w:val="none" w:sz="0" w:space="0" w:color="auto"/>
        <w:right w:val="none" w:sz="0" w:space="0" w:color="auto"/>
      </w:divBdr>
    </w:div>
    <w:div w:id="1687243741">
      <w:bodyDiv w:val="1"/>
      <w:marLeft w:val="0"/>
      <w:marRight w:val="0"/>
      <w:marTop w:val="0"/>
      <w:marBottom w:val="0"/>
      <w:divBdr>
        <w:top w:val="none" w:sz="0" w:space="0" w:color="auto"/>
        <w:left w:val="none" w:sz="0" w:space="0" w:color="auto"/>
        <w:bottom w:val="none" w:sz="0" w:space="0" w:color="auto"/>
        <w:right w:val="none" w:sz="0" w:space="0" w:color="auto"/>
      </w:divBdr>
    </w:div>
    <w:div w:id="1690983260">
      <w:bodyDiv w:val="1"/>
      <w:marLeft w:val="0"/>
      <w:marRight w:val="0"/>
      <w:marTop w:val="0"/>
      <w:marBottom w:val="0"/>
      <w:divBdr>
        <w:top w:val="none" w:sz="0" w:space="0" w:color="auto"/>
        <w:left w:val="none" w:sz="0" w:space="0" w:color="auto"/>
        <w:bottom w:val="none" w:sz="0" w:space="0" w:color="auto"/>
        <w:right w:val="none" w:sz="0" w:space="0" w:color="auto"/>
      </w:divBdr>
    </w:div>
    <w:div w:id="1712344029">
      <w:bodyDiv w:val="1"/>
      <w:marLeft w:val="0"/>
      <w:marRight w:val="0"/>
      <w:marTop w:val="0"/>
      <w:marBottom w:val="0"/>
      <w:divBdr>
        <w:top w:val="none" w:sz="0" w:space="0" w:color="auto"/>
        <w:left w:val="none" w:sz="0" w:space="0" w:color="auto"/>
        <w:bottom w:val="none" w:sz="0" w:space="0" w:color="auto"/>
        <w:right w:val="none" w:sz="0" w:space="0" w:color="auto"/>
      </w:divBdr>
    </w:div>
    <w:div w:id="1725251587">
      <w:bodyDiv w:val="1"/>
      <w:marLeft w:val="0"/>
      <w:marRight w:val="0"/>
      <w:marTop w:val="0"/>
      <w:marBottom w:val="0"/>
      <w:divBdr>
        <w:top w:val="none" w:sz="0" w:space="0" w:color="auto"/>
        <w:left w:val="none" w:sz="0" w:space="0" w:color="auto"/>
        <w:bottom w:val="none" w:sz="0" w:space="0" w:color="auto"/>
        <w:right w:val="none" w:sz="0" w:space="0" w:color="auto"/>
      </w:divBdr>
    </w:div>
    <w:div w:id="1728912460">
      <w:bodyDiv w:val="1"/>
      <w:marLeft w:val="0"/>
      <w:marRight w:val="0"/>
      <w:marTop w:val="0"/>
      <w:marBottom w:val="0"/>
      <w:divBdr>
        <w:top w:val="none" w:sz="0" w:space="0" w:color="auto"/>
        <w:left w:val="none" w:sz="0" w:space="0" w:color="auto"/>
        <w:bottom w:val="none" w:sz="0" w:space="0" w:color="auto"/>
        <w:right w:val="none" w:sz="0" w:space="0" w:color="auto"/>
      </w:divBdr>
    </w:div>
    <w:div w:id="1731883478">
      <w:bodyDiv w:val="1"/>
      <w:marLeft w:val="0"/>
      <w:marRight w:val="0"/>
      <w:marTop w:val="0"/>
      <w:marBottom w:val="0"/>
      <w:divBdr>
        <w:top w:val="none" w:sz="0" w:space="0" w:color="auto"/>
        <w:left w:val="none" w:sz="0" w:space="0" w:color="auto"/>
        <w:bottom w:val="none" w:sz="0" w:space="0" w:color="auto"/>
        <w:right w:val="none" w:sz="0" w:space="0" w:color="auto"/>
      </w:divBdr>
    </w:div>
    <w:div w:id="1760251167">
      <w:bodyDiv w:val="1"/>
      <w:marLeft w:val="0"/>
      <w:marRight w:val="0"/>
      <w:marTop w:val="0"/>
      <w:marBottom w:val="0"/>
      <w:divBdr>
        <w:top w:val="none" w:sz="0" w:space="0" w:color="auto"/>
        <w:left w:val="none" w:sz="0" w:space="0" w:color="auto"/>
        <w:bottom w:val="none" w:sz="0" w:space="0" w:color="auto"/>
        <w:right w:val="none" w:sz="0" w:space="0" w:color="auto"/>
      </w:divBdr>
    </w:div>
    <w:div w:id="1858696321">
      <w:bodyDiv w:val="1"/>
      <w:marLeft w:val="0"/>
      <w:marRight w:val="0"/>
      <w:marTop w:val="0"/>
      <w:marBottom w:val="0"/>
      <w:divBdr>
        <w:top w:val="none" w:sz="0" w:space="0" w:color="auto"/>
        <w:left w:val="none" w:sz="0" w:space="0" w:color="auto"/>
        <w:bottom w:val="none" w:sz="0" w:space="0" w:color="auto"/>
        <w:right w:val="none" w:sz="0" w:space="0" w:color="auto"/>
      </w:divBdr>
      <w:divsChild>
        <w:div w:id="922760278">
          <w:marLeft w:val="0"/>
          <w:marRight w:val="0"/>
          <w:marTop w:val="0"/>
          <w:marBottom w:val="0"/>
          <w:divBdr>
            <w:top w:val="none" w:sz="0" w:space="0" w:color="auto"/>
            <w:left w:val="none" w:sz="0" w:space="0" w:color="auto"/>
            <w:bottom w:val="none" w:sz="0" w:space="0" w:color="auto"/>
            <w:right w:val="none" w:sz="0" w:space="0" w:color="auto"/>
          </w:divBdr>
        </w:div>
      </w:divsChild>
    </w:div>
    <w:div w:id="1874536268">
      <w:bodyDiv w:val="1"/>
      <w:marLeft w:val="0"/>
      <w:marRight w:val="0"/>
      <w:marTop w:val="0"/>
      <w:marBottom w:val="0"/>
      <w:divBdr>
        <w:top w:val="none" w:sz="0" w:space="0" w:color="auto"/>
        <w:left w:val="none" w:sz="0" w:space="0" w:color="auto"/>
        <w:bottom w:val="none" w:sz="0" w:space="0" w:color="auto"/>
        <w:right w:val="none" w:sz="0" w:space="0" w:color="auto"/>
      </w:divBdr>
    </w:div>
    <w:div w:id="1907838386">
      <w:bodyDiv w:val="1"/>
      <w:marLeft w:val="0"/>
      <w:marRight w:val="0"/>
      <w:marTop w:val="0"/>
      <w:marBottom w:val="0"/>
      <w:divBdr>
        <w:top w:val="none" w:sz="0" w:space="0" w:color="auto"/>
        <w:left w:val="none" w:sz="0" w:space="0" w:color="auto"/>
        <w:bottom w:val="none" w:sz="0" w:space="0" w:color="auto"/>
        <w:right w:val="none" w:sz="0" w:space="0" w:color="auto"/>
      </w:divBdr>
    </w:div>
    <w:div w:id="1928953540">
      <w:bodyDiv w:val="1"/>
      <w:marLeft w:val="0"/>
      <w:marRight w:val="0"/>
      <w:marTop w:val="0"/>
      <w:marBottom w:val="0"/>
      <w:divBdr>
        <w:top w:val="none" w:sz="0" w:space="0" w:color="auto"/>
        <w:left w:val="none" w:sz="0" w:space="0" w:color="auto"/>
        <w:bottom w:val="none" w:sz="0" w:space="0" w:color="auto"/>
        <w:right w:val="none" w:sz="0" w:space="0" w:color="auto"/>
      </w:divBdr>
      <w:divsChild>
        <w:div w:id="1100101959">
          <w:marLeft w:val="0"/>
          <w:marRight w:val="0"/>
          <w:marTop w:val="0"/>
          <w:marBottom w:val="0"/>
          <w:divBdr>
            <w:top w:val="none" w:sz="0" w:space="0" w:color="auto"/>
            <w:left w:val="none" w:sz="0" w:space="0" w:color="auto"/>
            <w:bottom w:val="none" w:sz="0" w:space="0" w:color="auto"/>
            <w:right w:val="none" w:sz="0" w:space="0" w:color="auto"/>
          </w:divBdr>
        </w:div>
      </w:divsChild>
    </w:div>
    <w:div w:id="1944262043">
      <w:bodyDiv w:val="1"/>
      <w:marLeft w:val="0"/>
      <w:marRight w:val="0"/>
      <w:marTop w:val="0"/>
      <w:marBottom w:val="0"/>
      <w:divBdr>
        <w:top w:val="none" w:sz="0" w:space="0" w:color="auto"/>
        <w:left w:val="none" w:sz="0" w:space="0" w:color="auto"/>
        <w:bottom w:val="none" w:sz="0" w:space="0" w:color="auto"/>
        <w:right w:val="none" w:sz="0" w:space="0" w:color="auto"/>
      </w:divBdr>
    </w:div>
    <w:div w:id="1963731302">
      <w:bodyDiv w:val="1"/>
      <w:marLeft w:val="0"/>
      <w:marRight w:val="0"/>
      <w:marTop w:val="0"/>
      <w:marBottom w:val="0"/>
      <w:divBdr>
        <w:top w:val="none" w:sz="0" w:space="0" w:color="auto"/>
        <w:left w:val="none" w:sz="0" w:space="0" w:color="auto"/>
        <w:bottom w:val="none" w:sz="0" w:space="0" w:color="auto"/>
        <w:right w:val="none" w:sz="0" w:space="0" w:color="auto"/>
      </w:divBdr>
      <w:divsChild>
        <w:div w:id="1072779583">
          <w:marLeft w:val="0"/>
          <w:marRight w:val="0"/>
          <w:marTop w:val="0"/>
          <w:marBottom w:val="0"/>
          <w:divBdr>
            <w:top w:val="none" w:sz="0" w:space="0" w:color="auto"/>
            <w:left w:val="none" w:sz="0" w:space="0" w:color="auto"/>
            <w:bottom w:val="none" w:sz="0" w:space="0" w:color="auto"/>
            <w:right w:val="none" w:sz="0" w:space="0" w:color="auto"/>
          </w:divBdr>
        </w:div>
      </w:divsChild>
    </w:div>
    <w:div w:id="1969161710">
      <w:bodyDiv w:val="1"/>
      <w:marLeft w:val="0"/>
      <w:marRight w:val="0"/>
      <w:marTop w:val="0"/>
      <w:marBottom w:val="0"/>
      <w:divBdr>
        <w:top w:val="none" w:sz="0" w:space="0" w:color="auto"/>
        <w:left w:val="none" w:sz="0" w:space="0" w:color="auto"/>
        <w:bottom w:val="none" w:sz="0" w:space="0" w:color="auto"/>
        <w:right w:val="none" w:sz="0" w:space="0" w:color="auto"/>
      </w:divBdr>
    </w:div>
    <w:div w:id="1971012253">
      <w:bodyDiv w:val="1"/>
      <w:marLeft w:val="0"/>
      <w:marRight w:val="0"/>
      <w:marTop w:val="0"/>
      <w:marBottom w:val="0"/>
      <w:divBdr>
        <w:top w:val="none" w:sz="0" w:space="0" w:color="auto"/>
        <w:left w:val="none" w:sz="0" w:space="0" w:color="auto"/>
        <w:bottom w:val="none" w:sz="0" w:space="0" w:color="auto"/>
        <w:right w:val="none" w:sz="0" w:space="0" w:color="auto"/>
      </w:divBdr>
      <w:divsChild>
        <w:div w:id="199589710">
          <w:marLeft w:val="0"/>
          <w:marRight w:val="0"/>
          <w:marTop w:val="0"/>
          <w:marBottom w:val="0"/>
          <w:divBdr>
            <w:top w:val="none" w:sz="0" w:space="0" w:color="auto"/>
            <w:left w:val="none" w:sz="0" w:space="0" w:color="auto"/>
            <w:bottom w:val="none" w:sz="0" w:space="0" w:color="auto"/>
            <w:right w:val="none" w:sz="0" w:space="0" w:color="auto"/>
          </w:divBdr>
        </w:div>
      </w:divsChild>
    </w:div>
    <w:div w:id="2039351770">
      <w:bodyDiv w:val="1"/>
      <w:marLeft w:val="0"/>
      <w:marRight w:val="0"/>
      <w:marTop w:val="0"/>
      <w:marBottom w:val="0"/>
      <w:divBdr>
        <w:top w:val="none" w:sz="0" w:space="0" w:color="auto"/>
        <w:left w:val="none" w:sz="0" w:space="0" w:color="auto"/>
        <w:bottom w:val="none" w:sz="0" w:space="0" w:color="auto"/>
        <w:right w:val="none" w:sz="0" w:space="0" w:color="auto"/>
      </w:divBdr>
    </w:div>
    <w:div w:id="2039354444">
      <w:bodyDiv w:val="1"/>
      <w:marLeft w:val="0"/>
      <w:marRight w:val="0"/>
      <w:marTop w:val="0"/>
      <w:marBottom w:val="0"/>
      <w:divBdr>
        <w:top w:val="none" w:sz="0" w:space="0" w:color="auto"/>
        <w:left w:val="none" w:sz="0" w:space="0" w:color="auto"/>
        <w:bottom w:val="none" w:sz="0" w:space="0" w:color="auto"/>
        <w:right w:val="none" w:sz="0" w:space="0" w:color="auto"/>
      </w:divBdr>
      <w:divsChild>
        <w:div w:id="1572961735">
          <w:marLeft w:val="0"/>
          <w:marRight w:val="0"/>
          <w:marTop w:val="0"/>
          <w:marBottom w:val="0"/>
          <w:divBdr>
            <w:top w:val="none" w:sz="0" w:space="0" w:color="auto"/>
            <w:left w:val="none" w:sz="0" w:space="0" w:color="auto"/>
            <w:bottom w:val="none" w:sz="0" w:space="0" w:color="auto"/>
            <w:right w:val="none" w:sz="0" w:space="0" w:color="auto"/>
          </w:divBdr>
        </w:div>
      </w:divsChild>
    </w:div>
    <w:div w:id="2066827948">
      <w:bodyDiv w:val="1"/>
      <w:marLeft w:val="0"/>
      <w:marRight w:val="0"/>
      <w:marTop w:val="0"/>
      <w:marBottom w:val="0"/>
      <w:divBdr>
        <w:top w:val="none" w:sz="0" w:space="0" w:color="auto"/>
        <w:left w:val="none" w:sz="0" w:space="0" w:color="auto"/>
        <w:bottom w:val="none" w:sz="0" w:space="0" w:color="auto"/>
        <w:right w:val="none" w:sz="0" w:space="0" w:color="auto"/>
      </w:divBdr>
    </w:div>
    <w:div w:id="2105572036">
      <w:bodyDiv w:val="1"/>
      <w:marLeft w:val="0"/>
      <w:marRight w:val="0"/>
      <w:marTop w:val="0"/>
      <w:marBottom w:val="0"/>
      <w:divBdr>
        <w:top w:val="none" w:sz="0" w:space="0" w:color="auto"/>
        <w:left w:val="none" w:sz="0" w:space="0" w:color="auto"/>
        <w:bottom w:val="none" w:sz="0" w:space="0" w:color="auto"/>
        <w:right w:val="none" w:sz="0" w:space="0" w:color="auto"/>
      </w:divBdr>
      <w:divsChild>
        <w:div w:id="1913352643">
          <w:marLeft w:val="0"/>
          <w:marRight w:val="0"/>
          <w:marTop w:val="0"/>
          <w:marBottom w:val="0"/>
          <w:divBdr>
            <w:top w:val="none" w:sz="0" w:space="0" w:color="auto"/>
            <w:left w:val="none" w:sz="0" w:space="0" w:color="auto"/>
            <w:bottom w:val="none" w:sz="0" w:space="0" w:color="auto"/>
            <w:right w:val="none" w:sz="0" w:space="0" w:color="auto"/>
          </w:divBdr>
        </w:div>
      </w:divsChild>
    </w:div>
    <w:div w:id="214442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1ECE2549D894B921BF74E09A4272A" ma:contentTypeVersion="16" ma:contentTypeDescription="Create a new document." ma:contentTypeScope="" ma:versionID="39affcb34f35c45c68b30ab9a595c0e2">
  <xsd:schema xmlns:xsd="http://www.w3.org/2001/XMLSchema" xmlns:xs="http://www.w3.org/2001/XMLSchema" xmlns:p="http://schemas.microsoft.com/office/2006/metadata/properties" xmlns:ns2="d038c460-8993-48e5-a417-2855b92a8d83" xmlns:ns3="9b6f8ae3-53cc-4ab8-9fad-329029d15659" targetNamespace="http://schemas.microsoft.com/office/2006/metadata/properties" ma:root="true" ma:fieldsID="ca50fa2b1b53494fb260080ec2ca0897" ns2:_="" ns3:_="">
    <xsd:import namespace="d038c460-8993-48e5-a417-2855b92a8d83"/>
    <xsd:import namespace="9b6f8ae3-53cc-4ab8-9fad-329029d15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8c460-8993-48e5-a417-2855b92a8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36ea40e-2c77-45e5-aee5-13b3b213ab65}" ma:internalName="TaxCatchAll" ma:showField="CatchAllData" ma:web="d038c460-8993-48e5-a417-2855b92a8d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6f8ae3-53cc-4ab8-9fad-329029d156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686690b-76c7-4a06-a501-040c0c3e82c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6f8ae3-53cc-4ab8-9fad-329029d15659">
      <Terms xmlns="http://schemas.microsoft.com/office/infopath/2007/PartnerControls"/>
    </lcf76f155ced4ddcb4097134ff3c332f>
    <_Flow_SignoffStatus xmlns="9b6f8ae3-53cc-4ab8-9fad-329029d15659" xsi:nil="true"/>
    <TaxCatchAll xmlns="d038c460-8993-48e5-a417-2855b92a8d83" xsi:nil="true"/>
  </documentManagement>
</p:properties>
</file>

<file path=customXml/itemProps1.xml><?xml version="1.0" encoding="utf-8"?>
<ds:datastoreItem xmlns:ds="http://schemas.openxmlformats.org/officeDocument/2006/customXml" ds:itemID="{D993AF40-E531-49AC-AFBE-B4FC0EE32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8c460-8993-48e5-a417-2855b92a8d83"/>
    <ds:schemaRef ds:uri="9b6f8ae3-53cc-4ab8-9fad-329029d15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6C2BC6-0B75-4E7E-9862-7328DB0C1912}">
  <ds:schemaRefs>
    <ds:schemaRef ds:uri="http://schemas.microsoft.com/sharepoint/v3/contenttype/forms"/>
  </ds:schemaRefs>
</ds:datastoreItem>
</file>

<file path=customXml/itemProps3.xml><?xml version="1.0" encoding="utf-8"?>
<ds:datastoreItem xmlns:ds="http://schemas.openxmlformats.org/officeDocument/2006/customXml" ds:itemID="{A8515258-2538-4ED6-ACAF-B207967AAD35}">
  <ds:schemaRefs>
    <ds:schemaRef ds:uri="http://schemas.microsoft.com/office/2006/metadata/properties"/>
    <ds:schemaRef ds:uri="http://schemas.microsoft.com/office/infopath/2007/PartnerControls"/>
    <ds:schemaRef ds:uri="9b6f8ae3-53cc-4ab8-9fad-329029d15659"/>
    <ds:schemaRef ds:uri="d038c460-8993-48e5-a417-2855b92a8d83"/>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1040</Words>
  <Characters>5931</Characters>
  <Application>Microsoft Office Word</Application>
  <DocSecurity>0</DocSecurity>
  <Lines>49</Lines>
  <Paragraphs>13</Paragraphs>
  <ScaleCrop>false</ScaleCrop>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Evelyn</dc:creator>
  <cp:keywords/>
  <cp:lastModifiedBy>Tang, Tingting</cp:lastModifiedBy>
  <cp:revision>8</cp:revision>
  <dcterms:created xsi:type="dcterms:W3CDTF">2026-03-20T07:50:00Z</dcterms:created>
  <dcterms:modified xsi:type="dcterms:W3CDTF">2026-03-20T08:19:00Z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0x0101001FD1ECE2549D894B921BF74E09A4272A</vt:lpwstr>
  </property>
  <property fmtid="{D5CDD505-2E9C-101B-9397-08002B2CF9AE}" pid="3" name="MediaServiceImageTags">
    <vt:lpwstr/>
  </property>
</Properties>
</file>