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D76A5" w14:textId="77777777" w:rsidR="000D3476" w:rsidRDefault="004116FA">
      <w:pPr>
        <w:spacing w:line="360" w:lineRule="auto"/>
        <w:jc w:val="center"/>
        <w:rPr>
          <w:rFonts w:ascii="宋体" w:eastAsia="宋体" w:hAnsi="宋体" w:cs="宋体"/>
          <w:b/>
          <w:bCs/>
          <w:sz w:val="36"/>
          <w:szCs w:val="36"/>
        </w:rPr>
      </w:pPr>
      <w:r>
        <w:rPr>
          <w:rFonts w:ascii="宋体" w:eastAsia="宋体" w:hAnsi="宋体" w:cs="宋体" w:hint="eastAsia"/>
          <w:b/>
          <w:bCs/>
          <w:sz w:val="36"/>
          <w:szCs w:val="36"/>
        </w:rPr>
        <w:t>宁波美诺华药业股份有限公司</w:t>
      </w:r>
    </w:p>
    <w:p w14:paraId="7262E645" w14:textId="77777777" w:rsidR="000D3476" w:rsidRDefault="004116FA">
      <w:pPr>
        <w:spacing w:line="360" w:lineRule="auto"/>
        <w:jc w:val="center"/>
        <w:rPr>
          <w:rFonts w:ascii="宋体" w:eastAsia="宋体" w:hAnsi="宋体" w:cs="宋体"/>
          <w:sz w:val="36"/>
          <w:szCs w:val="36"/>
        </w:rPr>
      </w:pPr>
      <w:r>
        <w:rPr>
          <w:rFonts w:ascii="宋体" w:eastAsia="宋体" w:hAnsi="宋体" w:cs="宋体" w:hint="eastAsia"/>
          <w:b/>
          <w:bCs/>
          <w:sz w:val="36"/>
          <w:szCs w:val="36"/>
        </w:rPr>
        <w:t>投资者关系活动记录表</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77"/>
        <w:gridCol w:w="6148"/>
      </w:tblGrid>
      <w:tr w:rsidR="000D3476" w14:paraId="1233867C" w14:textId="77777777">
        <w:trPr>
          <w:trHeight w:val="2801"/>
          <w:jc w:val="center"/>
        </w:trPr>
        <w:tc>
          <w:tcPr>
            <w:tcW w:w="2377" w:type="dxa"/>
            <w:vAlign w:val="center"/>
          </w:tcPr>
          <w:p w14:paraId="57E1CEF3" w14:textId="77777777" w:rsidR="000D3476" w:rsidRDefault="000D3476">
            <w:pPr>
              <w:pStyle w:val="TableParagraph"/>
              <w:spacing w:before="7"/>
              <w:rPr>
                <w:rFonts w:ascii="宋体" w:eastAsia="宋体" w:hAnsi="宋体" w:cs="宋体"/>
                <w:sz w:val="18"/>
              </w:rPr>
            </w:pPr>
          </w:p>
          <w:p w14:paraId="0CCD1FBD" w14:textId="77777777" w:rsidR="000D3476" w:rsidRDefault="004116FA">
            <w:pPr>
              <w:pStyle w:val="TableParagraph"/>
              <w:spacing w:before="1"/>
              <w:ind w:left="107"/>
              <w:rPr>
                <w:rFonts w:ascii="宋体" w:eastAsia="宋体" w:hAnsi="宋体" w:cs="宋体"/>
                <w:sz w:val="21"/>
              </w:rPr>
            </w:pPr>
            <w:r>
              <w:rPr>
                <w:rFonts w:ascii="宋体" w:eastAsia="宋体" w:hAnsi="宋体" w:cs="宋体" w:hint="eastAsia"/>
                <w:sz w:val="21"/>
              </w:rPr>
              <w:t>投资者关系活动类别</w:t>
            </w:r>
          </w:p>
        </w:tc>
        <w:tc>
          <w:tcPr>
            <w:tcW w:w="6148" w:type="dxa"/>
            <w:vAlign w:val="center"/>
          </w:tcPr>
          <w:p w14:paraId="344758DF" w14:textId="77777777" w:rsidR="000D3476" w:rsidRDefault="000D3476">
            <w:pPr>
              <w:pStyle w:val="TableParagraph"/>
              <w:spacing w:before="7"/>
              <w:rPr>
                <w:rFonts w:ascii="宋体" w:eastAsia="宋体" w:hAnsi="宋体" w:cs="宋体"/>
                <w:sz w:val="18"/>
              </w:rPr>
            </w:pPr>
          </w:p>
          <w:p w14:paraId="30293A3B" w14:textId="77777777" w:rsidR="000D3476" w:rsidRDefault="004116FA">
            <w:pPr>
              <w:pStyle w:val="TableParagraph"/>
              <w:tabs>
                <w:tab w:val="left" w:pos="2418"/>
              </w:tabs>
              <w:spacing w:before="1"/>
              <w:ind w:left="107"/>
              <w:rPr>
                <w:rFonts w:ascii="宋体" w:eastAsia="宋体" w:hAnsi="宋体" w:cs="宋体"/>
                <w:sz w:val="21"/>
              </w:rPr>
            </w:pPr>
            <w:r>
              <w:rPr>
                <w:rFonts w:ascii="宋体" w:eastAsia="宋体" w:hAnsi="宋体" w:cs="宋体" w:hint="eastAsia"/>
                <w:sz w:val="21"/>
              </w:rPr>
              <w:t>√特</w:t>
            </w:r>
            <w:r>
              <w:rPr>
                <w:rFonts w:ascii="宋体" w:eastAsia="宋体" w:hAnsi="宋体" w:cs="宋体" w:hint="eastAsia"/>
                <w:spacing w:val="-3"/>
                <w:sz w:val="21"/>
              </w:rPr>
              <w:t>定</w:t>
            </w:r>
            <w:r>
              <w:rPr>
                <w:rFonts w:ascii="宋体" w:eastAsia="宋体" w:hAnsi="宋体" w:cs="宋体" w:hint="eastAsia"/>
                <w:sz w:val="21"/>
              </w:rPr>
              <w:t>对</w:t>
            </w:r>
            <w:r>
              <w:rPr>
                <w:rFonts w:ascii="宋体" w:eastAsia="宋体" w:hAnsi="宋体" w:cs="宋体" w:hint="eastAsia"/>
                <w:spacing w:val="-3"/>
                <w:sz w:val="21"/>
              </w:rPr>
              <w:t>象</w:t>
            </w:r>
            <w:r>
              <w:rPr>
                <w:rFonts w:ascii="宋体" w:eastAsia="宋体" w:hAnsi="宋体" w:cs="宋体" w:hint="eastAsia"/>
                <w:sz w:val="21"/>
              </w:rPr>
              <w:t>调研</w:t>
            </w:r>
            <w:r>
              <w:rPr>
                <w:rFonts w:ascii="宋体" w:eastAsia="宋体" w:hAnsi="宋体" w:cs="宋体" w:hint="eastAsia"/>
                <w:sz w:val="21"/>
              </w:rPr>
              <w:tab/>
            </w:r>
            <w:r>
              <w:rPr>
                <w:rFonts w:ascii="宋体" w:eastAsia="宋体" w:hAnsi="宋体" w:cs="宋体" w:hint="eastAsia"/>
                <w:sz w:val="21"/>
              </w:rPr>
              <w:t>□分</w:t>
            </w:r>
            <w:r>
              <w:rPr>
                <w:rFonts w:ascii="宋体" w:eastAsia="宋体" w:hAnsi="宋体" w:cs="宋体" w:hint="eastAsia"/>
                <w:spacing w:val="-3"/>
                <w:sz w:val="21"/>
              </w:rPr>
              <w:t>析</w:t>
            </w:r>
            <w:r>
              <w:rPr>
                <w:rFonts w:ascii="宋体" w:eastAsia="宋体" w:hAnsi="宋体" w:cs="宋体" w:hint="eastAsia"/>
                <w:sz w:val="21"/>
              </w:rPr>
              <w:t>师</w:t>
            </w:r>
            <w:r>
              <w:rPr>
                <w:rFonts w:ascii="宋体" w:eastAsia="宋体" w:hAnsi="宋体" w:cs="宋体" w:hint="eastAsia"/>
                <w:spacing w:val="-3"/>
                <w:sz w:val="21"/>
              </w:rPr>
              <w:t>会</w:t>
            </w:r>
            <w:r>
              <w:rPr>
                <w:rFonts w:ascii="宋体" w:eastAsia="宋体" w:hAnsi="宋体" w:cs="宋体" w:hint="eastAsia"/>
                <w:sz w:val="21"/>
              </w:rPr>
              <w:t>议</w:t>
            </w:r>
          </w:p>
          <w:p w14:paraId="38ABAD65" w14:textId="77777777" w:rsidR="000D3476" w:rsidRDefault="000D3476">
            <w:pPr>
              <w:pStyle w:val="TableParagraph"/>
              <w:spacing w:before="11"/>
              <w:rPr>
                <w:rFonts w:ascii="宋体" w:eastAsia="宋体" w:hAnsi="宋体" w:cs="宋体"/>
              </w:rPr>
            </w:pPr>
          </w:p>
          <w:p w14:paraId="2D27CBDE" w14:textId="77777777" w:rsidR="000D3476" w:rsidRDefault="004116FA">
            <w:pPr>
              <w:pStyle w:val="TableParagraph"/>
              <w:tabs>
                <w:tab w:val="left" w:pos="2418"/>
              </w:tabs>
              <w:ind w:left="107"/>
              <w:rPr>
                <w:rFonts w:ascii="宋体" w:eastAsia="宋体" w:hAnsi="宋体" w:cs="宋体"/>
                <w:sz w:val="21"/>
              </w:rPr>
            </w:pPr>
            <w:r>
              <w:rPr>
                <w:rFonts w:ascii="宋体" w:eastAsia="宋体" w:hAnsi="宋体" w:cs="宋体" w:hint="eastAsia"/>
                <w:sz w:val="21"/>
              </w:rPr>
              <w:t>□媒</w:t>
            </w:r>
            <w:r>
              <w:rPr>
                <w:rFonts w:ascii="宋体" w:eastAsia="宋体" w:hAnsi="宋体" w:cs="宋体" w:hint="eastAsia"/>
                <w:spacing w:val="-3"/>
                <w:sz w:val="21"/>
              </w:rPr>
              <w:t>体</w:t>
            </w:r>
            <w:r>
              <w:rPr>
                <w:rFonts w:ascii="宋体" w:eastAsia="宋体" w:hAnsi="宋体" w:cs="宋体" w:hint="eastAsia"/>
                <w:sz w:val="21"/>
              </w:rPr>
              <w:t>采访</w:t>
            </w:r>
            <w:r>
              <w:rPr>
                <w:rFonts w:ascii="宋体" w:eastAsia="宋体" w:hAnsi="宋体" w:cs="宋体" w:hint="eastAsia"/>
                <w:sz w:val="21"/>
              </w:rPr>
              <w:tab/>
            </w:r>
            <w:r>
              <w:rPr>
                <w:rFonts w:ascii="宋体" w:eastAsia="宋体" w:hAnsi="宋体" w:cs="宋体" w:hint="eastAsia"/>
                <w:sz w:val="21"/>
              </w:rPr>
              <w:t>□业</w:t>
            </w:r>
            <w:r>
              <w:rPr>
                <w:rFonts w:ascii="宋体" w:eastAsia="宋体" w:hAnsi="宋体" w:cs="宋体" w:hint="eastAsia"/>
                <w:spacing w:val="-3"/>
                <w:sz w:val="21"/>
              </w:rPr>
              <w:t>绩</w:t>
            </w:r>
            <w:r>
              <w:rPr>
                <w:rFonts w:ascii="宋体" w:eastAsia="宋体" w:hAnsi="宋体" w:cs="宋体" w:hint="eastAsia"/>
                <w:sz w:val="21"/>
              </w:rPr>
              <w:t>说</w:t>
            </w:r>
            <w:r>
              <w:rPr>
                <w:rFonts w:ascii="宋体" w:eastAsia="宋体" w:hAnsi="宋体" w:cs="宋体" w:hint="eastAsia"/>
                <w:spacing w:val="-3"/>
                <w:sz w:val="21"/>
              </w:rPr>
              <w:t>明</w:t>
            </w:r>
            <w:r>
              <w:rPr>
                <w:rFonts w:ascii="宋体" w:eastAsia="宋体" w:hAnsi="宋体" w:cs="宋体" w:hint="eastAsia"/>
                <w:sz w:val="21"/>
              </w:rPr>
              <w:t>会</w:t>
            </w:r>
          </w:p>
          <w:p w14:paraId="6AC4C4C2" w14:textId="77777777" w:rsidR="000D3476" w:rsidRDefault="000D3476">
            <w:pPr>
              <w:pStyle w:val="TableParagraph"/>
              <w:spacing w:before="8"/>
              <w:rPr>
                <w:rFonts w:ascii="宋体" w:eastAsia="宋体" w:hAnsi="宋体" w:cs="宋体"/>
              </w:rPr>
            </w:pPr>
          </w:p>
          <w:p w14:paraId="19BD40C3" w14:textId="77777777" w:rsidR="000D3476" w:rsidRDefault="004116FA">
            <w:pPr>
              <w:pStyle w:val="TableParagraph"/>
              <w:tabs>
                <w:tab w:val="left" w:pos="2418"/>
              </w:tabs>
              <w:ind w:left="107"/>
              <w:rPr>
                <w:rFonts w:ascii="宋体" w:eastAsia="宋体" w:hAnsi="宋体" w:cs="宋体"/>
                <w:sz w:val="21"/>
              </w:rPr>
            </w:pPr>
            <w:r>
              <w:rPr>
                <w:rFonts w:ascii="宋体" w:eastAsia="宋体" w:hAnsi="宋体" w:cs="宋体" w:hint="eastAsia"/>
                <w:sz w:val="21"/>
              </w:rPr>
              <w:t>□新</w:t>
            </w:r>
            <w:r>
              <w:rPr>
                <w:rFonts w:ascii="宋体" w:eastAsia="宋体" w:hAnsi="宋体" w:cs="宋体" w:hint="eastAsia"/>
                <w:spacing w:val="-3"/>
                <w:sz w:val="21"/>
              </w:rPr>
              <w:t>闻</w:t>
            </w:r>
            <w:r>
              <w:rPr>
                <w:rFonts w:ascii="宋体" w:eastAsia="宋体" w:hAnsi="宋体" w:cs="宋体" w:hint="eastAsia"/>
                <w:sz w:val="21"/>
              </w:rPr>
              <w:t>发</w:t>
            </w:r>
            <w:r>
              <w:rPr>
                <w:rFonts w:ascii="宋体" w:eastAsia="宋体" w:hAnsi="宋体" w:cs="宋体" w:hint="eastAsia"/>
                <w:spacing w:val="-3"/>
                <w:sz w:val="21"/>
              </w:rPr>
              <w:t>布</w:t>
            </w:r>
            <w:r>
              <w:rPr>
                <w:rFonts w:ascii="宋体" w:eastAsia="宋体" w:hAnsi="宋体" w:cs="宋体" w:hint="eastAsia"/>
                <w:sz w:val="21"/>
              </w:rPr>
              <w:t>会</w:t>
            </w:r>
            <w:r>
              <w:rPr>
                <w:rFonts w:ascii="宋体" w:eastAsia="宋体" w:hAnsi="宋体" w:cs="宋体" w:hint="eastAsia"/>
                <w:sz w:val="21"/>
              </w:rPr>
              <w:tab/>
            </w:r>
            <w:r>
              <w:rPr>
                <w:rFonts w:ascii="宋体" w:eastAsia="宋体" w:hAnsi="宋体" w:cs="宋体" w:hint="eastAsia"/>
                <w:sz w:val="21"/>
              </w:rPr>
              <w:t>□路</w:t>
            </w:r>
            <w:r>
              <w:rPr>
                <w:rFonts w:ascii="宋体" w:eastAsia="宋体" w:hAnsi="宋体" w:cs="宋体" w:hint="eastAsia"/>
                <w:spacing w:val="-3"/>
                <w:sz w:val="21"/>
              </w:rPr>
              <w:t>演</w:t>
            </w:r>
            <w:r>
              <w:rPr>
                <w:rFonts w:ascii="宋体" w:eastAsia="宋体" w:hAnsi="宋体" w:cs="宋体" w:hint="eastAsia"/>
                <w:sz w:val="21"/>
              </w:rPr>
              <w:t>活动</w:t>
            </w:r>
          </w:p>
          <w:p w14:paraId="0C6A3D1A" w14:textId="77777777" w:rsidR="000D3476" w:rsidRDefault="000D3476">
            <w:pPr>
              <w:pStyle w:val="TableParagraph"/>
              <w:spacing w:before="8"/>
              <w:rPr>
                <w:rFonts w:ascii="宋体" w:eastAsia="宋体" w:hAnsi="宋体" w:cs="宋体"/>
              </w:rPr>
            </w:pPr>
          </w:p>
          <w:p w14:paraId="62B6D420" w14:textId="77777777" w:rsidR="000D3476" w:rsidRDefault="004116FA">
            <w:pPr>
              <w:pStyle w:val="TableParagraph"/>
              <w:ind w:left="107"/>
              <w:rPr>
                <w:rFonts w:ascii="宋体" w:eastAsia="宋体" w:hAnsi="宋体" w:cs="宋体"/>
                <w:sz w:val="21"/>
              </w:rPr>
            </w:pPr>
            <w:r>
              <w:rPr>
                <w:rFonts w:ascii="宋体" w:eastAsia="宋体" w:hAnsi="宋体" w:cs="宋体" w:hint="eastAsia"/>
                <w:sz w:val="21"/>
              </w:rPr>
              <w:t>□现场参观</w:t>
            </w:r>
          </w:p>
          <w:p w14:paraId="1AF4CCFC" w14:textId="77777777" w:rsidR="000D3476" w:rsidRDefault="000D3476">
            <w:pPr>
              <w:pStyle w:val="TableParagraph"/>
              <w:spacing w:before="11"/>
              <w:rPr>
                <w:rFonts w:ascii="宋体" w:eastAsia="宋体" w:hAnsi="宋体" w:cs="宋体"/>
              </w:rPr>
            </w:pPr>
          </w:p>
          <w:p w14:paraId="3C688E9A" w14:textId="77777777" w:rsidR="000D3476" w:rsidRDefault="004116FA">
            <w:pPr>
              <w:pStyle w:val="TableParagraph"/>
              <w:ind w:left="107"/>
              <w:rPr>
                <w:rFonts w:ascii="宋体" w:eastAsia="宋体" w:hAnsi="宋体" w:cs="宋体"/>
                <w:sz w:val="21"/>
              </w:rPr>
            </w:pPr>
            <w:r>
              <w:rPr>
                <w:rFonts w:ascii="宋体" w:eastAsia="宋体" w:hAnsi="宋体" w:cs="宋体" w:hint="eastAsia"/>
                <w:sz w:val="21"/>
              </w:rPr>
              <w:t>□其他</w:t>
            </w:r>
          </w:p>
        </w:tc>
      </w:tr>
      <w:tr w:rsidR="000D3476" w14:paraId="718A1DD3" w14:textId="77777777">
        <w:trPr>
          <w:trHeight w:val="1297"/>
          <w:jc w:val="center"/>
        </w:trPr>
        <w:tc>
          <w:tcPr>
            <w:tcW w:w="2377" w:type="dxa"/>
            <w:vAlign w:val="center"/>
          </w:tcPr>
          <w:p w14:paraId="5DBB0309" w14:textId="77777777" w:rsidR="000D3476" w:rsidRDefault="004116FA">
            <w:pPr>
              <w:pStyle w:val="TableParagraph"/>
              <w:spacing w:line="560" w:lineRule="exact"/>
              <w:ind w:left="107" w:right="96"/>
              <w:rPr>
                <w:rFonts w:ascii="宋体" w:eastAsia="宋体" w:hAnsi="宋体" w:cs="宋体"/>
                <w:sz w:val="21"/>
              </w:rPr>
            </w:pPr>
            <w:r>
              <w:rPr>
                <w:rFonts w:ascii="宋体" w:eastAsia="宋体" w:hAnsi="宋体" w:cs="宋体" w:hint="eastAsia"/>
                <w:sz w:val="21"/>
              </w:rPr>
              <w:t>参与单位名称</w:t>
            </w:r>
          </w:p>
        </w:tc>
        <w:tc>
          <w:tcPr>
            <w:tcW w:w="6148" w:type="dxa"/>
            <w:vAlign w:val="center"/>
          </w:tcPr>
          <w:p w14:paraId="7FEF3747" w14:textId="77777777" w:rsidR="000D3476" w:rsidRDefault="004116FA">
            <w:pPr>
              <w:pStyle w:val="TableParagraph"/>
              <w:spacing w:line="360" w:lineRule="auto"/>
              <w:jc w:val="both"/>
              <w:rPr>
                <w:rFonts w:ascii="宋体" w:eastAsia="宋体" w:hAnsi="宋体" w:cs="宋体"/>
                <w:sz w:val="21"/>
                <w:szCs w:val="21"/>
              </w:rPr>
            </w:pPr>
            <w:r>
              <w:rPr>
                <w:rFonts w:ascii="宋体" w:eastAsia="宋体" w:hAnsi="宋体" w:cs="宋体" w:hint="eastAsia"/>
                <w:sz w:val="21"/>
                <w:szCs w:val="21"/>
              </w:rPr>
              <w:t>中欧基金</w:t>
            </w:r>
          </w:p>
          <w:p w14:paraId="604A6669" w14:textId="77777777" w:rsidR="000D3476" w:rsidRDefault="004116FA">
            <w:pPr>
              <w:pStyle w:val="TableParagraph"/>
              <w:spacing w:line="360" w:lineRule="auto"/>
              <w:jc w:val="both"/>
              <w:rPr>
                <w:rFonts w:ascii="宋体" w:eastAsia="宋体" w:hAnsi="宋体" w:cs="宋体"/>
                <w:sz w:val="21"/>
                <w:szCs w:val="21"/>
              </w:rPr>
            </w:pPr>
            <w:r>
              <w:rPr>
                <w:rFonts w:ascii="宋体" w:eastAsia="宋体" w:hAnsi="宋体" w:cs="宋体" w:hint="eastAsia"/>
                <w:sz w:val="21"/>
                <w:szCs w:val="21"/>
              </w:rPr>
              <w:t>南方基金</w:t>
            </w:r>
          </w:p>
          <w:p w14:paraId="0543D234" w14:textId="77777777" w:rsidR="000D3476" w:rsidRDefault="004116FA">
            <w:pPr>
              <w:pStyle w:val="TableParagraph"/>
              <w:spacing w:line="360" w:lineRule="auto"/>
              <w:jc w:val="both"/>
              <w:rPr>
                <w:rFonts w:ascii="宋体" w:eastAsia="宋体" w:hAnsi="宋体" w:cs="宋体"/>
                <w:sz w:val="21"/>
                <w:szCs w:val="21"/>
              </w:rPr>
            </w:pPr>
            <w:r>
              <w:rPr>
                <w:rFonts w:ascii="宋体" w:eastAsia="宋体" w:hAnsi="宋体" w:cs="宋体" w:hint="eastAsia"/>
                <w:sz w:val="21"/>
                <w:szCs w:val="21"/>
              </w:rPr>
              <w:t>招商基金</w:t>
            </w:r>
          </w:p>
          <w:p w14:paraId="76E4E8F1" w14:textId="77777777" w:rsidR="000D3476" w:rsidRDefault="004116FA">
            <w:pPr>
              <w:pStyle w:val="TableParagraph"/>
              <w:spacing w:line="360" w:lineRule="auto"/>
              <w:jc w:val="both"/>
              <w:rPr>
                <w:rFonts w:ascii="宋体" w:eastAsia="宋体" w:hAnsi="宋体" w:cs="宋体"/>
                <w:sz w:val="21"/>
                <w:szCs w:val="21"/>
              </w:rPr>
            </w:pPr>
            <w:r>
              <w:rPr>
                <w:rFonts w:ascii="宋体" w:eastAsia="宋体" w:hAnsi="宋体" w:cs="宋体" w:hint="eastAsia"/>
                <w:sz w:val="21"/>
                <w:szCs w:val="21"/>
              </w:rPr>
              <w:t>国联民生</w:t>
            </w:r>
          </w:p>
          <w:p w14:paraId="3690C3CA" w14:textId="77777777" w:rsidR="000D3476" w:rsidRDefault="004116FA">
            <w:pPr>
              <w:pStyle w:val="TableParagraph"/>
              <w:spacing w:line="360" w:lineRule="auto"/>
              <w:jc w:val="both"/>
              <w:rPr>
                <w:rFonts w:ascii="宋体" w:eastAsia="宋体" w:hAnsi="宋体" w:cs="宋体"/>
                <w:sz w:val="21"/>
                <w:szCs w:val="21"/>
              </w:rPr>
            </w:pPr>
            <w:r>
              <w:rPr>
                <w:rFonts w:ascii="宋体" w:eastAsia="宋体" w:hAnsi="宋体" w:cs="宋体" w:hint="eastAsia"/>
                <w:sz w:val="21"/>
                <w:szCs w:val="21"/>
              </w:rPr>
              <w:t>中泰证券</w:t>
            </w:r>
            <w:r>
              <w:rPr>
                <w:rFonts w:ascii="宋体" w:eastAsia="宋体" w:hAnsi="宋体" w:cs="宋体" w:hint="eastAsia"/>
                <w:sz w:val="21"/>
                <w:szCs w:val="21"/>
              </w:rPr>
              <w:t xml:space="preserve"> </w:t>
            </w:r>
          </w:p>
          <w:p w14:paraId="04B5A5E9" w14:textId="77777777" w:rsidR="000D3476" w:rsidRDefault="004116FA">
            <w:pPr>
              <w:pStyle w:val="TableParagraph"/>
              <w:spacing w:line="360" w:lineRule="auto"/>
              <w:jc w:val="both"/>
              <w:rPr>
                <w:rFonts w:ascii="宋体" w:eastAsia="宋体" w:hAnsi="宋体" w:cs="宋体"/>
                <w:sz w:val="21"/>
                <w:szCs w:val="21"/>
              </w:rPr>
            </w:pPr>
            <w:r>
              <w:rPr>
                <w:rFonts w:ascii="宋体" w:eastAsia="宋体" w:hAnsi="宋体" w:cs="宋体" w:hint="eastAsia"/>
                <w:sz w:val="21"/>
                <w:szCs w:val="21"/>
              </w:rPr>
              <w:t>天风证券</w:t>
            </w:r>
            <w:r>
              <w:rPr>
                <w:rFonts w:ascii="宋体" w:eastAsia="宋体" w:hAnsi="宋体" w:cs="宋体" w:hint="eastAsia"/>
                <w:sz w:val="21"/>
                <w:szCs w:val="21"/>
                <w:lang w:val="en-US"/>
              </w:rPr>
              <w:t xml:space="preserve"> </w:t>
            </w:r>
          </w:p>
          <w:p w14:paraId="4A3F7A76" w14:textId="77777777" w:rsidR="000D3476" w:rsidRDefault="004116FA">
            <w:pPr>
              <w:pStyle w:val="TableParagraph"/>
              <w:spacing w:line="360" w:lineRule="auto"/>
              <w:jc w:val="both"/>
              <w:rPr>
                <w:rFonts w:ascii="宋体" w:eastAsia="宋体" w:hAnsi="宋体" w:cs="宋体"/>
                <w:sz w:val="21"/>
                <w:szCs w:val="21"/>
              </w:rPr>
            </w:pPr>
            <w:r>
              <w:rPr>
                <w:rFonts w:ascii="宋体" w:eastAsia="宋体" w:hAnsi="宋体" w:cs="宋体" w:hint="eastAsia"/>
                <w:sz w:val="21"/>
                <w:szCs w:val="21"/>
              </w:rPr>
              <w:t>招商证券</w:t>
            </w:r>
          </w:p>
          <w:p w14:paraId="6D61C38D" w14:textId="77777777" w:rsidR="000D3476" w:rsidRDefault="004116FA">
            <w:pPr>
              <w:pStyle w:val="TableParagraph"/>
              <w:spacing w:line="360" w:lineRule="auto"/>
              <w:jc w:val="both"/>
              <w:rPr>
                <w:rFonts w:ascii="宋体" w:eastAsia="宋体" w:hAnsi="宋体" w:cs="宋体"/>
                <w:sz w:val="21"/>
                <w:szCs w:val="21"/>
              </w:rPr>
            </w:pPr>
            <w:proofErr w:type="gramStart"/>
            <w:r>
              <w:rPr>
                <w:rFonts w:ascii="宋体" w:eastAsia="宋体" w:hAnsi="宋体" w:cs="宋体" w:hint="eastAsia"/>
                <w:sz w:val="21"/>
                <w:szCs w:val="21"/>
              </w:rPr>
              <w:t>国泰海通</w:t>
            </w:r>
            <w:proofErr w:type="gramEnd"/>
          </w:p>
          <w:p w14:paraId="39186D46" w14:textId="77777777" w:rsidR="000D3476" w:rsidRDefault="004116FA">
            <w:pPr>
              <w:pStyle w:val="TableParagraph"/>
              <w:spacing w:line="360" w:lineRule="auto"/>
              <w:jc w:val="both"/>
              <w:rPr>
                <w:rFonts w:ascii="宋体" w:eastAsia="宋体" w:hAnsi="宋体" w:cs="宋体"/>
                <w:sz w:val="21"/>
                <w:szCs w:val="21"/>
              </w:rPr>
            </w:pPr>
            <w:r>
              <w:rPr>
                <w:rFonts w:ascii="宋体" w:eastAsia="宋体" w:hAnsi="宋体" w:cs="宋体" w:hint="eastAsia"/>
                <w:sz w:val="21"/>
                <w:szCs w:val="21"/>
              </w:rPr>
              <w:t>方正证券</w:t>
            </w:r>
          </w:p>
          <w:p w14:paraId="06D6C3B5" w14:textId="77777777" w:rsidR="000D3476" w:rsidRDefault="004116FA">
            <w:pPr>
              <w:pStyle w:val="TableParagraph"/>
              <w:spacing w:line="360" w:lineRule="auto"/>
              <w:jc w:val="both"/>
              <w:rPr>
                <w:rFonts w:ascii="宋体" w:eastAsia="宋体" w:hAnsi="宋体" w:cs="宋体"/>
                <w:sz w:val="21"/>
                <w:szCs w:val="21"/>
              </w:rPr>
            </w:pPr>
            <w:proofErr w:type="gramStart"/>
            <w:r>
              <w:rPr>
                <w:rFonts w:ascii="宋体" w:eastAsia="宋体" w:hAnsi="宋体" w:cs="宋体" w:hint="eastAsia"/>
                <w:sz w:val="21"/>
                <w:szCs w:val="21"/>
              </w:rPr>
              <w:t>申万医药</w:t>
            </w:r>
            <w:proofErr w:type="gramEnd"/>
          </w:p>
          <w:p w14:paraId="2E9D22E0" w14:textId="77777777" w:rsidR="000D3476" w:rsidRDefault="004116FA">
            <w:pPr>
              <w:pStyle w:val="TableParagraph"/>
              <w:spacing w:line="360" w:lineRule="auto"/>
              <w:jc w:val="both"/>
              <w:rPr>
                <w:rFonts w:ascii="宋体" w:eastAsia="宋体" w:hAnsi="宋体" w:cs="宋体"/>
                <w:sz w:val="21"/>
                <w:szCs w:val="21"/>
              </w:rPr>
            </w:pPr>
            <w:r>
              <w:rPr>
                <w:rFonts w:ascii="宋体" w:eastAsia="宋体" w:hAnsi="宋体" w:cs="宋体" w:hint="eastAsia"/>
                <w:sz w:val="21"/>
                <w:szCs w:val="21"/>
              </w:rPr>
              <w:t>平安证券</w:t>
            </w:r>
          </w:p>
          <w:p w14:paraId="411F8FC0" w14:textId="77777777" w:rsidR="000D3476" w:rsidRDefault="004116FA">
            <w:pPr>
              <w:pStyle w:val="TableParagraph"/>
              <w:spacing w:line="360" w:lineRule="auto"/>
              <w:jc w:val="both"/>
              <w:rPr>
                <w:rFonts w:ascii="宋体" w:eastAsia="宋体" w:hAnsi="宋体" w:cs="宋体"/>
                <w:sz w:val="21"/>
                <w:szCs w:val="21"/>
              </w:rPr>
            </w:pPr>
            <w:r>
              <w:rPr>
                <w:rFonts w:ascii="宋体" w:eastAsia="宋体" w:hAnsi="宋体" w:cs="宋体" w:hint="eastAsia"/>
                <w:sz w:val="21"/>
                <w:szCs w:val="21"/>
              </w:rPr>
              <w:t>兴业证券</w:t>
            </w:r>
          </w:p>
          <w:p w14:paraId="41E55562" w14:textId="77777777" w:rsidR="000D3476" w:rsidRDefault="004116FA">
            <w:pPr>
              <w:pStyle w:val="TableParagraph"/>
              <w:spacing w:line="360" w:lineRule="auto"/>
              <w:jc w:val="both"/>
              <w:rPr>
                <w:rFonts w:ascii="宋体" w:eastAsia="宋体" w:hAnsi="宋体" w:cs="宋体"/>
                <w:sz w:val="21"/>
                <w:szCs w:val="21"/>
              </w:rPr>
            </w:pPr>
            <w:r>
              <w:rPr>
                <w:rFonts w:ascii="宋体" w:eastAsia="宋体" w:hAnsi="宋体" w:cs="宋体" w:hint="eastAsia"/>
                <w:sz w:val="21"/>
                <w:szCs w:val="21"/>
              </w:rPr>
              <w:t>开源证券</w:t>
            </w:r>
          </w:p>
          <w:p w14:paraId="68272760" w14:textId="77777777" w:rsidR="000D3476" w:rsidRDefault="004116FA">
            <w:pPr>
              <w:pStyle w:val="TableParagraph"/>
              <w:spacing w:line="360" w:lineRule="auto"/>
              <w:jc w:val="both"/>
              <w:rPr>
                <w:rFonts w:ascii="宋体" w:eastAsia="宋体" w:hAnsi="宋体" w:cs="宋体"/>
                <w:sz w:val="21"/>
                <w:szCs w:val="21"/>
              </w:rPr>
            </w:pPr>
            <w:r>
              <w:rPr>
                <w:rFonts w:ascii="宋体" w:eastAsia="宋体" w:hAnsi="宋体" w:cs="宋体" w:hint="eastAsia"/>
                <w:sz w:val="21"/>
                <w:szCs w:val="21"/>
              </w:rPr>
              <w:t>华鑫证券</w:t>
            </w:r>
          </w:p>
          <w:p w14:paraId="480FC53B" w14:textId="77777777" w:rsidR="000D3476" w:rsidRDefault="004116FA">
            <w:pPr>
              <w:pStyle w:val="TableParagraph"/>
              <w:spacing w:line="360" w:lineRule="auto"/>
              <w:jc w:val="both"/>
              <w:rPr>
                <w:rFonts w:ascii="宋体" w:eastAsia="宋体" w:hAnsi="宋体" w:cs="宋体"/>
                <w:sz w:val="21"/>
                <w:szCs w:val="21"/>
              </w:rPr>
            </w:pPr>
            <w:r>
              <w:rPr>
                <w:rFonts w:ascii="宋体" w:eastAsia="宋体" w:hAnsi="宋体" w:cs="宋体" w:hint="eastAsia"/>
                <w:sz w:val="21"/>
                <w:szCs w:val="21"/>
              </w:rPr>
              <w:t>西部证券</w:t>
            </w:r>
          </w:p>
          <w:p w14:paraId="596CB965" w14:textId="77777777" w:rsidR="000D3476" w:rsidRDefault="004116FA">
            <w:pPr>
              <w:pStyle w:val="TableParagraph"/>
              <w:spacing w:line="360" w:lineRule="auto"/>
              <w:jc w:val="both"/>
              <w:rPr>
                <w:rFonts w:ascii="宋体" w:eastAsia="宋体" w:hAnsi="宋体" w:cs="宋体"/>
                <w:sz w:val="21"/>
                <w:szCs w:val="21"/>
              </w:rPr>
            </w:pPr>
            <w:r>
              <w:rPr>
                <w:rFonts w:ascii="宋体" w:eastAsia="宋体" w:hAnsi="宋体" w:cs="宋体" w:hint="eastAsia"/>
                <w:sz w:val="21"/>
                <w:szCs w:val="21"/>
              </w:rPr>
              <w:t>太平洋</w:t>
            </w:r>
            <w:r>
              <w:rPr>
                <w:rFonts w:ascii="宋体" w:eastAsia="宋体" w:hAnsi="宋体" w:cs="宋体" w:hint="eastAsia"/>
                <w:sz w:val="21"/>
                <w:szCs w:val="21"/>
                <w:lang w:val="en-US"/>
              </w:rPr>
              <w:t>证券</w:t>
            </w:r>
          </w:p>
          <w:p w14:paraId="04507213" w14:textId="77777777" w:rsidR="000D3476" w:rsidRDefault="004116FA">
            <w:pPr>
              <w:pStyle w:val="TableParagraph"/>
              <w:spacing w:line="360" w:lineRule="auto"/>
              <w:jc w:val="both"/>
              <w:rPr>
                <w:rFonts w:ascii="宋体" w:eastAsia="宋体" w:hAnsi="宋体" w:cs="宋体"/>
                <w:sz w:val="21"/>
                <w:szCs w:val="21"/>
              </w:rPr>
            </w:pPr>
            <w:r>
              <w:rPr>
                <w:rFonts w:ascii="宋体" w:eastAsia="宋体" w:hAnsi="宋体" w:cs="宋体" w:hint="eastAsia"/>
                <w:sz w:val="21"/>
                <w:szCs w:val="21"/>
              </w:rPr>
              <w:t>山西证券</w:t>
            </w:r>
            <w:r>
              <w:rPr>
                <w:rFonts w:ascii="宋体" w:eastAsia="宋体" w:hAnsi="宋体" w:cs="宋体" w:hint="eastAsia"/>
                <w:sz w:val="21"/>
                <w:szCs w:val="21"/>
              </w:rPr>
              <w:t xml:space="preserve"> </w:t>
            </w:r>
          </w:p>
          <w:p w14:paraId="62762AD3" w14:textId="77777777" w:rsidR="000D3476" w:rsidRDefault="004116FA">
            <w:pPr>
              <w:pStyle w:val="TableParagraph"/>
              <w:spacing w:line="360" w:lineRule="auto"/>
              <w:jc w:val="both"/>
              <w:rPr>
                <w:rFonts w:ascii="宋体" w:eastAsia="宋体" w:hAnsi="宋体" w:cs="宋体"/>
                <w:sz w:val="21"/>
                <w:szCs w:val="21"/>
              </w:rPr>
            </w:pPr>
            <w:r>
              <w:rPr>
                <w:rFonts w:ascii="宋体" w:eastAsia="宋体" w:hAnsi="宋体" w:cs="宋体" w:hint="eastAsia"/>
                <w:sz w:val="21"/>
                <w:szCs w:val="21"/>
              </w:rPr>
              <w:t>国信证券</w:t>
            </w:r>
          </w:p>
          <w:p w14:paraId="10CEAAFC" w14:textId="77777777" w:rsidR="000D3476" w:rsidRDefault="004116FA">
            <w:pPr>
              <w:pStyle w:val="TableParagraph"/>
              <w:spacing w:line="360" w:lineRule="auto"/>
              <w:jc w:val="both"/>
              <w:rPr>
                <w:rFonts w:ascii="宋体" w:eastAsia="宋体" w:hAnsi="宋体" w:cs="宋体"/>
                <w:sz w:val="21"/>
                <w:szCs w:val="21"/>
              </w:rPr>
            </w:pPr>
            <w:r>
              <w:rPr>
                <w:rFonts w:ascii="宋体" w:eastAsia="宋体" w:hAnsi="宋体" w:cs="宋体" w:hint="eastAsia"/>
                <w:sz w:val="21"/>
                <w:szCs w:val="21"/>
              </w:rPr>
              <w:t>长风私募</w:t>
            </w:r>
          </w:p>
          <w:p w14:paraId="23FDE907" w14:textId="77777777" w:rsidR="000D3476" w:rsidRDefault="004116FA">
            <w:pPr>
              <w:pStyle w:val="TableParagraph"/>
              <w:spacing w:line="360" w:lineRule="auto"/>
              <w:jc w:val="both"/>
              <w:rPr>
                <w:rFonts w:ascii="宋体" w:eastAsia="宋体" w:hAnsi="宋体" w:cs="宋体"/>
                <w:sz w:val="21"/>
                <w:szCs w:val="21"/>
              </w:rPr>
            </w:pPr>
            <w:r>
              <w:rPr>
                <w:rFonts w:ascii="宋体" w:eastAsia="宋体" w:hAnsi="宋体" w:cs="宋体" w:hint="eastAsia"/>
                <w:sz w:val="21"/>
                <w:szCs w:val="21"/>
              </w:rPr>
              <w:t>IDG</w:t>
            </w:r>
          </w:p>
          <w:p w14:paraId="06B43C87" w14:textId="77777777" w:rsidR="000D3476" w:rsidRDefault="004116FA">
            <w:pPr>
              <w:pStyle w:val="TableParagraph"/>
              <w:spacing w:line="360" w:lineRule="auto"/>
              <w:jc w:val="both"/>
              <w:rPr>
                <w:rFonts w:ascii="宋体" w:eastAsia="宋体" w:hAnsi="宋体" w:cs="宋体"/>
                <w:sz w:val="21"/>
                <w:szCs w:val="21"/>
              </w:rPr>
            </w:pPr>
            <w:r>
              <w:rPr>
                <w:rFonts w:ascii="宋体" w:eastAsia="宋体" w:hAnsi="宋体" w:cs="宋体" w:hint="eastAsia"/>
                <w:sz w:val="21"/>
                <w:szCs w:val="21"/>
                <w:lang w:val="en-US"/>
              </w:rPr>
              <w:t>弘毅远方</w:t>
            </w:r>
          </w:p>
          <w:p w14:paraId="7F0AA312" w14:textId="77777777" w:rsidR="000D3476" w:rsidRDefault="004116FA">
            <w:pPr>
              <w:pStyle w:val="TableParagraph"/>
              <w:spacing w:line="360" w:lineRule="auto"/>
              <w:jc w:val="both"/>
              <w:rPr>
                <w:rFonts w:ascii="宋体" w:eastAsia="宋体" w:hAnsi="宋体" w:cs="宋体"/>
                <w:sz w:val="21"/>
                <w:szCs w:val="21"/>
              </w:rPr>
            </w:pPr>
            <w:r>
              <w:rPr>
                <w:rFonts w:ascii="宋体" w:eastAsia="宋体" w:hAnsi="宋体" w:cs="宋体" w:hint="eastAsia"/>
                <w:sz w:val="21"/>
                <w:szCs w:val="21"/>
              </w:rPr>
              <w:t>嘉实基金</w:t>
            </w:r>
          </w:p>
          <w:p w14:paraId="049CE15D" w14:textId="77777777" w:rsidR="000D3476" w:rsidRDefault="004116FA">
            <w:pPr>
              <w:pStyle w:val="TableParagraph"/>
              <w:spacing w:line="360" w:lineRule="auto"/>
              <w:jc w:val="both"/>
              <w:rPr>
                <w:rFonts w:ascii="宋体" w:eastAsia="宋体" w:hAnsi="宋体" w:cs="宋体"/>
                <w:sz w:val="21"/>
                <w:szCs w:val="21"/>
              </w:rPr>
            </w:pPr>
            <w:r>
              <w:rPr>
                <w:rFonts w:ascii="宋体" w:eastAsia="宋体" w:hAnsi="宋体" w:cs="宋体" w:hint="eastAsia"/>
                <w:sz w:val="21"/>
                <w:szCs w:val="21"/>
              </w:rPr>
              <w:t>兴业基金</w:t>
            </w:r>
          </w:p>
          <w:p w14:paraId="61C451CE" w14:textId="77777777" w:rsidR="000D3476" w:rsidRDefault="004116FA">
            <w:pPr>
              <w:pStyle w:val="TableParagraph"/>
              <w:spacing w:line="360" w:lineRule="auto"/>
              <w:jc w:val="both"/>
              <w:rPr>
                <w:rFonts w:ascii="宋体" w:eastAsia="宋体" w:hAnsi="宋体" w:cs="宋体"/>
                <w:sz w:val="21"/>
                <w:szCs w:val="21"/>
              </w:rPr>
            </w:pPr>
            <w:r>
              <w:rPr>
                <w:rFonts w:ascii="宋体" w:eastAsia="宋体" w:hAnsi="宋体" w:cs="宋体" w:hint="eastAsia"/>
                <w:sz w:val="21"/>
                <w:szCs w:val="21"/>
                <w:lang w:val="en-US"/>
              </w:rPr>
              <w:lastRenderedPageBreak/>
              <w:t>P</w:t>
            </w:r>
            <w:r>
              <w:rPr>
                <w:rFonts w:ascii="宋体" w:eastAsia="宋体" w:hAnsi="宋体" w:cs="宋体" w:hint="eastAsia"/>
                <w:sz w:val="21"/>
                <w:szCs w:val="21"/>
              </w:rPr>
              <w:t xml:space="preserve">arantoux </w:t>
            </w:r>
            <w:r>
              <w:rPr>
                <w:rFonts w:ascii="宋体" w:eastAsia="宋体" w:hAnsi="宋体" w:cs="宋体" w:hint="eastAsia"/>
                <w:sz w:val="21"/>
                <w:szCs w:val="21"/>
                <w:lang w:val="en-US"/>
              </w:rPr>
              <w:t>C</w:t>
            </w:r>
            <w:r>
              <w:rPr>
                <w:rFonts w:ascii="宋体" w:eastAsia="宋体" w:hAnsi="宋体" w:cs="宋体" w:hint="eastAsia"/>
                <w:sz w:val="21"/>
                <w:szCs w:val="21"/>
              </w:rPr>
              <w:t>apital</w:t>
            </w:r>
          </w:p>
          <w:p w14:paraId="6E997F06" w14:textId="77777777" w:rsidR="000D3476" w:rsidRDefault="004116FA">
            <w:pPr>
              <w:pStyle w:val="TableParagraph"/>
              <w:spacing w:line="360" w:lineRule="auto"/>
              <w:jc w:val="both"/>
              <w:rPr>
                <w:rFonts w:ascii="宋体" w:eastAsia="宋体" w:hAnsi="宋体" w:cs="宋体"/>
                <w:sz w:val="21"/>
                <w:szCs w:val="21"/>
              </w:rPr>
            </w:pPr>
            <w:r>
              <w:rPr>
                <w:rFonts w:ascii="宋体" w:eastAsia="宋体" w:hAnsi="宋体" w:cs="宋体" w:hint="eastAsia"/>
                <w:sz w:val="21"/>
                <w:szCs w:val="21"/>
              </w:rPr>
              <w:t>东吴人寿</w:t>
            </w:r>
          </w:p>
          <w:p w14:paraId="1650139C" w14:textId="77777777" w:rsidR="000D3476" w:rsidRDefault="004116FA">
            <w:pPr>
              <w:pStyle w:val="TableParagraph"/>
              <w:spacing w:line="360" w:lineRule="auto"/>
              <w:jc w:val="both"/>
              <w:rPr>
                <w:rFonts w:ascii="宋体" w:eastAsia="宋体" w:hAnsi="宋体" w:cs="宋体"/>
                <w:sz w:val="21"/>
                <w:szCs w:val="21"/>
              </w:rPr>
            </w:pPr>
            <w:proofErr w:type="gramStart"/>
            <w:r>
              <w:rPr>
                <w:rFonts w:ascii="宋体" w:eastAsia="宋体" w:hAnsi="宋体" w:cs="宋体" w:hint="eastAsia"/>
                <w:sz w:val="21"/>
                <w:szCs w:val="21"/>
              </w:rPr>
              <w:t>杭银理财</w:t>
            </w:r>
            <w:proofErr w:type="gramEnd"/>
          </w:p>
          <w:p w14:paraId="403AD018" w14:textId="77777777" w:rsidR="000D3476" w:rsidRDefault="004116FA">
            <w:pPr>
              <w:pStyle w:val="TableParagraph"/>
              <w:spacing w:line="360" w:lineRule="auto"/>
              <w:jc w:val="both"/>
              <w:rPr>
                <w:rFonts w:ascii="宋体" w:eastAsia="宋体" w:hAnsi="宋体" w:cs="宋体"/>
                <w:sz w:val="21"/>
                <w:szCs w:val="21"/>
              </w:rPr>
            </w:pPr>
            <w:r>
              <w:rPr>
                <w:rFonts w:ascii="宋体" w:eastAsia="宋体" w:hAnsi="宋体" w:cs="宋体" w:hint="eastAsia"/>
                <w:sz w:val="21"/>
                <w:szCs w:val="21"/>
              </w:rPr>
              <w:t>长江证券</w:t>
            </w:r>
          </w:p>
          <w:p w14:paraId="1B465072" w14:textId="77777777" w:rsidR="000D3476" w:rsidRDefault="004116FA">
            <w:pPr>
              <w:pStyle w:val="TableParagraph"/>
              <w:spacing w:line="360" w:lineRule="auto"/>
              <w:jc w:val="both"/>
              <w:rPr>
                <w:rFonts w:ascii="宋体" w:eastAsia="宋体" w:hAnsi="宋体" w:cs="宋体"/>
                <w:sz w:val="21"/>
                <w:szCs w:val="21"/>
              </w:rPr>
            </w:pPr>
            <w:proofErr w:type="gramStart"/>
            <w:r>
              <w:rPr>
                <w:rFonts w:ascii="宋体" w:eastAsia="宋体" w:hAnsi="宋体" w:cs="宋体" w:hint="eastAsia"/>
                <w:sz w:val="21"/>
                <w:szCs w:val="21"/>
              </w:rPr>
              <w:t>鑫</w:t>
            </w:r>
            <w:proofErr w:type="gramEnd"/>
            <w:r>
              <w:rPr>
                <w:rFonts w:ascii="宋体" w:eastAsia="宋体" w:hAnsi="宋体" w:cs="宋体" w:hint="eastAsia"/>
                <w:sz w:val="21"/>
                <w:szCs w:val="21"/>
              </w:rPr>
              <w:t>元基金</w:t>
            </w:r>
            <w:r>
              <w:rPr>
                <w:rFonts w:ascii="宋体" w:eastAsia="宋体" w:hAnsi="宋体" w:cs="宋体" w:hint="eastAsia"/>
                <w:sz w:val="21"/>
                <w:szCs w:val="21"/>
              </w:rPr>
              <w:t xml:space="preserve"> </w:t>
            </w:r>
          </w:p>
          <w:p w14:paraId="6180BD77" w14:textId="77777777" w:rsidR="000D3476" w:rsidRDefault="004116FA">
            <w:pPr>
              <w:pStyle w:val="TableParagraph"/>
              <w:spacing w:line="360" w:lineRule="auto"/>
              <w:jc w:val="both"/>
              <w:rPr>
                <w:rFonts w:ascii="宋体" w:eastAsia="宋体" w:hAnsi="宋体" w:cs="宋体"/>
                <w:sz w:val="21"/>
                <w:szCs w:val="21"/>
                <w:lang w:val="en-US"/>
              </w:rPr>
            </w:pPr>
            <w:r>
              <w:rPr>
                <w:rFonts w:ascii="宋体" w:eastAsia="宋体" w:hAnsi="宋体" w:cs="宋体" w:hint="eastAsia"/>
                <w:sz w:val="21"/>
                <w:szCs w:val="21"/>
              </w:rPr>
              <w:t>长盛</w:t>
            </w:r>
            <w:r>
              <w:rPr>
                <w:rFonts w:ascii="宋体" w:eastAsia="宋体" w:hAnsi="宋体" w:cs="宋体" w:hint="eastAsia"/>
                <w:sz w:val="21"/>
                <w:szCs w:val="21"/>
                <w:lang w:val="en-US"/>
              </w:rPr>
              <w:t>基金</w:t>
            </w:r>
          </w:p>
          <w:p w14:paraId="4A9E8C93" w14:textId="77777777" w:rsidR="000D3476" w:rsidRDefault="004116FA">
            <w:pPr>
              <w:pStyle w:val="TableParagraph"/>
              <w:spacing w:line="360" w:lineRule="auto"/>
              <w:jc w:val="both"/>
              <w:rPr>
                <w:rFonts w:ascii="宋体" w:eastAsia="宋体" w:hAnsi="宋体" w:cs="宋体"/>
                <w:sz w:val="21"/>
                <w:szCs w:val="21"/>
              </w:rPr>
            </w:pPr>
            <w:r>
              <w:rPr>
                <w:rFonts w:ascii="宋体" w:eastAsia="宋体" w:hAnsi="宋体" w:cs="宋体" w:hint="eastAsia"/>
                <w:sz w:val="21"/>
                <w:szCs w:val="21"/>
              </w:rPr>
              <w:t>太平资产</w:t>
            </w:r>
          </w:p>
          <w:p w14:paraId="42372DC8" w14:textId="77777777" w:rsidR="000D3476" w:rsidRDefault="004116FA">
            <w:pPr>
              <w:pStyle w:val="TableParagraph"/>
              <w:spacing w:line="360" w:lineRule="auto"/>
              <w:jc w:val="both"/>
              <w:rPr>
                <w:rFonts w:ascii="宋体" w:eastAsia="宋体" w:hAnsi="宋体" w:cs="宋体"/>
                <w:sz w:val="21"/>
                <w:szCs w:val="21"/>
                <w:lang w:val="en-US"/>
              </w:rPr>
            </w:pPr>
            <w:r>
              <w:rPr>
                <w:rFonts w:ascii="宋体" w:eastAsia="宋体" w:hAnsi="宋体" w:cs="宋体" w:hint="eastAsia"/>
                <w:sz w:val="21"/>
                <w:szCs w:val="21"/>
              </w:rPr>
              <w:t>华泰柏瑞</w:t>
            </w:r>
            <w:r>
              <w:rPr>
                <w:rFonts w:ascii="宋体" w:eastAsia="宋体" w:hAnsi="宋体" w:cs="宋体" w:hint="eastAsia"/>
                <w:sz w:val="21"/>
                <w:szCs w:val="21"/>
                <w:lang w:val="en-US"/>
              </w:rPr>
              <w:t>基金</w:t>
            </w:r>
          </w:p>
          <w:p w14:paraId="2AC22750" w14:textId="77777777" w:rsidR="000D3476" w:rsidRDefault="004116FA">
            <w:pPr>
              <w:pStyle w:val="TableParagraph"/>
              <w:spacing w:line="360" w:lineRule="auto"/>
              <w:jc w:val="both"/>
              <w:rPr>
                <w:rFonts w:ascii="宋体" w:eastAsia="宋体" w:hAnsi="宋体" w:cs="宋体"/>
                <w:sz w:val="21"/>
                <w:szCs w:val="21"/>
                <w:lang w:val="en-US"/>
              </w:rPr>
            </w:pPr>
            <w:r>
              <w:rPr>
                <w:rFonts w:ascii="宋体" w:eastAsia="宋体" w:hAnsi="宋体" w:cs="宋体" w:hint="eastAsia"/>
                <w:sz w:val="21"/>
                <w:szCs w:val="21"/>
              </w:rPr>
              <w:t>易方达</w:t>
            </w:r>
            <w:r>
              <w:rPr>
                <w:rFonts w:ascii="宋体" w:eastAsia="宋体" w:hAnsi="宋体" w:cs="宋体" w:hint="eastAsia"/>
                <w:sz w:val="21"/>
                <w:szCs w:val="21"/>
                <w:lang w:val="en-US"/>
              </w:rPr>
              <w:t>基金</w:t>
            </w:r>
          </w:p>
          <w:p w14:paraId="0D3CE758" w14:textId="77777777" w:rsidR="000D3476" w:rsidRDefault="004116FA">
            <w:pPr>
              <w:pStyle w:val="TableParagraph"/>
              <w:spacing w:line="360" w:lineRule="auto"/>
              <w:jc w:val="both"/>
              <w:rPr>
                <w:rFonts w:ascii="宋体" w:eastAsia="宋体" w:hAnsi="宋体" w:cs="宋体"/>
                <w:sz w:val="21"/>
                <w:szCs w:val="21"/>
              </w:rPr>
            </w:pPr>
            <w:r>
              <w:rPr>
                <w:rFonts w:ascii="宋体" w:eastAsia="宋体" w:hAnsi="宋体" w:cs="宋体" w:hint="eastAsia"/>
                <w:sz w:val="21"/>
                <w:szCs w:val="21"/>
              </w:rPr>
              <w:t>博时</w:t>
            </w:r>
            <w:r>
              <w:rPr>
                <w:rFonts w:ascii="宋体" w:eastAsia="宋体" w:hAnsi="宋体" w:cs="宋体" w:hint="eastAsia"/>
                <w:sz w:val="21"/>
                <w:szCs w:val="21"/>
                <w:lang w:val="en-US"/>
              </w:rPr>
              <w:t>基金</w:t>
            </w:r>
            <w:r>
              <w:rPr>
                <w:rFonts w:ascii="宋体" w:eastAsia="宋体" w:hAnsi="宋体" w:cs="宋体" w:hint="eastAsia"/>
                <w:sz w:val="21"/>
                <w:szCs w:val="21"/>
              </w:rPr>
              <w:t xml:space="preserve"> </w:t>
            </w:r>
          </w:p>
          <w:p w14:paraId="4F334E63" w14:textId="77777777" w:rsidR="000D3476" w:rsidRDefault="004116FA">
            <w:pPr>
              <w:pStyle w:val="TableParagraph"/>
              <w:spacing w:line="360" w:lineRule="auto"/>
              <w:jc w:val="both"/>
              <w:rPr>
                <w:rFonts w:ascii="宋体" w:eastAsia="宋体" w:hAnsi="宋体" w:cs="宋体"/>
                <w:sz w:val="21"/>
                <w:szCs w:val="21"/>
              </w:rPr>
            </w:pPr>
            <w:proofErr w:type="gramStart"/>
            <w:r>
              <w:rPr>
                <w:rFonts w:ascii="宋体" w:eastAsia="宋体" w:hAnsi="宋体" w:cs="宋体" w:hint="eastAsia"/>
                <w:sz w:val="21"/>
                <w:szCs w:val="21"/>
              </w:rPr>
              <w:t>永赢基金</w:t>
            </w:r>
            <w:proofErr w:type="gramEnd"/>
            <w:r>
              <w:rPr>
                <w:rFonts w:ascii="宋体" w:eastAsia="宋体" w:hAnsi="宋体" w:cs="宋体" w:hint="eastAsia"/>
                <w:sz w:val="21"/>
                <w:szCs w:val="21"/>
              </w:rPr>
              <w:t xml:space="preserve"> </w:t>
            </w:r>
          </w:p>
          <w:p w14:paraId="7CFB58DB" w14:textId="77777777" w:rsidR="000D3476" w:rsidRDefault="004116FA">
            <w:pPr>
              <w:pStyle w:val="TableParagraph"/>
              <w:spacing w:line="360" w:lineRule="auto"/>
              <w:jc w:val="both"/>
              <w:rPr>
                <w:rFonts w:ascii="宋体" w:eastAsia="宋体" w:hAnsi="宋体" w:cs="宋体"/>
                <w:sz w:val="21"/>
                <w:szCs w:val="21"/>
              </w:rPr>
            </w:pPr>
            <w:proofErr w:type="gramStart"/>
            <w:r>
              <w:rPr>
                <w:rFonts w:ascii="宋体" w:eastAsia="宋体" w:hAnsi="宋体" w:cs="宋体" w:hint="eastAsia"/>
                <w:sz w:val="21"/>
                <w:szCs w:val="21"/>
              </w:rPr>
              <w:t>西部利</w:t>
            </w:r>
            <w:proofErr w:type="gramEnd"/>
            <w:r>
              <w:rPr>
                <w:rFonts w:ascii="宋体" w:eastAsia="宋体" w:hAnsi="宋体" w:cs="宋体" w:hint="eastAsia"/>
                <w:sz w:val="21"/>
                <w:szCs w:val="21"/>
              </w:rPr>
              <w:t>得</w:t>
            </w:r>
            <w:r>
              <w:rPr>
                <w:rFonts w:ascii="宋体" w:eastAsia="宋体" w:hAnsi="宋体" w:cs="宋体" w:hint="eastAsia"/>
                <w:sz w:val="21"/>
                <w:szCs w:val="21"/>
              </w:rPr>
              <w:t xml:space="preserve"> </w:t>
            </w:r>
          </w:p>
          <w:p w14:paraId="722BBD7D" w14:textId="77777777" w:rsidR="000D3476" w:rsidRDefault="004116FA">
            <w:pPr>
              <w:pStyle w:val="TableParagraph"/>
              <w:spacing w:line="360" w:lineRule="auto"/>
              <w:jc w:val="both"/>
              <w:rPr>
                <w:rFonts w:ascii="宋体" w:eastAsia="宋体" w:hAnsi="宋体" w:cs="宋体"/>
                <w:sz w:val="21"/>
                <w:szCs w:val="21"/>
              </w:rPr>
            </w:pPr>
            <w:r>
              <w:rPr>
                <w:rFonts w:ascii="宋体" w:eastAsia="宋体" w:hAnsi="宋体" w:cs="宋体" w:hint="eastAsia"/>
                <w:sz w:val="21"/>
                <w:szCs w:val="21"/>
              </w:rPr>
              <w:t>国泰基金</w:t>
            </w:r>
            <w:r>
              <w:rPr>
                <w:rFonts w:ascii="宋体" w:eastAsia="宋体" w:hAnsi="宋体" w:cs="宋体" w:hint="eastAsia"/>
                <w:sz w:val="21"/>
                <w:szCs w:val="21"/>
              </w:rPr>
              <w:t xml:space="preserve"> </w:t>
            </w:r>
          </w:p>
          <w:p w14:paraId="0CA8910A" w14:textId="77777777" w:rsidR="000D3476" w:rsidRDefault="004116FA">
            <w:pPr>
              <w:pStyle w:val="TableParagraph"/>
              <w:spacing w:line="360" w:lineRule="auto"/>
              <w:jc w:val="both"/>
              <w:rPr>
                <w:rFonts w:ascii="宋体" w:eastAsia="宋体" w:hAnsi="宋体" w:cs="宋体"/>
                <w:sz w:val="21"/>
                <w:szCs w:val="21"/>
              </w:rPr>
            </w:pPr>
            <w:r>
              <w:rPr>
                <w:rFonts w:ascii="宋体" w:eastAsia="宋体" w:hAnsi="宋体" w:cs="宋体" w:hint="eastAsia"/>
                <w:sz w:val="21"/>
                <w:szCs w:val="21"/>
              </w:rPr>
              <w:t>浙江国信投资</w:t>
            </w:r>
            <w:r>
              <w:rPr>
                <w:rFonts w:ascii="宋体" w:eastAsia="宋体" w:hAnsi="宋体" w:cs="宋体" w:hint="eastAsia"/>
                <w:sz w:val="21"/>
                <w:szCs w:val="21"/>
              </w:rPr>
              <w:t xml:space="preserve"> </w:t>
            </w:r>
          </w:p>
          <w:p w14:paraId="600098E0" w14:textId="77777777" w:rsidR="000D3476" w:rsidRDefault="004116FA">
            <w:pPr>
              <w:pStyle w:val="TableParagraph"/>
              <w:spacing w:line="360" w:lineRule="auto"/>
              <w:jc w:val="both"/>
              <w:rPr>
                <w:rFonts w:ascii="宋体" w:eastAsia="宋体" w:hAnsi="宋体" w:cs="宋体"/>
                <w:sz w:val="21"/>
                <w:szCs w:val="21"/>
              </w:rPr>
            </w:pPr>
            <w:r>
              <w:rPr>
                <w:rFonts w:ascii="宋体" w:eastAsia="宋体" w:hAnsi="宋体" w:cs="宋体" w:hint="eastAsia"/>
                <w:sz w:val="21"/>
                <w:szCs w:val="21"/>
              </w:rPr>
              <w:t>乾瞻投资</w:t>
            </w:r>
          </w:p>
          <w:p w14:paraId="57CB9101" w14:textId="77777777" w:rsidR="000D3476" w:rsidRDefault="004116FA">
            <w:pPr>
              <w:pStyle w:val="TableParagraph"/>
              <w:spacing w:line="360" w:lineRule="auto"/>
              <w:jc w:val="both"/>
              <w:rPr>
                <w:rFonts w:ascii="宋体" w:eastAsia="宋体" w:hAnsi="宋体" w:cs="宋体"/>
                <w:sz w:val="21"/>
                <w:szCs w:val="21"/>
              </w:rPr>
            </w:pPr>
            <w:r>
              <w:rPr>
                <w:rFonts w:ascii="宋体" w:eastAsia="宋体" w:hAnsi="宋体" w:cs="宋体" w:hint="eastAsia"/>
                <w:sz w:val="21"/>
                <w:szCs w:val="21"/>
              </w:rPr>
              <w:t>富安达</w:t>
            </w:r>
            <w:r>
              <w:rPr>
                <w:rFonts w:ascii="宋体" w:eastAsia="宋体" w:hAnsi="宋体" w:cs="宋体" w:hint="eastAsia"/>
                <w:sz w:val="21"/>
                <w:szCs w:val="21"/>
              </w:rPr>
              <w:t xml:space="preserve"> </w:t>
            </w:r>
          </w:p>
          <w:p w14:paraId="7F87D3E8" w14:textId="77777777" w:rsidR="000D3476" w:rsidRDefault="004116FA">
            <w:pPr>
              <w:pStyle w:val="TableParagraph"/>
              <w:spacing w:line="360" w:lineRule="auto"/>
              <w:jc w:val="both"/>
              <w:rPr>
                <w:rFonts w:ascii="宋体" w:eastAsia="宋体" w:hAnsi="宋体" w:cs="宋体"/>
                <w:sz w:val="21"/>
                <w:szCs w:val="21"/>
              </w:rPr>
            </w:pPr>
            <w:r>
              <w:rPr>
                <w:rFonts w:ascii="宋体" w:eastAsia="宋体" w:hAnsi="宋体" w:cs="宋体" w:hint="eastAsia"/>
                <w:sz w:val="21"/>
                <w:szCs w:val="21"/>
              </w:rPr>
              <w:t>东方阿尔法</w:t>
            </w:r>
            <w:r>
              <w:rPr>
                <w:rFonts w:ascii="宋体" w:eastAsia="宋体" w:hAnsi="宋体" w:cs="宋体" w:hint="eastAsia"/>
                <w:sz w:val="21"/>
                <w:szCs w:val="21"/>
              </w:rPr>
              <w:t xml:space="preserve"> </w:t>
            </w:r>
          </w:p>
          <w:p w14:paraId="4503E36A" w14:textId="77777777" w:rsidR="000D3476" w:rsidRDefault="004116FA">
            <w:pPr>
              <w:pStyle w:val="TableParagraph"/>
              <w:spacing w:line="360" w:lineRule="auto"/>
              <w:jc w:val="both"/>
              <w:rPr>
                <w:rFonts w:ascii="宋体" w:eastAsia="宋体" w:hAnsi="宋体" w:cs="宋体"/>
                <w:sz w:val="21"/>
                <w:szCs w:val="21"/>
              </w:rPr>
            </w:pPr>
            <w:proofErr w:type="gramStart"/>
            <w:r>
              <w:rPr>
                <w:rFonts w:ascii="宋体" w:eastAsia="宋体" w:hAnsi="宋体" w:cs="宋体" w:hint="eastAsia"/>
                <w:sz w:val="21"/>
                <w:szCs w:val="21"/>
              </w:rPr>
              <w:t>湘禾投资</w:t>
            </w:r>
            <w:proofErr w:type="gramEnd"/>
            <w:r>
              <w:rPr>
                <w:rFonts w:ascii="宋体" w:eastAsia="宋体" w:hAnsi="宋体" w:cs="宋体" w:hint="eastAsia"/>
                <w:sz w:val="21"/>
                <w:szCs w:val="21"/>
              </w:rPr>
              <w:t xml:space="preserve"> </w:t>
            </w:r>
          </w:p>
          <w:p w14:paraId="27B8F5A7" w14:textId="77777777" w:rsidR="000D3476" w:rsidRDefault="004116FA">
            <w:pPr>
              <w:pStyle w:val="TableParagraph"/>
              <w:spacing w:line="360" w:lineRule="auto"/>
              <w:jc w:val="both"/>
              <w:rPr>
                <w:rFonts w:ascii="宋体" w:eastAsia="宋体" w:hAnsi="宋体" w:cs="宋体"/>
                <w:sz w:val="21"/>
                <w:szCs w:val="21"/>
              </w:rPr>
            </w:pPr>
            <w:r>
              <w:rPr>
                <w:rFonts w:ascii="宋体" w:eastAsia="宋体" w:hAnsi="宋体" w:cs="宋体" w:hint="eastAsia"/>
                <w:sz w:val="21"/>
                <w:szCs w:val="21"/>
              </w:rPr>
              <w:t>中原证券</w:t>
            </w:r>
            <w:r>
              <w:rPr>
                <w:rFonts w:ascii="宋体" w:eastAsia="宋体" w:hAnsi="宋体" w:cs="宋体" w:hint="eastAsia"/>
                <w:sz w:val="21"/>
                <w:szCs w:val="21"/>
              </w:rPr>
              <w:t xml:space="preserve"> </w:t>
            </w:r>
          </w:p>
          <w:p w14:paraId="70566F6C" w14:textId="77777777" w:rsidR="000D3476" w:rsidRDefault="004116FA">
            <w:pPr>
              <w:pStyle w:val="TableParagraph"/>
              <w:spacing w:line="360" w:lineRule="auto"/>
              <w:jc w:val="both"/>
              <w:rPr>
                <w:rFonts w:ascii="宋体" w:eastAsia="宋体" w:hAnsi="宋体" w:cs="宋体"/>
                <w:sz w:val="21"/>
                <w:szCs w:val="21"/>
              </w:rPr>
            </w:pPr>
            <w:r>
              <w:rPr>
                <w:rFonts w:ascii="宋体" w:eastAsia="宋体" w:hAnsi="宋体" w:cs="宋体" w:hint="eastAsia"/>
                <w:sz w:val="21"/>
                <w:szCs w:val="21"/>
              </w:rPr>
              <w:t>金之</w:t>
            </w:r>
            <w:r>
              <w:rPr>
                <w:rFonts w:ascii="宋体" w:eastAsia="宋体" w:hAnsi="宋体" w:cs="宋体" w:hint="eastAsia"/>
                <w:sz w:val="21"/>
                <w:szCs w:val="21"/>
                <w:lang w:val="en-US"/>
              </w:rPr>
              <w:t>灏</w:t>
            </w:r>
          </w:p>
          <w:p w14:paraId="281F30A3" w14:textId="77777777" w:rsidR="000D3476" w:rsidRDefault="004116FA">
            <w:pPr>
              <w:pStyle w:val="TableParagraph"/>
              <w:spacing w:line="360" w:lineRule="auto"/>
              <w:jc w:val="both"/>
              <w:rPr>
                <w:rFonts w:ascii="宋体" w:eastAsia="宋体" w:hAnsi="宋体" w:cs="宋体"/>
                <w:sz w:val="21"/>
                <w:szCs w:val="21"/>
              </w:rPr>
            </w:pPr>
            <w:r>
              <w:rPr>
                <w:rFonts w:ascii="宋体" w:eastAsia="宋体" w:hAnsi="宋体" w:cs="宋体" w:hint="eastAsia"/>
                <w:sz w:val="21"/>
                <w:szCs w:val="21"/>
              </w:rPr>
              <w:t>重阳投资</w:t>
            </w:r>
            <w:r>
              <w:rPr>
                <w:rFonts w:ascii="宋体" w:eastAsia="宋体" w:hAnsi="宋体" w:cs="宋体" w:hint="eastAsia"/>
                <w:sz w:val="21"/>
                <w:szCs w:val="21"/>
              </w:rPr>
              <w:t xml:space="preserve"> </w:t>
            </w:r>
          </w:p>
          <w:p w14:paraId="46EB0619" w14:textId="77777777" w:rsidR="000D3476" w:rsidRDefault="004116FA">
            <w:pPr>
              <w:pStyle w:val="TableParagraph"/>
              <w:spacing w:line="360" w:lineRule="auto"/>
              <w:jc w:val="both"/>
              <w:rPr>
                <w:rFonts w:ascii="宋体" w:eastAsia="宋体" w:hAnsi="宋体" w:cs="宋体"/>
                <w:sz w:val="21"/>
                <w:szCs w:val="21"/>
              </w:rPr>
            </w:pPr>
            <w:r>
              <w:rPr>
                <w:rFonts w:ascii="宋体" w:eastAsia="宋体" w:hAnsi="宋体" w:cs="宋体" w:hint="eastAsia"/>
                <w:sz w:val="21"/>
                <w:szCs w:val="21"/>
              </w:rPr>
              <w:t>俊</w:t>
            </w:r>
            <w:proofErr w:type="gramStart"/>
            <w:r>
              <w:rPr>
                <w:rFonts w:ascii="宋体" w:eastAsia="宋体" w:hAnsi="宋体" w:cs="宋体" w:hint="eastAsia"/>
                <w:sz w:val="21"/>
                <w:szCs w:val="21"/>
              </w:rPr>
              <w:t>皓</w:t>
            </w:r>
            <w:proofErr w:type="gramEnd"/>
            <w:r>
              <w:rPr>
                <w:rFonts w:ascii="宋体" w:eastAsia="宋体" w:hAnsi="宋体" w:cs="宋体" w:hint="eastAsia"/>
                <w:sz w:val="21"/>
                <w:szCs w:val="21"/>
              </w:rPr>
              <w:t>控股</w:t>
            </w:r>
            <w:r>
              <w:rPr>
                <w:rFonts w:ascii="宋体" w:eastAsia="宋体" w:hAnsi="宋体" w:cs="宋体" w:hint="eastAsia"/>
                <w:sz w:val="21"/>
                <w:szCs w:val="21"/>
              </w:rPr>
              <w:t xml:space="preserve"> </w:t>
            </w:r>
          </w:p>
          <w:p w14:paraId="6CE9CD62" w14:textId="77777777" w:rsidR="000D3476" w:rsidRDefault="004116FA">
            <w:pPr>
              <w:pStyle w:val="TableParagraph"/>
              <w:spacing w:line="360" w:lineRule="auto"/>
              <w:jc w:val="both"/>
              <w:rPr>
                <w:rFonts w:ascii="宋体" w:eastAsia="宋体" w:hAnsi="宋体" w:cs="宋体"/>
                <w:sz w:val="21"/>
                <w:szCs w:val="21"/>
              </w:rPr>
            </w:pPr>
            <w:r>
              <w:rPr>
                <w:rFonts w:ascii="宋体" w:eastAsia="宋体" w:hAnsi="宋体" w:cs="宋体" w:hint="eastAsia"/>
                <w:sz w:val="21"/>
                <w:szCs w:val="21"/>
              </w:rPr>
              <w:t>新华资产</w:t>
            </w:r>
            <w:r>
              <w:rPr>
                <w:rFonts w:ascii="宋体" w:eastAsia="宋体" w:hAnsi="宋体" w:cs="宋体" w:hint="eastAsia"/>
                <w:sz w:val="21"/>
                <w:szCs w:val="21"/>
              </w:rPr>
              <w:t xml:space="preserve"> </w:t>
            </w:r>
          </w:p>
          <w:p w14:paraId="760C54EA" w14:textId="77777777" w:rsidR="000D3476" w:rsidRDefault="004116FA">
            <w:pPr>
              <w:pStyle w:val="TableParagraph"/>
              <w:spacing w:line="360" w:lineRule="auto"/>
              <w:jc w:val="both"/>
              <w:rPr>
                <w:rFonts w:ascii="宋体" w:eastAsia="宋体" w:hAnsi="宋体" w:cs="宋体"/>
                <w:sz w:val="21"/>
                <w:szCs w:val="21"/>
              </w:rPr>
            </w:pPr>
            <w:r>
              <w:rPr>
                <w:rFonts w:ascii="宋体" w:eastAsia="宋体" w:hAnsi="宋体" w:cs="宋体" w:hint="eastAsia"/>
                <w:sz w:val="21"/>
                <w:szCs w:val="21"/>
              </w:rPr>
              <w:t>中</w:t>
            </w:r>
            <w:proofErr w:type="gramStart"/>
            <w:r>
              <w:rPr>
                <w:rFonts w:ascii="宋体" w:eastAsia="宋体" w:hAnsi="宋体" w:cs="宋体" w:hint="eastAsia"/>
                <w:sz w:val="21"/>
                <w:szCs w:val="21"/>
              </w:rPr>
              <w:t>金资管</w:t>
            </w:r>
            <w:proofErr w:type="gramEnd"/>
          </w:p>
          <w:p w14:paraId="36B6CF76" w14:textId="77777777" w:rsidR="000D3476" w:rsidRDefault="004116FA">
            <w:pPr>
              <w:pStyle w:val="TableParagraph"/>
              <w:spacing w:line="360" w:lineRule="auto"/>
              <w:jc w:val="both"/>
              <w:rPr>
                <w:rFonts w:ascii="宋体" w:eastAsia="宋体" w:hAnsi="宋体" w:cs="宋体"/>
                <w:sz w:val="21"/>
                <w:szCs w:val="21"/>
              </w:rPr>
            </w:pPr>
            <w:r>
              <w:rPr>
                <w:rFonts w:ascii="宋体" w:eastAsia="宋体" w:hAnsi="宋体" w:cs="宋体" w:hint="eastAsia"/>
                <w:sz w:val="21"/>
                <w:szCs w:val="21"/>
              </w:rPr>
              <w:t>卓戴资本</w:t>
            </w:r>
          </w:p>
          <w:p w14:paraId="525A2EF5" w14:textId="77777777" w:rsidR="000D3476" w:rsidRDefault="004116FA">
            <w:pPr>
              <w:pStyle w:val="TableParagraph"/>
              <w:spacing w:line="360" w:lineRule="auto"/>
              <w:jc w:val="both"/>
              <w:rPr>
                <w:rFonts w:ascii="宋体" w:eastAsia="宋体" w:hAnsi="宋体" w:cs="宋体"/>
                <w:sz w:val="21"/>
                <w:szCs w:val="21"/>
              </w:rPr>
            </w:pPr>
            <w:proofErr w:type="gramStart"/>
            <w:r>
              <w:rPr>
                <w:rFonts w:ascii="宋体" w:eastAsia="宋体" w:hAnsi="宋体" w:cs="宋体" w:hint="eastAsia"/>
                <w:sz w:val="21"/>
                <w:szCs w:val="21"/>
              </w:rPr>
              <w:t>华能贵诚信</w:t>
            </w:r>
            <w:proofErr w:type="gramEnd"/>
            <w:r>
              <w:rPr>
                <w:rFonts w:ascii="宋体" w:eastAsia="宋体" w:hAnsi="宋体" w:cs="宋体" w:hint="eastAsia"/>
                <w:sz w:val="21"/>
                <w:szCs w:val="21"/>
              </w:rPr>
              <w:t>托</w:t>
            </w:r>
          </w:p>
          <w:p w14:paraId="569796EB" w14:textId="77777777" w:rsidR="000D3476" w:rsidRDefault="004116FA">
            <w:pPr>
              <w:pStyle w:val="TableParagraph"/>
              <w:spacing w:line="360" w:lineRule="auto"/>
              <w:jc w:val="both"/>
              <w:rPr>
                <w:rFonts w:ascii="宋体" w:eastAsia="宋体" w:hAnsi="宋体" w:cs="宋体"/>
                <w:sz w:val="21"/>
                <w:szCs w:val="21"/>
              </w:rPr>
            </w:pPr>
            <w:proofErr w:type="gramStart"/>
            <w:r>
              <w:rPr>
                <w:rFonts w:ascii="宋体" w:eastAsia="宋体" w:hAnsi="宋体" w:cs="宋体" w:hint="eastAsia"/>
                <w:sz w:val="21"/>
                <w:szCs w:val="21"/>
              </w:rPr>
              <w:t>圆信永丰</w:t>
            </w:r>
            <w:proofErr w:type="gramEnd"/>
            <w:r>
              <w:rPr>
                <w:rFonts w:ascii="宋体" w:eastAsia="宋体" w:hAnsi="宋体" w:cs="宋体" w:hint="eastAsia"/>
                <w:sz w:val="21"/>
                <w:szCs w:val="21"/>
              </w:rPr>
              <w:t xml:space="preserve"> </w:t>
            </w:r>
          </w:p>
          <w:p w14:paraId="62180473" w14:textId="77777777" w:rsidR="000D3476" w:rsidRDefault="004116FA">
            <w:pPr>
              <w:pStyle w:val="TableParagraph"/>
              <w:spacing w:line="360" w:lineRule="auto"/>
              <w:jc w:val="both"/>
              <w:rPr>
                <w:rFonts w:ascii="宋体" w:eastAsia="宋体" w:hAnsi="宋体" w:cs="宋体"/>
                <w:sz w:val="21"/>
                <w:szCs w:val="21"/>
              </w:rPr>
            </w:pPr>
            <w:r>
              <w:rPr>
                <w:rFonts w:ascii="宋体" w:eastAsia="宋体" w:hAnsi="宋体" w:cs="宋体" w:hint="eastAsia"/>
                <w:sz w:val="21"/>
                <w:szCs w:val="21"/>
              </w:rPr>
              <w:t>华</w:t>
            </w:r>
            <w:proofErr w:type="gramStart"/>
            <w:r>
              <w:rPr>
                <w:rFonts w:ascii="宋体" w:eastAsia="宋体" w:hAnsi="宋体" w:cs="宋体" w:hint="eastAsia"/>
                <w:sz w:val="21"/>
                <w:szCs w:val="21"/>
              </w:rPr>
              <w:t>泰资管</w:t>
            </w:r>
            <w:proofErr w:type="gramEnd"/>
            <w:r>
              <w:rPr>
                <w:rFonts w:ascii="宋体" w:eastAsia="宋体" w:hAnsi="宋体" w:cs="宋体" w:hint="eastAsia"/>
                <w:sz w:val="21"/>
                <w:szCs w:val="21"/>
              </w:rPr>
              <w:t xml:space="preserve"> </w:t>
            </w:r>
          </w:p>
          <w:p w14:paraId="71232CAF" w14:textId="77777777" w:rsidR="000D3476" w:rsidRDefault="004116FA">
            <w:pPr>
              <w:pStyle w:val="TableParagraph"/>
              <w:spacing w:line="360" w:lineRule="auto"/>
              <w:jc w:val="both"/>
              <w:rPr>
                <w:rFonts w:ascii="宋体" w:eastAsia="宋体" w:hAnsi="宋体" w:cs="宋体"/>
                <w:sz w:val="21"/>
                <w:szCs w:val="21"/>
              </w:rPr>
            </w:pPr>
            <w:proofErr w:type="gramStart"/>
            <w:r>
              <w:rPr>
                <w:rFonts w:ascii="宋体" w:eastAsia="宋体" w:hAnsi="宋体" w:cs="宋体" w:hint="eastAsia"/>
                <w:sz w:val="21"/>
                <w:szCs w:val="21"/>
              </w:rPr>
              <w:t>汇证财经</w:t>
            </w:r>
            <w:proofErr w:type="gramEnd"/>
            <w:r>
              <w:rPr>
                <w:rFonts w:ascii="宋体" w:eastAsia="宋体" w:hAnsi="宋体" w:cs="宋体" w:hint="eastAsia"/>
                <w:sz w:val="21"/>
                <w:szCs w:val="21"/>
              </w:rPr>
              <w:t xml:space="preserve"> </w:t>
            </w:r>
          </w:p>
          <w:p w14:paraId="39CAEDD1" w14:textId="77777777" w:rsidR="000D3476" w:rsidRDefault="004116FA">
            <w:pPr>
              <w:pStyle w:val="TableParagraph"/>
              <w:spacing w:line="360" w:lineRule="auto"/>
              <w:jc w:val="both"/>
              <w:rPr>
                <w:rFonts w:ascii="宋体" w:eastAsia="宋体" w:hAnsi="宋体" w:cs="宋体"/>
                <w:sz w:val="21"/>
                <w:szCs w:val="21"/>
              </w:rPr>
            </w:pPr>
            <w:r>
              <w:rPr>
                <w:rFonts w:ascii="宋体" w:eastAsia="宋体" w:hAnsi="宋体" w:cs="宋体" w:hint="eastAsia"/>
                <w:sz w:val="21"/>
                <w:szCs w:val="21"/>
              </w:rPr>
              <w:t>光大保德信</w:t>
            </w:r>
          </w:p>
          <w:p w14:paraId="6A704EC0" w14:textId="77777777" w:rsidR="000D3476" w:rsidRDefault="004116FA">
            <w:pPr>
              <w:pStyle w:val="TableParagraph"/>
              <w:spacing w:line="360" w:lineRule="auto"/>
              <w:jc w:val="both"/>
              <w:rPr>
                <w:rFonts w:ascii="宋体" w:eastAsia="宋体" w:hAnsi="宋体" w:cs="宋体"/>
                <w:sz w:val="21"/>
                <w:szCs w:val="21"/>
              </w:rPr>
            </w:pPr>
            <w:r>
              <w:rPr>
                <w:rFonts w:ascii="宋体" w:eastAsia="宋体" w:hAnsi="宋体" w:cs="宋体" w:hint="eastAsia"/>
                <w:sz w:val="21"/>
                <w:szCs w:val="21"/>
              </w:rPr>
              <w:t>华</w:t>
            </w:r>
            <w:proofErr w:type="gramStart"/>
            <w:r>
              <w:rPr>
                <w:rFonts w:ascii="宋体" w:eastAsia="宋体" w:hAnsi="宋体" w:cs="宋体" w:hint="eastAsia"/>
                <w:sz w:val="21"/>
                <w:szCs w:val="21"/>
              </w:rPr>
              <w:t>福证券</w:t>
            </w:r>
            <w:proofErr w:type="gramEnd"/>
          </w:p>
        </w:tc>
      </w:tr>
      <w:tr w:rsidR="000D3476" w14:paraId="4FCFBF04" w14:textId="77777777">
        <w:trPr>
          <w:trHeight w:val="558"/>
          <w:jc w:val="center"/>
        </w:trPr>
        <w:tc>
          <w:tcPr>
            <w:tcW w:w="2377" w:type="dxa"/>
            <w:vAlign w:val="center"/>
          </w:tcPr>
          <w:p w14:paraId="55D3FACB" w14:textId="77777777" w:rsidR="000D3476" w:rsidRDefault="004116FA">
            <w:pPr>
              <w:pStyle w:val="TableParagraph"/>
              <w:spacing w:before="1"/>
              <w:ind w:left="107"/>
              <w:rPr>
                <w:rFonts w:ascii="宋体" w:eastAsia="宋体" w:hAnsi="宋体" w:cs="宋体"/>
                <w:sz w:val="21"/>
                <w:szCs w:val="21"/>
              </w:rPr>
            </w:pPr>
            <w:r>
              <w:rPr>
                <w:rFonts w:ascii="宋体" w:eastAsia="宋体" w:hAnsi="宋体" w:cs="宋体" w:hint="eastAsia"/>
                <w:sz w:val="21"/>
                <w:szCs w:val="21"/>
              </w:rPr>
              <w:lastRenderedPageBreak/>
              <w:t>时间</w:t>
            </w:r>
          </w:p>
        </w:tc>
        <w:tc>
          <w:tcPr>
            <w:tcW w:w="6148" w:type="dxa"/>
            <w:vAlign w:val="center"/>
          </w:tcPr>
          <w:p w14:paraId="40491C4E" w14:textId="77777777" w:rsidR="000D3476" w:rsidRDefault="004116FA">
            <w:pPr>
              <w:pStyle w:val="TableParagraph"/>
              <w:rPr>
                <w:rFonts w:ascii="宋体" w:eastAsia="宋体" w:hAnsi="宋体" w:cs="宋体"/>
                <w:sz w:val="21"/>
                <w:szCs w:val="21"/>
              </w:rPr>
            </w:pPr>
            <w:r>
              <w:rPr>
                <w:rFonts w:ascii="宋体" w:eastAsia="宋体" w:hAnsi="宋体" w:cs="宋体" w:hint="eastAsia"/>
                <w:sz w:val="21"/>
                <w:szCs w:val="21"/>
              </w:rPr>
              <w:t>202</w:t>
            </w:r>
            <w:r>
              <w:rPr>
                <w:rFonts w:ascii="宋体" w:eastAsia="宋体" w:hAnsi="宋体" w:cs="宋体" w:hint="eastAsia"/>
                <w:sz w:val="21"/>
                <w:szCs w:val="21"/>
                <w:lang w:val="en-US"/>
              </w:rPr>
              <w:t>6</w:t>
            </w:r>
            <w:r>
              <w:rPr>
                <w:rFonts w:ascii="宋体" w:eastAsia="宋体" w:hAnsi="宋体" w:cs="宋体" w:hint="eastAsia"/>
                <w:sz w:val="21"/>
                <w:szCs w:val="21"/>
              </w:rPr>
              <w:t>年</w:t>
            </w:r>
            <w:r>
              <w:rPr>
                <w:rFonts w:ascii="宋体" w:eastAsia="宋体" w:hAnsi="宋体" w:cs="宋体" w:hint="eastAsia"/>
                <w:sz w:val="21"/>
                <w:szCs w:val="21"/>
                <w:lang w:val="en-US"/>
              </w:rPr>
              <w:t>3</w:t>
            </w:r>
            <w:r>
              <w:rPr>
                <w:rFonts w:ascii="宋体" w:eastAsia="宋体" w:hAnsi="宋体" w:cs="宋体" w:hint="eastAsia"/>
                <w:sz w:val="21"/>
                <w:szCs w:val="21"/>
              </w:rPr>
              <w:t>月</w:t>
            </w:r>
            <w:r>
              <w:rPr>
                <w:rFonts w:ascii="宋体" w:eastAsia="宋体" w:hAnsi="宋体" w:cs="宋体" w:hint="eastAsia"/>
                <w:sz w:val="21"/>
                <w:szCs w:val="21"/>
                <w:lang w:val="en-US"/>
              </w:rPr>
              <w:t>20</w:t>
            </w:r>
            <w:r>
              <w:rPr>
                <w:rFonts w:ascii="宋体" w:eastAsia="宋体" w:hAnsi="宋体" w:cs="宋体" w:hint="eastAsia"/>
                <w:sz w:val="21"/>
                <w:szCs w:val="21"/>
              </w:rPr>
              <w:t>日</w:t>
            </w:r>
          </w:p>
        </w:tc>
      </w:tr>
      <w:tr w:rsidR="000D3476" w14:paraId="7D7A49EB" w14:textId="77777777">
        <w:trPr>
          <w:trHeight w:val="561"/>
          <w:jc w:val="center"/>
        </w:trPr>
        <w:tc>
          <w:tcPr>
            <w:tcW w:w="2377" w:type="dxa"/>
            <w:vAlign w:val="center"/>
          </w:tcPr>
          <w:p w14:paraId="7A719E4D" w14:textId="77777777" w:rsidR="000D3476" w:rsidRDefault="004116FA">
            <w:pPr>
              <w:pStyle w:val="TableParagraph"/>
              <w:ind w:left="107"/>
              <w:rPr>
                <w:rFonts w:ascii="宋体" w:eastAsia="宋体" w:hAnsi="宋体" w:cs="宋体"/>
                <w:sz w:val="21"/>
                <w:szCs w:val="21"/>
              </w:rPr>
            </w:pPr>
            <w:r>
              <w:rPr>
                <w:rFonts w:ascii="宋体" w:eastAsia="宋体" w:hAnsi="宋体" w:cs="宋体" w:hint="eastAsia"/>
                <w:sz w:val="21"/>
                <w:szCs w:val="21"/>
              </w:rPr>
              <w:t>地点、形式</w:t>
            </w:r>
          </w:p>
        </w:tc>
        <w:tc>
          <w:tcPr>
            <w:tcW w:w="6148" w:type="dxa"/>
            <w:vAlign w:val="center"/>
          </w:tcPr>
          <w:p w14:paraId="73D2EA7A" w14:textId="77777777" w:rsidR="000D3476" w:rsidRDefault="004116FA">
            <w:pPr>
              <w:pStyle w:val="TableParagraph"/>
              <w:rPr>
                <w:rFonts w:ascii="宋体" w:eastAsia="宋体" w:hAnsi="宋体" w:cs="宋体"/>
                <w:sz w:val="21"/>
                <w:szCs w:val="21"/>
              </w:rPr>
            </w:pPr>
            <w:r>
              <w:rPr>
                <w:rFonts w:ascii="宋体" w:eastAsia="宋体" w:hAnsi="宋体" w:cs="宋体"/>
                <w:sz w:val="21"/>
                <w:szCs w:val="21"/>
              </w:rPr>
              <w:t>投资者交流会</w:t>
            </w:r>
          </w:p>
        </w:tc>
      </w:tr>
      <w:tr w:rsidR="000D3476" w14:paraId="25730F3D" w14:textId="77777777">
        <w:trPr>
          <w:trHeight w:val="824"/>
          <w:jc w:val="center"/>
        </w:trPr>
        <w:tc>
          <w:tcPr>
            <w:tcW w:w="2377" w:type="dxa"/>
            <w:vAlign w:val="center"/>
          </w:tcPr>
          <w:p w14:paraId="69A78EE7" w14:textId="77777777" w:rsidR="000D3476" w:rsidRDefault="004116FA">
            <w:pPr>
              <w:pStyle w:val="TableParagraph"/>
              <w:spacing w:before="1"/>
              <w:ind w:left="107"/>
              <w:rPr>
                <w:rFonts w:ascii="宋体" w:eastAsia="宋体" w:hAnsi="宋体" w:cs="宋体"/>
                <w:sz w:val="21"/>
              </w:rPr>
            </w:pPr>
            <w:r>
              <w:rPr>
                <w:rFonts w:ascii="宋体" w:eastAsia="宋体" w:hAnsi="宋体" w:cs="宋体" w:hint="eastAsia"/>
                <w:sz w:val="21"/>
              </w:rPr>
              <w:t>上市公司接待人员姓名</w:t>
            </w:r>
          </w:p>
        </w:tc>
        <w:tc>
          <w:tcPr>
            <w:tcW w:w="6148" w:type="dxa"/>
            <w:vAlign w:val="center"/>
          </w:tcPr>
          <w:p w14:paraId="5C22285B" w14:textId="77777777" w:rsidR="000D3476" w:rsidRDefault="004116FA">
            <w:pPr>
              <w:pStyle w:val="TableParagraph"/>
              <w:rPr>
                <w:rFonts w:ascii="宋体" w:eastAsia="宋体" w:hAnsi="宋体" w:cs="宋体"/>
                <w:sz w:val="21"/>
                <w:szCs w:val="21"/>
                <w:lang w:val="en-US"/>
              </w:rPr>
            </w:pPr>
            <w:r>
              <w:rPr>
                <w:rFonts w:ascii="宋体" w:eastAsia="宋体" w:hAnsi="宋体" w:cs="宋体" w:hint="eastAsia"/>
                <w:sz w:val="21"/>
                <w:szCs w:val="21"/>
                <w:lang w:val="en-US"/>
              </w:rPr>
              <w:t>董事长：姚成志；董事会秘书：应高峰</w:t>
            </w:r>
            <w:r>
              <w:rPr>
                <w:rFonts w:ascii="宋体" w:eastAsia="宋体" w:hAnsi="宋体" w:cs="宋体" w:hint="eastAsia"/>
                <w:sz w:val="21"/>
                <w:szCs w:val="21"/>
                <w:lang w:val="en-US"/>
              </w:rPr>
              <w:t>；</w:t>
            </w:r>
            <w:r>
              <w:rPr>
                <w:rFonts w:ascii="宋体" w:eastAsia="宋体" w:hAnsi="宋体" w:cs="宋体" w:hint="eastAsia"/>
                <w:sz w:val="21"/>
                <w:szCs w:val="21"/>
                <w:lang w:val="en-US"/>
              </w:rPr>
              <w:t>投资者关系负责人：温霖炜</w:t>
            </w:r>
          </w:p>
        </w:tc>
      </w:tr>
      <w:tr w:rsidR="000D3476" w14:paraId="74B6F805" w14:textId="77777777">
        <w:trPr>
          <w:trHeight w:val="2800"/>
          <w:jc w:val="center"/>
        </w:trPr>
        <w:tc>
          <w:tcPr>
            <w:tcW w:w="2377" w:type="dxa"/>
            <w:vAlign w:val="center"/>
          </w:tcPr>
          <w:p w14:paraId="29E3D84A" w14:textId="77777777" w:rsidR="000D3476" w:rsidRDefault="004116FA">
            <w:pPr>
              <w:pStyle w:val="TableParagraph"/>
              <w:spacing w:before="1" w:line="499" w:lineRule="auto"/>
              <w:ind w:left="107" w:right="96"/>
              <w:rPr>
                <w:rFonts w:ascii="宋体" w:eastAsia="宋体" w:hAnsi="宋体" w:cs="宋体"/>
                <w:sz w:val="21"/>
              </w:rPr>
            </w:pPr>
            <w:r>
              <w:rPr>
                <w:rFonts w:ascii="宋体" w:eastAsia="宋体" w:hAnsi="宋体" w:cs="宋体" w:hint="eastAsia"/>
                <w:sz w:val="21"/>
              </w:rPr>
              <w:t>投资者关系活动</w:t>
            </w:r>
          </w:p>
          <w:p w14:paraId="2CA7F165" w14:textId="77777777" w:rsidR="000D3476" w:rsidRDefault="004116FA">
            <w:pPr>
              <w:pStyle w:val="TableParagraph"/>
              <w:spacing w:before="1" w:line="499" w:lineRule="auto"/>
              <w:ind w:left="107" w:right="96"/>
              <w:rPr>
                <w:rFonts w:ascii="宋体" w:eastAsia="宋体" w:hAnsi="宋体" w:cs="宋体"/>
                <w:sz w:val="21"/>
              </w:rPr>
            </w:pPr>
            <w:r>
              <w:rPr>
                <w:rFonts w:ascii="宋体" w:eastAsia="宋体" w:hAnsi="宋体" w:cs="宋体" w:hint="eastAsia"/>
                <w:sz w:val="21"/>
              </w:rPr>
              <w:t>主要内容介绍</w:t>
            </w:r>
          </w:p>
        </w:tc>
        <w:tc>
          <w:tcPr>
            <w:tcW w:w="6148" w:type="dxa"/>
            <w:vAlign w:val="center"/>
          </w:tcPr>
          <w:p w14:paraId="10E448B4" w14:textId="77777777" w:rsidR="000D3476" w:rsidRDefault="000D3476">
            <w:pPr>
              <w:rPr>
                <w:lang w:val="en-US"/>
              </w:rPr>
            </w:pPr>
          </w:p>
          <w:p w14:paraId="53F32CB2" w14:textId="77777777" w:rsidR="000D3476" w:rsidRDefault="004116FA">
            <w:pPr>
              <w:pStyle w:val="TableParagraph"/>
              <w:spacing w:line="360" w:lineRule="auto"/>
              <w:rPr>
                <w:lang w:val="en-US"/>
              </w:rPr>
            </w:pPr>
            <w:r>
              <w:rPr>
                <w:rFonts w:hint="eastAsia"/>
                <w:b/>
                <w:bCs/>
              </w:rPr>
              <w:t>公司</w:t>
            </w:r>
            <w:r>
              <w:rPr>
                <w:rFonts w:hint="eastAsia"/>
                <w:b/>
                <w:bCs/>
                <w:lang w:val="en-US"/>
              </w:rPr>
              <w:t>主营业务概述</w:t>
            </w:r>
          </w:p>
          <w:p w14:paraId="2BB439AF" w14:textId="77777777" w:rsidR="000D3476" w:rsidRDefault="004116FA">
            <w:pPr>
              <w:pStyle w:val="TableParagraph"/>
              <w:spacing w:line="360" w:lineRule="auto"/>
            </w:pPr>
            <w:r>
              <w:rPr>
                <w:rFonts w:hint="eastAsia"/>
                <w:lang w:val="en-US"/>
              </w:rPr>
              <w:t>原料药制剂</w:t>
            </w:r>
            <w:r>
              <w:rPr>
                <w:rFonts w:hint="eastAsia"/>
              </w:rPr>
              <w:t>一体化转型成功</w:t>
            </w:r>
            <w:r>
              <w:rPr>
                <w:rFonts w:hint="eastAsia"/>
              </w:rPr>
              <w:t>，</w:t>
            </w:r>
            <w:r>
              <w:rPr>
                <w:rFonts w:hint="eastAsia"/>
              </w:rPr>
              <w:t>产业链一体化优势在俄</w:t>
            </w:r>
            <w:proofErr w:type="gramStart"/>
            <w:r>
              <w:rPr>
                <w:rFonts w:hint="eastAsia"/>
              </w:rPr>
              <w:t>乌战争</w:t>
            </w:r>
            <w:proofErr w:type="gramEnd"/>
            <w:r>
              <w:rPr>
                <w:rFonts w:hint="eastAsia"/>
              </w:rPr>
              <w:t>中彰显交付能力与品质保证能力，国际伙伴担忧供应时持续保障供应，赢得良好口碑</w:t>
            </w:r>
            <w:r>
              <w:rPr>
                <w:rFonts w:hint="eastAsia"/>
              </w:rPr>
              <w:t>，</w:t>
            </w:r>
            <w:r>
              <w:rPr>
                <w:rFonts w:hint="eastAsia"/>
              </w:rPr>
              <w:t>集</w:t>
            </w:r>
            <w:proofErr w:type="gramStart"/>
            <w:r>
              <w:rPr>
                <w:rFonts w:hint="eastAsia"/>
              </w:rPr>
              <w:t>采</w:t>
            </w:r>
            <w:r>
              <w:rPr>
                <w:rFonts w:hint="eastAsia"/>
                <w:lang w:val="en-US"/>
              </w:rPr>
              <w:t>政策</w:t>
            </w:r>
            <w:proofErr w:type="gramEnd"/>
            <w:r>
              <w:rPr>
                <w:rFonts w:hint="eastAsia"/>
              </w:rPr>
              <w:t>后市场份额明显上升。</w:t>
            </w:r>
          </w:p>
          <w:p w14:paraId="281815B5" w14:textId="77777777" w:rsidR="000D3476" w:rsidRDefault="004116FA">
            <w:pPr>
              <w:pStyle w:val="TableParagraph"/>
              <w:spacing w:line="360" w:lineRule="auto"/>
            </w:pPr>
            <w:r>
              <w:rPr>
                <w:rFonts w:hint="eastAsia"/>
              </w:rPr>
              <w:t>未来三大战略方向：</w:t>
            </w:r>
          </w:p>
          <w:p w14:paraId="456710C2" w14:textId="77777777" w:rsidR="000D3476" w:rsidRDefault="004116FA">
            <w:pPr>
              <w:pStyle w:val="TableParagraph"/>
              <w:spacing w:line="360" w:lineRule="auto"/>
            </w:pPr>
            <w:r>
              <w:rPr>
                <w:rFonts w:hint="eastAsia"/>
              </w:rPr>
              <w:t>–</w:t>
            </w:r>
            <w:r>
              <w:rPr>
                <w:rFonts w:hint="eastAsia"/>
              </w:rPr>
              <w:t xml:space="preserve"> </w:t>
            </w:r>
            <w:r>
              <w:rPr>
                <w:rFonts w:hint="eastAsia"/>
              </w:rPr>
              <w:t>国际化：从原料药出海转向产品国际化，制剂收入中国际化占比已较高；计划</w:t>
            </w:r>
            <w:r>
              <w:rPr>
                <w:rFonts w:hint="eastAsia"/>
                <w:lang w:val="en-US"/>
              </w:rPr>
              <w:t>推动制剂出海战略</w:t>
            </w:r>
            <w:r>
              <w:rPr>
                <w:rFonts w:hint="eastAsia"/>
              </w:rPr>
              <w:t>；已在</w:t>
            </w:r>
            <w:r>
              <w:rPr>
                <w:rFonts w:hint="eastAsia"/>
                <w:lang w:val="en-US"/>
              </w:rPr>
              <w:t>多</w:t>
            </w:r>
            <w:r>
              <w:rPr>
                <w:rFonts w:hint="eastAsia"/>
              </w:rPr>
              <w:t>个</w:t>
            </w:r>
            <w:r>
              <w:rPr>
                <w:rFonts w:hint="eastAsia"/>
                <w:lang w:val="en-US"/>
              </w:rPr>
              <w:t>海外</w:t>
            </w:r>
            <w:r>
              <w:rPr>
                <w:rFonts w:hint="eastAsia"/>
              </w:rPr>
              <w:t>国家布局推进产品、品牌、渠道、团队国际化。</w:t>
            </w:r>
          </w:p>
          <w:p w14:paraId="6085FC61" w14:textId="77777777" w:rsidR="000D3476" w:rsidRDefault="004116FA">
            <w:pPr>
              <w:pStyle w:val="TableParagraph"/>
              <w:spacing w:line="360" w:lineRule="auto"/>
            </w:pPr>
            <w:r>
              <w:rPr>
                <w:rFonts w:hint="eastAsia"/>
              </w:rPr>
              <w:t>–</w:t>
            </w:r>
            <w:r>
              <w:rPr>
                <w:rFonts w:hint="eastAsia"/>
              </w:rPr>
              <w:t xml:space="preserve"> </w:t>
            </w:r>
            <w:r>
              <w:rPr>
                <w:rFonts w:hint="eastAsia"/>
              </w:rPr>
              <w:t>高端化：布局高端脂质体（如</w:t>
            </w:r>
            <w:proofErr w:type="gramStart"/>
            <w:r>
              <w:rPr>
                <w:rFonts w:hint="eastAsia"/>
              </w:rPr>
              <w:t>多柔比</w:t>
            </w:r>
            <w:proofErr w:type="gramEnd"/>
            <w:r>
              <w:rPr>
                <w:rFonts w:hint="eastAsia"/>
              </w:rPr>
              <w:t>星脂质体）等高端技术，靶向肿瘤部位，聚焦慢病肿瘤领域；已锁定合作伙伴及其深耕十年的工业基础技术（纳米</w:t>
            </w:r>
            <w:r>
              <w:rPr>
                <w:rFonts w:hint="eastAsia"/>
                <w:lang w:val="en-US"/>
              </w:rPr>
              <w:t>晶</w:t>
            </w:r>
            <w:r>
              <w:rPr>
                <w:rFonts w:hint="eastAsia"/>
              </w:rPr>
              <w:t>、长效微球、脂质体等）。</w:t>
            </w:r>
          </w:p>
          <w:p w14:paraId="2B217CB0" w14:textId="77777777" w:rsidR="000D3476" w:rsidRDefault="004116FA">
            <w:pPr>
              <w:pStyle w:val="TableParagraph"/>
              <w:spacing w:line="360" w:lineRule="auto"/>
            </w:pPr>
            <w:r>
              <w:rPr>
                <w:rFonts w:hint="eastAsia"/>
              </w:rPr>
              <w:t>–</w:t>
            </w:r>
            <w:r>
              <w:rPr>
                <w:rFonts w:hint="eastAsia"/>
              </w:rPr>
              <w:t xml:space="preserve"> </w:t>
            </w:r>
            <w:r>
              <w:rPr>
                <w:rFonts w:hint="eastAsia"/>
              </w:rPr>
              <w:t>创新化：通过核心总部</w:t>
            </w:r>
            <w:r>
              <w:rPr>
                <w:rFonts w:hint="eastAsia"/>
              </w:rPr>
              <w:t>孵化载体孵化创新业态，</w:t>
            </w:r>
            <w:r>
              <w:rPr>
                <w:rFonts w:hint="eastAsia"/>
                <w:lang w:val="en-US"/>
              </w:rPr>
              <w:t>JH389</w:t>
            </w:r>
            <w:r>
              <w:rPr>
                <w:rFonts w:hint="eastAsia"/>
                <w:lang w:val="en-US"/>
              </w:rPr>
              <w:t>大健康领域以及小</w:t>
            </w:r>
            <w:r>
              <w:rPr>
                <w:rFonts w:hint="eastAsia"/>
              </w:rPr>
              <w:t>核酸</w:t>
            </w:r>
            <w:r>
              <w:rPr>
                <w:rFonts w:hint="eastAsia"/>
                <w:lang w:val="en-US"/>
              </w:rPr>
              <w:t>药物</w:t>
            </w:r>
            <w:r>
              <w:rPr>
                <w:rFonts w:hint="eastAsia"/>
              </w:rPr>
              <w:t>领域并取得进展。</w:t>
            </w:r>
          </w:p>
          <w:p w14:paraId="31EF4BAE" w14:textId="77777777" w:rsidR="000D3476" w:rsidRDefault="000D3476">
            <w:pPr>
              <w:pStyle w:val="TableParagraph"/>
              <w:spacing w:line="360" w:lineRule="auto"/>
            </w:pPr>
          </w:p>
          <w:p w14:paraId="65F990B6" w14:textId="77777777" w:rsidR="000D3476" w:rsidRDefault="004116FA">
            <w:pPr>
              <w:pStyle w:val="TableParagraph"/>
              <w:spacing w:line="360" w:lineRule="auto"/>
              <w:rPr>
                <w:b/>
                <w:bCs/>
              </w:rPr>
            </w:pPr>
            <w:r>
              <w:rPr>
                <w:rFonts w:hint="eastAsia"/>
                <w:b/>
                <w:bCs/>
              </w:rPr>
              <w:t>JH389</w:t>
            </w:r>
            <w:r>
              <w:rPr>
                <w:rFonts w:hint="eastAsia"/>
                <w:b/>
                <w:bCs/>
              </w:rPr>
              <w:t>项目情况介绍</w:t>
            </w:r>
          </w:p>
          <w:p w14:paraId="6DA6932C" w14:textId="77777777" w:rsidR="000D3476" w:rsidRDefault="000D3476">
            <w:pPr>
              <w:pStyle w:val="TableParagraph"/>
              <w:spacing w:line="360" w:lineRule="auto"/>
            </w:pPr>
          </w:p>
          <w:p w14:paraId="251AAA45" w14:textId="77777777" w:rsidR="000D3476" w:rsidRDefault="004116FA" w:rsidP="003B3BB4">
            <w:pPr>
              <w:pStyle w:val="TableParagraph"/>
              <w:numPr>
                <w:ilvl w:val="255"/>
                <w:numId w:val="0"/>
              </w:numPr>
              <w:spacing w:line="360" w:lineRule="auto"/>
            </w:pPr>
            <w:r>
              <w:rPr>
                <w:rFonts w:hint="eastAsia"/>
              </w:rPr>
              <w:t>•</w:t>
            </w:r>
            <w:r>
              <w:rPr>
                <w:rFonts w:hint="eastAsia"/>
              </w:rPr>
              <w:t xml:space="preserve">  </w:t>
            </w:r>
            <w:r>
              <w:rPr>
                <w:rFonts w:hint="eastAsia"/>
              </w:rPr>
              <w:t>市场背景：</w:t>
            </w:r>
          </w:p>
          <w:p w14:paraId="5668DCBC" w14:textId="77777777" w:rsidR="000D3476" w:rsidRDefault="004116FA">
            <w:pPr>
              <w:pStyle w:val="TableParagraph"/>
              <w:spacing w:line="360" w:lineRule="auto"/>
            </w:pPr>
            <w:r>
              <w:rPr>
                <w:rFonts w:hint="eastAsia"/>
              </w:rPr>
              <w:t>–</w:t>
            </w:r>
            <w:r>
              <w:rPr>
                <w:rFonts w:hint="eastAsia"/>
                <w:lang w:val="en-US"/>
              </w:rPr>
              <w:t>根据</w:t>
            </w:r>
            <w:r>
              <w:rPr>
                <w:rFonts w:hint="eastAsia"/>
              </w:rPr>
              <w:t>《</w:t>
            </w:r>
            <w:r>
              <w:rPr>
                <w:rFonts w:hint="eastAsia"/>
                <w:lang w:val="en-US"/>
              </w:rPr>
              <w:t>2025</w:t>
            </w:r>
            <w:r>
              <w:rPr>
                <w:rFonts w:hint="eastAsia"/>
                <w:lang w:val="en-US"/>
              </w:rPr>
              <w:t>世界肥胖报告》的叙述，</w:t>
            </w:r>
            <w:r>
              <w:rPr>
                <w:rFonts w:hint="eastAsia"/>
              </w:rPr>
              <w:t>全球超重趋势愈演愈烈，</w:t>
            </w:r>
            <w:r>
              <w:rPr>
                <w:rFonts w:hint="eastAsia"/>
              </w:rPr>
              <w:t>2030</w:t>
            </w:r>
            <w:r>
              <w:rPr>
                <w:rFonts w:hint="eastAsia"/>
              </w:rPr>
              <w:t>年预计</w:t>
            </w:r>
            <w:r>
              <w:rPr>
                <w:rFonts w:hint="eastAsia"/>
              </w:rPr>
              <w:t>50%</w:t>
            </w:r>
            <w:r>
              <w:rPr>
                <w:rFonts w:hint="eastAsia"/>
              </w:rPr>
              <w:t>成年人</w:t>
            </w:r>
            <w:r>
              <w:rPr>
                <w:rFonts w:hint="eastAsia"/>
                <w:lang w:val="en-US"/>
              </w:rPr>
              <w:t>高</w:t>
            </w:r>
            <w:r>
              <w:rPr>
                <w:rFonts w:hint="eastAsia"/>
                <w:lang w:val="en-US"/>
              </w:rPr>
              <w:t>BMI</w:t>
            </w:r>
            <w:r>
              <w:rPr>
                <w:rFonts w:hint="eastAsia"/>
              </w:rPr>
              <w:t>（</w:t>
            </w:r>
            <w:proofErr w:type="spellStart"/>
            <w:r>
              <w:rPr>
                <w:rFonts w:hint="eastAsia"/>
                <w:lang w:val="en-US"/>
              </w:rPr>
              <w:t>BMI</w:t>
            </w:r>
            <w:proofErr w:type="spellEnd"/>
            <w:r>
              <w:rPr>
                <w:rFonts w:hint="eastAsia"/>
              </w:rPr>
              <w:t>≥</w:t>
            </w:r>
            <w:r>
              <w:rPr>
                <w:rFonts w:hint="eastAsia"/>
                <w:lang w:val="en-US"/>
              </w:rPr>
              <w:t>25,</w:t>
            </w:r>
            <w:r>
              <w:rPr>
                <w:rFonts w:hint="eastAsia"/>
              </w:rPr>
              <w:t>超</w:t>
            </w:r>
            <w:r>
              <w:rPr>
                <w:rFonts w:hint="eastAsia"/>
              </w:rPr>
              <w:t>29</w:t>
            </w:r>
            <w:r>
              <w:rPr>
                <w:rFonts w:hint="eastAsia"/>
              </w:rPr>
              <w:t>亿），其中</w:t>
            </w:r>
            <w:r>
              <w:rPr>
                <w:rFonts w:hint="eastAsia"/>
                <w:lang w:val="en-US"/>
              </w:rPr>
              <w:t>约</w:t>
            </w:r>
            <w:r>
              <w:rPr>
                <w:rFonts w:hint="eastAsia"/>
              </w:rPr>
              <w:t>11</w:t>
            </w:r>
            <w:r>
              <w:rPr>
                <w:rFonts w:hint="eastAsia"/>
              </w:rPr>
              <w:t>亿肥胖（</w:t>
            </w:r>
            <w:r>
              <w:rPr>
                <w:rFonts w:hint="eastAsia"/>
              </w:rPr>
              <w:t>BMI</w:t>
            </w:r>
            <w:r>
              <w:rPr>
                <w:rFonts w:hint="eastAsia"/>
              </w:rPr>
              <w:t>≥</w:t>
            </w:r>
            <w:r>
              <w:rPr>
                <w:rFonts w:hint="eastAsia"/>
              </w:rPr>
              <w:t>30</w:t>
            </w:r>
            <w:r>
              <w:rPr>
                <w:rFonts w:hint="eastAsia"/>
              </w:rPr>
              <w:t>）；中高收入群体是主要</w:t>
            </w:r>
            <w:r>
              <w:rPr>
                <w:rFonts w:hint="eastAsia"/>
                <w:lang w:val="en-US"/>
              </w:rPr>
              <w:t>高</w:t>
            </w:r>
            <w:r>
              <w:rPr>
                <w:rFonts w:hint="eastAsia"/>
                <w:lang w:val="en-US"/>
              </w:rPr>
              <w:t>BMI</w:t>
            </w:r>
            <w:r>
              <w:rPr>
                <w:rFonts w:hint="eastAsia"/>
              </w:rPr>
              <w:t>人群，</w:t>
            </w:r>
            <w:r>
              <w:rPr>
                <w:rFonts w:hint="eastAsia"/>
              </w:rPr>
              <w:t>2015</w:t>
            </w:r>
            <w:r>
              <w:rPr>
                <w:rFonts w:hint="eastAsia"/>
              </w:rPr>
              <w:t>年中高收入</w:t>
            </w:r>
            <w:r>
              <w:rPr>
                <w:rFonts w:hint="eastAsia"/>
                <w:lang w:val="en-US"/>
              </w:rPr>
              <w:t>高</w:t>
            </w:r>
            <w:r>
              <w:rPr>
                <w:rFonts w:hint="eastAsia"/>
                <w:lang w:val="en-US"/>
              </w:rPr>
              <w:t>BMI</w:t>
            </w:r>
            <w:r>
              <w:rPr>
                <w:rFonts w:hint="eastAsia"/>
              </w:rPr>
              <w:t>人群</w:t>
            </w:r>
            <w:r>
              <w:rPr>
                <w:rFonts w:hint="eastAsia"/>
                <w:lang w:val="en-US"/>
              </w:rPr>
              <w:t>1</w:t>
            </w:r>
            <w:r>
              <w:rPr>
                <w:rFonts w:hint="eastAsia"/>
              </w:rPr>
              <w:t>3.8</w:t>
            </w:r>
            <w:r>
              <w:rPr>
                <w:rFonts w:hint="eastAsia"/>
              </w:rPr>
              <w:t>亿，</w:t>
            </w:r>
            <w:r>
              <w:rPr>
                <w:rFonts w:hint="eastAsia"/>
              </w:rPr>
              <w:t>2030</w:t>
            </w:r>
            <w:r>
              <w:rPr>
                <w:rFonts w:hint="eastAsia"/>
              </w:rPr>
              <w:t>年预计达</w:t>
            </w:r>
            <w:r>
              <w:rPr>
                <w:rFonts w:hint="eastAsia"/>
              </w:rPr>
              <w:t>18.8</w:t>
            </w:r>
            <w:r>
              <w:rPr>
                <w:rFonts w:hint="eastAsia"/>
              </w:rPr>
              <w:t>亿</w:t>
            </w:r>
            <w:r>
              <w:rPr>
                <w:rFonts w:hint="eastAsia"/>
              </w:rPr>
              <w:t>。《</w:t>
            </w:r>
            <w:r>
              <w:rPr>
                <w:rFonts w:hint="eastAsia"/>
                <w:lang w:val="en-US"/>
              </w:rPr>
              <w:t>2025</w:t>
            </w:r>
            <w:r>
              <w:rPr>
                <w:rFonts w:hint="eastAsia"/>
                <w:lang w:val="en-US"/>
              </w:rPr>
              <w:t>世界肥胖报告》</w:t>
            </w:r>
          </w:p>
          <w:p w14:paraId="237693C0" w14:textId="77777777" w:rsidR="000D3476" w:rsidRDefault="004116FA">
            <w:pPr>
              <w:pStyle w:val="TableParagraph"/>
              <w:spacing w:line="360" w:lineRule="auto"/>
            </w:pPr>
            <w:r>
              <w:rPr>
                <w:rFonts w:hint="eastAsia"/>
              </w:rPr>
              <w:t>•</w:t>
            </w:r>
            <w:r>
              <w:rPr>
                <w:rFonts w:hint="eastAsia"/>
              </w:rPr>
              <w:t xml:space="preserve">  </w:t>
            </w:r>
            <w:r>
              <w:rPr>
                <w:rFonts w:hint="eastAsia"/>
              </w:rPr>
              <w:t>产品定位：安全、有效的</w:t>
            </w:r>
            <w:r>
              <w:rPr>
                <w:rFonts w:hint="eastAsia"/>
                <w:lang w:val="en-US"/>
              </w:rPr>
              <w:t>非药型</w:t>
            </w:r>
            <w:r>
              <w:rPr>
                <w:rFonts w:hint="eastAsia"/>
                <w:lang w:val="en-US"/>
              </w:rPr>
              <w:t>GLP-1</w:t>
            </w:r>
            <w:r>
              <w:rPr>
                <w:rFonts w:hint="eastAsia"/>
                <w:lang w:val="en-US"/>
              </w:rPr>
              <w:t>产品（</w:t>
            </w:r>
            <w:r>
              <w:rPr>
                <w:rFonts w:hint="eastAsia"/>
              </w:rPr>
              <w:t>膳食补充剂、</w:t>
            </w:r>
            <w:r>
              <w:rPr>
                <w:rFonts w:hint="eastAsia"/>
                <w:lang w:val="en-US"/>
              </w:rPr>
              <w:t>保健品、</w:t>
            </w:r>
            <w:r>
              <w:rPr>
                <w:rFonts w:hint="eastAsia"/>
              </w:rPr>
              <w:t>功能性食品、新食品</w:t>
            </w:r>
            <w:r>
              <w:rPr>
                <w:rFonts w:hint="eastAsia"/>
              </w:rPr>
              <w:t>）</w:t>
            </w:r>
            <w:r>
              <w:rPr>
                <w:rFonts w:hint="eastAsia"/>
              </w:rPr>
              <w:t>，目标人群</w:t>
            </w:r>
            <w:r>
              <w:rPr>
                <w:rFonts w:hint="eastAsia"/>
                <w:lang w:val="en-US"/>
              </w:rPr>
              <w:t>包括</w:t>
            </w:r>
            <w:r>
              <w:rPr>
                <w:rFonts w:hint="eastAsia"/>
                <w:lang w:val="en-US"/>
              </w:rPr>
              <w:t>GLP-1</w:t>
            </w:r>
            <w:r>
              <w:rPr>
                <w:rFonts w:hint="eastAsia"/>
                <w:lang w:val="en-US"/>
              </w:rPr>
              <w:t>类药物</w:t>
            </w:r>
            <w:r>
              <w:rPr>
                <w:rFonts w:hint="eastAsia"/>
              </w:rPr>
              <w:t>停药反弹</w:t>
            </w:r>
            <w:r>
              <w:rPr>
                <w:rFonts w:hint="eastAsia"/>
                <w:lang w:val="en-US"/>
              </w:rPr>
              <w:t>患者</w:t>
            </w:r>
            <w:r>
              <w:rPr>
                <w:rFonts w:hint="eastAsia"/>
              </w:rPr>
              <w:t>、</w:t>
            </w:r>
            <w:r>
              <w:rPr>
                <w:rFonts w:hint="eastAsia"/>
                <w:lang w:val="en-US"/>
              </w:rPr>
              <w:t>抵触</w:t>
            </w:r>
            <w:r>
              <w:rPr>
                <w:rFonts w:hint="eastAsia"/>
              </w:rPr>
              <w:t>打针</w:t>
            </w:r>
            <w:r>
              <w:rPr>
                <w:rFonts w:hint="eastAsia"/>
                <w:lang w:val="en-US"/>
              </w:rPr>
              <w:t>或</w:t>
            </w:r>
            <w:r>
              <w:rPr>
                <w:rFonts w:hint="eastAsia"/>
              </w:rPr>
              <w:t>吃药的</w:t>
            </w:r>
            <w:r>
              <w:rPr>
                <w:rFonts w:hint="eastAsia"/>
                <w:lang w:val="en-US"/>
              </w:rPr>
              <w:t>超重</w:t>
            </w:r>
            <w:r>
              <w:rPr>
                <w:rFonts w:hint="eastAsia"/>
              </w:rPr>
              <w:t>人群</w:t>
            </w:r>
            <w:r>
              <w:rPr>
                <w:rFonts w:hint="eastAsia"/>
              </w:rPr>
              <w:t>、</w:t>
            </w:r>
            <w:r>
              <w:rPr>
                <w:rFonts w:hint="eastAsia"/>
                <w:lang w:val="en-US"/>
              </w:rPr>
              <w:t>热衷减肥产品的尝新用户等。这类</w:t>
            </w:r>
            <w:r>
              <w:rPr>
                <w:rFonts w:hint="eastAsia"/>
              </w:rPr>
              <w:t>“</w:t>
            </w:r>
            <w:r>
              <w:rPr>
                <w:rFonts w:hint="eastAsia"/>
              </w:rPr>
              <w:t>健康焦虑</w:t>
            </w:r>
            <w:r>
              <w:rPr>
                <w:rFonts w:hint="eastAsia"/>
                <w:lang w:val="en-US"/>
              </w:rPr>
              <w:t>人群”在全球范围内基数巨</w:t>
            </w:r>
            <w:r>
              <w:rPr>
                <w:rFonts w:hint="eastAsia"/>
              </w:rPr>
              <w:t>大</w:t>
            </w:r>
            <w:r>
              <w:rPr>
                <w:rFonts w:hint="eastAsia"/>
              </w:rPr>
              <w:t>，</w:t>
            </w:r>
            <w:r>
              <w:rPr>
                <w:rFonts w:hint="eastAsia"/>
              </w:rPr>
              <w:t>且付费意愿强</w:t>
            </w:r>
            <w:r>
              <w:rPr>
                <w:rFonts w:hint="eastAsia"/>
                <w:lang w:val="en-US"/>
              </w:rPr>
              <w:t>烈</w:t>
            </w:r>
            <w:r>
              <w:rPr>
                <w:rFonts w:hint="eastAsia"/>
              </w:rPr>
              <w:t>；非药</w:t>
            </w:r>
            <w:r>
              <w:rPr>
                <w:rFonts w:hint="eastAsia"/>
                <w:lang w:val="en-US"/>
              </w:rPr>
              <w:t>产品</w:t>
            </w:r>
            <w:r>
              <w:rPr>
                <w:rFonts w:hint="eastAsia"/>
              </w:rPr>
              <w:t>有更大</w:t>
            </w:r>
            <w:r>
              <w:rPr>
                <w:rFonts w:hint="eastAsia"/>
                <w:lang w:val="en-US"/>
              </w:rPr>
              <w:t>的</w:t>
            </w:r>
            <w:r>
              <w:rPr>
                <w:rFonts w:hint="eastAsia"/>
              </w:rPr>
              <w:t>定价自由度和渠道灵活性</w:t>
            </w:r>
            <w:r>
              <w:rPr>
                <w:rFonts w:hint="eastAsia"/>
              </w:rPr>
              <w:t>；</w:t>
            </w:r>
            <w:r>
              <w:rPr>
                <w:rFonts w:hint="eastAsia"/>
                <w:lang w:val="en-US"/>
              </w:rPr>
              <w:t>与传统药企的布局</w:t>
            </w:r>
            <w:r>
              <w:rPr>
                <w:rFonts w:hint="eastAsia"/>
              </w:rPr>
              <w:t>错位竞争，</w:t>
            </w:r>
            <w:r>
              <w:rPr>
                <w:rFonts w:hint="eastAsia"/>
                <w:lang w:val="en-US"/>
              </w:rPr>
              <w:t>与药物产品互补，</w:t>
            </w:r>
            <w:r>
              <w:rPr>
                <w:rFonts w:hint="eastAsia"/>
              </w:rPr>
              <w:t>覆盖大部分需求人群。</w:t>
            </w:r>
          </w:p>
          <w:p w14:paraId="0C6AF44A" w14:textId="77777777" w:rsidR="000D3476" w:rsidRDefault="004116FA">
            <w:pPr>
              <w:pStyle w:val="TableParagraph"/>
              <w:spacing w:line="360" w:lineRule="auto"/>
            </w:pPr>
            <w:r>
              <w:rPr>
                <w:rFonts w:hint="eastAsia"/>
              </w:rPr>
              <w:t>•</w:t>
            </w:r>
            <w:r>
              <w:rPr>
                <w:rFonts w:hint="eastAsia"/>
              </w:rPr>
              <w:t xml:space="preserve"> </w:t>
            </w:r>
            <w:r>
              <w:rPr>
                <w:rFonts w:hint="eastAsia"/>
              </w:rPr>
              <w:t>研发历程：</w:t>
            </w:r>
          </w:p>
          <w:p w14:paraId="03E77BC4" w14:textId="77777777" w:rsidR="000D3476" w:rsidRDefault="004116FA">
            <w:pPr>
              <w:pStyle w:val="TableParagraph"/>
              <w:spacing w:line="360" w:lineRule="auto"/>
            </w:pPr>
            <w:r>
              <w:rPr>
                <w:rFonts w:hint="eastAsia"/>
              </w:rPr>
              <w:t>–</w:t>
            </w:r>
            <w:r>
              <w:rPr>
                <w:rFonts w:hint="eastAsia"/>
              </w:rPr>
              <w:t xml:space="preserve"> </w:t>
            </w:r>
            <w:r>
              <w:rPr>
                <w:rFonts w:hint="eastAsia"/>
              </w:rPr>
              <w:t>血药浓度</w:t>
            </w:r>
            <w:r>
              <w:rPr>
                <w:rFonts w:hint="eastAsia"/>
                <w:lang w:val="en-US"/>
              </w:rPr>
              <w:t>水平</w:t>
            </w:r>
            <w:r>
              <w:rPr>
                <w:rFonts w:hint="eastAsia"/>
              </w:rPr>
              <w:t>（</w:t>
            </w:r>
            <w:r>
              <w:rPr>
                <w:rFonts w:hint="eastAsia"/>
                <w:lang w:val="en-US"/>
              </w:rPr>
              <w:t>小鼠）</w:t>
            </w:r>
            <w:r>
              <w:rPr>
                <w:rFonts w:hint="eastAsia"/>
              </w:rPr>
              <w:t>对标主流</w:t>
            </w:r>
            <w:r>
              <w:rPr>
                <w:rFonts w:hint="eastAsia"/>
              </w:rPr>
              <w:t>GLP-1</w:t>
            </w:r>
            <w:r>
              <w:rPr>
                <w:rFonts w:hint="eastAsia"/>
              </w:rPr>
              <w:t>类似物；</w:t>
            </w:r>
          </w:p>
          <w:p w14:paraId="48C7DC19" w14:textId="77777777" w:rsidR="000D3476" w:rsidRDefault="004116FA">
            <w:pPr>
              <w:pStyle w:val="TableParagraph"/>
              <w:spacing w:line="360" w:lineRule="auto"/>
            </w:pPr>
            <w:r>
              <w:rPr>
                <w:rFonts w:hint="eastAsia"/>
              </w:rPr>
              <w:t>–小样本初步人体</w:t>
            </w:r>
            <w:r>
              <w:rPr>
                <w:rFonts w:hint="eastAsia"/>
                <w:lang w:val="en-US"/>
              </w:rPr>
              <w:t>反馈显示减重</w:t>
            </w:r>
            <w:r>
              <w:rPr>
                <w:rFonts w:hint="eastAsia"/>
              </w:rPr>
              <w:t>和耐受性良好；</w:t>
            </w:r>
          </w:p>
          <w:p w14:paraId="2C9394A9" w14:textId="77777777" w:rsidR="000D3476" w:rsidRDefault="004116FA">
            <w:pPr>
              <w:pStyle w:val="TableParagraph"/>
              <w:spacing w:line="360" w:lineRule="auto"/>
            </w:pPr>
            <w:r>
              <w:rPr>
                <w:rFonts w:hint="eastAsia"/>
              </w:rPr>
              <w:t>–</w:t>
            </w:r>
            <w:r>
              <w:rPr>
                <w:rFonts w:hint="eastAsia"/>
              </w:rPr>
              <w:t>2025</w:t>
            </w:r>
            <w:r>
              <w:rPr>
                <w:rFonts w:hint="eastAsia"/>
              </w:rPr>
              <w:t>年</w:t>
            </w:r>
            <w:r>
              <w:rPr>
                <w:rFonts w:hint="eastAsia"/>
              </w:rPr>
              <w:t>6</w:t>
            </w:r>
            <w:r>
              <w:rPr>
                <w:rFonts w:hint="eastAsia"/>
              </w:rPr>
              <w:t>月</w:t>
            </w:r>
            <w:r>
              <w:rPr>
                <w:rFonts w:hint="eastAsia"/>
              </w:rPr>
              <w:t>，</w:t>
            </w:r>
            <w:r>
              <w:rPr>
                <w:rFonts w:hint="eastAsia"/>
                <w:lang w:val="en-US"/>
              </w:rPr>
              <w:t>高脂饮食（</w:t>
            </w:r>
            <w:r>
              <w:rPr>
                <w:rFonts w:hint="eastAsia"/>
                <w:lang w:val="en-US"/>
              </w:rPr>
              <w:t>HFD</w:t>
            </w:r>
            <w:r>
              <w:rPr>
                <w:rFonts w:hint="eastAsia"/>
                <w:lang w:val="en-US"/>
              </w:rPr>
              <w:t>）</w:t>
            </w:r>
            <w:r>
              <w:rPr>
                <w:rFonts w:hint="eastAsia"/>
              </w:rPr>
              <w:t>动物</w:t>
            </w:r>
            <w:proofErr w:type="gramStart"/>
            <w:r>
              <w:rPr>
                <w:rFonts w:hint="eastAsia"/>
              </w:rPr>
              <w:t>模型获积极</w:t>
            </w:r>
            <w:proofErr w:type="gramEnd"/>
            <w:r>
              <w:rPr>
                <w:rFonts w:hint="eastAsia"/>
              </w:rPr>
              <w:t>数据，并在</w:t>
            </w:r>
            <w:r>
              <w:rPr>
                <w:rFonts w:hint="eastAsia"/>
                <w:lang w:val="en-US"/>
              </w:rPr>
              <w:t>CHINAGUT</w:t>
            </w:r>
            <w:r>
              <w:rPr>
                <w:rFonts w:hint="eastAsia"/>
              </w:rPr>
              <w:t>展示；</w:t>
            </w:r>
          </w:p>
          <w:p w14:paraId="3673FFDF" w14:textId="77777777" w:rsidR="000D3476" w:rsidRDefault="004116FA">
            <w:pPr>
              <w:pStyle w:val="TableParagraph"/>
              <w:spacing w:line="360" w:lineRule="auto"/>
            </w:pPr>
            <w:r>
              <w:rPr>
                <w:rFonts w:hint="eastAsia"/>
              </w:rPr>
              <w:t>–同年与一家</w:t>
            </w:r>
            <w:r>
              <w:rPr>
                <w:rFonts w:hint="eastAsia"/>
                <w:lang w:val="en-US"/>
              </w:rPr>
              <w:t>头部</w:t>
            </w:r>
            <w:r>
              <w:rPr>
                <w:rFonts w:hint="eastAsia"/>
              </w:rPr>
              <w:t>意大利益生</w:t>
            </w:r>
            <w:proofErr w:type="gramStart"/>
            <w:r>
              <w:rPr>
                <w:rFonts w:hint="eastAsia"/>
              </w:rPr>
              <w:t>菌企业</w:t>
            </w:r>
            <w:proofErr w:type="gramEnd"/>
            <w:r>
              <w:rPr>
                <w:rFonts w:hint="eastAsia"/>
              </w:rPr>
              <w:t>达成了一项合作协议，旨在进行产品注册</w:t>
            </w:r>
            <w:r>
              <w:rPr>
                <w:rFonts w:hint="eastAsia"/>
              </w:rPr>
              <w:t>、配方改良以及必要的研究活动</w:t>
            </w:r>
            <w:r>
              <w:rPr>
                <w:rFonts w:hint="eastAsia"/>
              </w:rPr>
              <w:t>(</w:t>
            </w:r>
            <w:r>
              <w:rPr>
                <w:rFonts w:hint="eastAsia"/>
              </w:rPr>
              <w:t>销售区域仅限于意大利、圣马力诺和梵蒂冈城</w:t>
            </w:r>
            <w:r>
              <w:rPr>
                <w:rFonts w:hint="eastAsia"/>
              </w:rPr>
              <w:t>)</w:t>
            </w:r>
            <w:r>
              <w:rPr>
                <w:rFonts w:hint="eastAsia"/>
              </w:rPr>
              <w:t>。产品功效已获得合作方认可，目前正在试验收尾阶段，待完整材料齐备后提交欧洲食品安全局</w:t>
            </w:r>
            <w:r>
              <w:rPr>
                <w:rFonts w:hint="eastAsia"/>
              </w:rPr>
              <w:t>(EFSA)</w:t>
            </w:r>
            <w:r>
              <w:rPr>
                <w:rFonts w:hint="eastAsia"/>
              </w:rPr>
              <w:t>；</w:t>
            </w:r>
          </w:p>
          <w:p w14:paraId="5BDC060F" w14:textId="77777777" w:rsidR="000D3476" w:rsidRDefault="004116FA">
            <w:pPr>
              <w:pStyle w:val="TableParagraph"/>
              <w:spacing w:line="360" w:lineRule="auto"/>
            </w:pPr>
            <w:r>
              <w:rPr>
                <w:rFonts w:hint="eastAsia"/>
              </w:rPr>
              <w:t>–</w:t>
            </w:r>
            <w:r>
              <w:rPr>
                <w:rFonts w:hint="eastAsia"/>
              </w:rPr>
              <w:t xml:space="preserve"> </w:t>
            </w:r>
            <w:r>
              <w:rPr>
                <w:rFonts w:hint="eastAsia"/>
                <w:lang w:val="en-US"/>
              </w:rPr>
              <w:t>在中国开展了</w:t>
            </w:r>
            <w:r>
              <w:rPr>
                <w:rFonts w:hint="eastAsia"/>
              </w:rPr>
              <w:t>8</w:t>
            </w:r>
            <w:r>
              <w:rPr>
                <w:rFonts w:hint="eastAsia"/>
              </w:rPr>
              <w:t>周的</w:t>
            </w:r>
            <w:r>
              <w:rPr>
                <w:rFonts w:hint="eastAsia"/>
                <w:lang w:val="en-US"/>
              </w:rPr>
              <w:t>小型</w:t>
            </w:r>
            <w:r>
              <w:rPr>
                <w:rFonts w:hint="eastAsia"/>
              </w:rPr>
              <w:t>人体试食试验。</w:t>
            </w:r>
          </w:p>
          <w:p w14:paraId="5F7CBED2" w14:textId="77777777" w:rsidR="000D3476" w:rsidRDefault="000D3476">
            <w:pPr>
              <w:pStyle w:val="TableParagraph"/>
              <w:spacing w:line="360" w:lineRule="auto"/>
            </w:pPr>
          </w:p>
          <w:p w14:paraId="37B98C88" w14:textId="77777777" w:rsidR="000D3476" w:rsidRDefault="004116FA">
            <w:pPr>
              <w:pStyle w:val="TableParagraph"/>
              <w:spacing w:line="360" w:lineRule="auto"/>
            </w:pPr>
            <w:r>
              <w:rPr>
                <w:rFonts w:hint="eastAsia"/>
              </w:rPr>
              <w:t>•</w:t>
            </w:r>
            <w:r>
              <w:rPr>
                <w:rFonts w:hint="eastAsia"/>
              </w:rPr>
              <w:t xml:space="preserve">  </w:t>
            </w:r>
            <w:r>
              <w:rPr>
                <w:rFonts w:hint="eastAsia"/>
              </w:rPr>
              <w:t>人体试食试验</w:t>
            </w:r>
          </w:p>
          <w:p w14:paraId="2A20F658" w14:textId="77777777" w:rsidR="000D3476" w:rsidRDefault="004116FA">
            <w:pPr>
              <w:pStyle w:val="TableParagraph"/>
              <w:spacing w:line="360" w:lineRule="auto"/>
            </w:pPr>
            <w:r>
              <w:rPr>
                <w:rFonts w:hint="eastAsia"/>
              </w:rPr>
              <w:t>【</w:t>
            </w:r>
            <w:r>
              <w:rPr>
                <w:rFonts w:hint="eastAsia"/>
              </w:rPr>
              <w:t xml:space="preserve">JH389 </w:t>
            </w:r>
            <w:r>
              <w:rPr>
                <w:rFonts w:hint="eastAsia"/>
              </w:rPr>
              <w:t>试验设计】</w:t>
            </w:r>
          </w:p>
          <w:p w14:paraId="73E562A0" w14:textId="77777777" w:rsidR="000D3476" w:rsidRDefault="004116FA">
            <w:pPr>
              <w:pStyle w:val="TableParagraph"/>
              <w:spacing w:line="360" w:lineRule="auto"/>
            </w:pPr>
            <w:r>
              <w:rPr>
                <w:rFonts w:hint="eastAsia"/>
              </w:rPr>
              <w:t>研究标题</w:t>
            </w:r>
            <w:r>
              <w:rPr>
                <w:rFonts w:hint="eastAsia"/>
              </w:rPr>
              <w:t>：</w:t>
            </w:r>
            <w:r>
              <w:rPr>
                <w:rFonts w:hint="eastAsia"/>
              </w:rPr>
              <w:t>益生菌胶囊产品有助于控制体内脂肪（不替代主食）的有效性和安全性研究</w:t>
            </w:r>
          </w:p>
          <w:p w14:paraId="4ACC7579" w14:textId="77777777" w:rsidR="000D3476" w:rsidRDefault="004116FA">
            <w:pPr>
              <w:pStyle w:val="TableParagraph"/>
              <w:spacing w:line="360" w:lineRule="auto"/>
            </w:pPr>
            <w:r>
              <w:rPr>
                <w:rFonts w:hint="eastAsia"/>
              </w:rPr>
              <w:t>研究设计</w:t>
            </w:r>
            <w:r>
              <w:rPr>
                <w:rFonts w:hint="eastAsia"/>
              </w:rPr>
              <w:t>：</w:t>
            </w:r>
            <w:r>
              <w:rPr>
                <w:rFonts w:hint="eastAsia"/>
              </w:rPr>
              <w:t>单中心、开放、自身对照人体试食试验</w:t>
            </w:r>
          </w:p>
          <w:p w14:paraId="5E5810F0" w14:textId="77777777" w:rsidR="000D3476" w:rsidRDefault="004116FA">
            <w:pPr>
              <w:pStyle w:val="TableParagraph"/>
              <w:spacing w:line="360" w:lineRule="auto"/>
            </w:pPr>
            <w:r>
              <w:rPr>
                <w:rFonts w:hint="eastAsia"/>
              </w:rPr>
              <w:t>试验周期</w:t>
            </w:r>
            <w:r>
              <w:rPr>
                <w:rFonts w:hint="eastAsia"/>
              </w:rPr>
              <w:t>：</w:t>
            </w:r>
            <w:r>
              <w:rPr>
                <w:rFonts w:hint="eastAsia"/>
              </w:rPr>
              <w:t>8</w:t>
            </w:r>
            <w:r>
              <w:rPr>
                <w:rFonts w:hint="eastAsia"/>
              </w:rPr>
              <w:t>周</w:t>
            </w:r>
          </w:p>
          <w:p w14:paraId="4312B5A5" w14:textId="77777777" w:rsidR="000D3476" w:rsidRDefault="004116FA">
            <w:pPr>
              <w:pStyle w:val="TableParagraph"/>
              <w:spacing w:line="360" w:lineRule="auto"/>
            </w:pPr>
            <w:r>
              <w:rPr>
                <w:rFonts w:hint="eastAsia"/>
              </w:rPr>
              <w:t>样本量</w:t>
            </w:r>
            <w:r>
              <w:rPr>
                <w:rFonts w:hint="eastAsia"/>
              </w:rPr>
              <w:t>：</w:t>
            </w:r>
            <w:r>
              <w:rPr>
                <w:rFonts w:hint="eastAsia"/>
              </w:rPr>
              <w:t>入组</w:t>
            </w:r>
            <w:r>
              <w:rPr>
                <w:rFonts w:hint="eastAsia"/>
              </w:rPr>
              <w:t>28</w:t>
            </w:r>
            <w:r>
              <w:rPr>
                <w:rFonts w:hint="eastAsia"/>
              </w:rPr>
              <w:t>例，完成</w:t>
            </w:r>
            <w:r>
              <w:rPr>
                <w:rFonts w:hint="eastAsia"/>
              </w:rPr>
              <w:t>28</w:t>
            </w:r>
            <w:r>
              <w:rPr>
                <w:rFonts w:hint="eastAsia"/>
              </w:rPr>
              <w:t>例，脱落率</w:t>
            </w:r>
            <w:r>
              <w:rPr>
                <w:rFonts w:hint="eastAsia"/>
              </w:rPr>
              <w:t>0%</w:t>
            </w:r>
          </w:p>
          <w:p w14:paraId="7E61C3CF" w14:textId="77777777" w:rsidR="000D3476" w:rsidRDefault="004116FA">
            <w:pPr>
              <w:pStyle w:val="TableParagraph"/>
              <w:spacing w:line="360" w:lineRule="auto"/>
            </w:pPr>
            <w:r>
              <w:rPr>
                <w:rFonts w:hint="eastAsia"/>
                <w:lang w:val="en-US"/>
              </w:rPr>
              <w:t>干预措施：</w:t>
            </w:r>
            <w:r>
              <w:rPr>
                <w:rFonts w:hint="eastAsia"/>
              </w:rPr>
              <w:t>每天</w:t>
            </w:r>
            <w:r>
              <w:rPr>
                <w:rFonts w:hint="eastAsia"/>
              </w:rPr>
              <w:t>1</w:t>
            </w:r>
            <w:r>
              <w:rPr>
                <w:rFonts w:hint="eastAsia"/>
              </w:rPr>
              <w:t>次，每次</w:t>
            </w:r>
            <w:r>
              <w:rPr>
                <w:rFonts w:hint="eastAsia"/>
              </w:rPr>
              <w:t>2</w:t>
            </w:r>
            <w:r>
              <w:rPr>
                <w:rFonts w:hint="eastAsia"/>
              </w:rPr>
              <w:t>粒（</w:t>
            </w:r>
            <w:r>
              <w:rPr>
                <w:rFonts w:hint="eastAsia"/>
              </w:rPr>
              <w:t>250mg/</w:t>
            </w:r>
            <w:r>
              <w:rPr>
                <w:rFonts w:hint="eastAsia"/>
              </w:rPr>
              <w:t>粒），连续服用</w:t>
            </w:r>
            <w:r>
              <w:rPr>
                <w:rFonts w:hint="eastAsia"/>
              </w:rPr>
              <w:t>8</w:t>
            </w:r>
            <w:r>
              <w:rPr>
                <w:rFonts w:hint="eastAsia"/>
              </w:rPr>
              <w:t>周</w:t>
            </w:r>
          </w:p>
          <w:p w14:paraId="3903D09B" w14:textId="77777777" w:rsidR="000D3476" w:rsidRDefault="004116FA">
            <w:pPr>
              <w:pStyle w:val="TableParagraph"/>
              <w:spacing w:line="360" w:lineRule="auto"/>
            </w:pPr>
            <w:r>
              <w:rPr>
                <w:rFonts w:hint="eastAsia"/>
              </w:rPr>
              <w:t>研究人群</w:t>
            </w:r>
            <w:r>
              <w:rPr>
                <w:rFonts w:hint="eastAsia"/>
              </w:rPr>
              <w:t>：</w:t>
            </w:r>
            <w:r>
              <w:rPr>
                <w:rFonts w:hint="eastAsia"/>
              </w:rPr>
              <w:t>单纯性肥胖人群，成人</w:t>
            </w:r>
            <w:r>
              <w:rPr>
                <w:rFonts w:hint="eastAsia"/>
              </w:rPr>
              <w:t>BMI</w:t>
            </w:r>
            <w:r>
              <w:rPr>
                <w:rFonts w:hint="eastAsia"/>
              </w:rPr>
              <w:t>≥</w:t>
            </w:r>
            <w:r>
              <w:rPr>
                <w:rFonts w:hint="eastAsia"/>
              </w:rPr>
              <w:t>28</w:t>
            </w:r>
            <w:r>
              <w:rPr>
                <w:rFonts w:hint="eastAsia"/>
              </w:rPr>
              <w:t>，或总脂肪百分率达到男≥</w:t>
            </w:r>
            <w:r>
              <w:rPr>
                <w:rFonts w:hint="eastAsia"/>
              </w:rPr>
              <w:t>25%</w:t>
            </w:r>
            <w:r>
              <w:rPr>
                <w:rFonts w:hint="eastAsia"/>
              </w:rPr>
              <w:t>，女≥</w:t>
            </w:r>
            <w:r>
              <w:rPr>
                <w:rFonts w:hint="eastAsia"/>
              </w:rPr>
              <w:t>30%</w:t>
            </w:r>
          </w:p>
          <w:p w14:paraId="3DBFF96E" w14:textId="77777777" w:rsidR="000D3476" w:rsidRDefault="004116FA">
            <w:pPr>
              <w:pStyle w:val="TableParagraph"/>
              <w:spacing w:line="360" w:lineRule="auto"/>
            </w:pPr>
            <w:r>
              <w:rPr>
                <w:rFonts w:hint="eastAsia"/>
              </w:rPr>
              <w:t>主要研究指标：体重、体内脂肪总量、脂肪占比、皮下脂肪厚度、体质指数（</w:t>
            </w:r>
            <w:r>
              <w:rPr>
                <w:rFonts w:hint="eastAsia"/>
              </w:rPr>
              <w:t>BMI</w:t>
            </w:r>
            <w:r>
              <w:rPr>
                <w:rFonts w:hint="eastAsia"/>
              </w:rPr>
              <w:t>）、超重度、血糖相关指标、血脂四项、生活质量调查量表（</w:t>
            </w:r>
            <w:r>
              <w:rPr>
                <w:rFonts w:hint="eastAsia"/>
              </w:rPr>
              <w:t>SF-36</w:t>
            </w:r>
            <w:r>
              <w:rPr>
                <w:rFonts w:hint="eastAsia"/>
              </w:rPr>
              <w:t>）、粪便肠道菌群</w:t>
            </w:r>
            <w:r>
              <w:rPr>
                <w:rFonts w:hint="eastAsia"/>
              </w:rPr>
              <w:t>16SrDNA</w:t>
            </w:r>
            <w:r>
              <w:rPr>
                <w:rFonts w:hint="eastAsia"/>
              </w:rPr>
              <w:t>检测等</w:t>
            </w:r>
          </w:p>
          <w:p w14:paraId="3583A478" w14:textId="77777777" w:rsidR="000D3476" w:rsidRDefault="000D3476">
            <w:pPr>
              <w:pStyle w:val="TableParagraph"/>
              <w:spacing w:line="360" w:lineRule="auto"/>
            </w:pPr>
          </w:p>
          <w:p w14:paraId="44E7B690" w14:textId="77777777" w:rsidR="000D3476" w:rsidRDefault="004116FA">
            <w:pPr>
              <w:pStyle w:val="TableParagraph"/>
              <w:spacing w:line="360" w:lineRule="auto"/>
            </w:pPr>
            <w:r>
              <w:rPr>
                <w:rFonts w:hint="eastAsia"/>
              </w:rPr>
              <w:t>【</w:t>
            </w:r>
            <w:r>
              <w:rPr>
                <w:rFonts w:hint="eastAsia"/>
                <w:lang w:val="en-US"/>
              </w:rPr>
              <w:t>试验结果</w:t>
            </w:r>
            <w:r>
              <w:rPr>
                <w:rFonts w:hint="eastAsia"/>
              </w:rPr>
              <w:t>】核心结果</w:t>
            </w:r>
          </w:p>
          <w:p w14:paraId="2C474FF5" w14:textId="77777777" w:rsidR="000D3476" w:rsidRDefault="004116FA">
            <w:pPr>
              <w:pStyle w:val="TableParagraph"/>
              <w:spacing w:line="360" w:lineRule="auto"/>
            </w:pPr>
            <w:r>
              <w:rPr>
                <w:rFonts w:hint="eastAsia"/>
              </w:rPr>
              <w:t>服用益生菌胶囊</w:t>
            </w:r>
            <w:r>
              <w:rPr>
                <w:rFonts w:hint="eastAsia"/>
              </w:rPr>
              <w:t>8</w:t>
            </w:r>
            <w:r>
              <w:rPr>
                <w:rFonts w:hint="eastAsia"/>
              </w:rPr>
              <w:t>周后，受试者体重水平显著降低，体</w:t>
            </w:r>
            <w:proofErr w:type="gramStart"/>
            <w:r>
              <w:rPr>
                <w:rFonts w:hint="eastAsia"/>
              </w:rPr>
              <w:t>脂显著</w:t>
            </w:r>
            <w:proofErr w:type="gramEnd"/>
            <w:r>
              <w:rPr>
                <w:rFonts w:hint="eastAsia"/>
              </w:rPr>
              <w:t>减少，皮下脂肪厚度显著降低，</w:t>
            </w:r>
            <w:r>
              <w:rPr>
                <w:rFonts w:hint="eastAsia"/>
              </w:rPr>
              <w:t>BMI</w:t>
            </w:r>
            <w:r>
              <w:rPr>
                <w:rFonts w:hint="eastAsia"/>
              </w:rPr>
              <w:t>与超重度同步改善。核心数据包括：</w:t>
            </w:r>
          </w:p>
          <w:p w14:paraId="2C9CB22D" w14:textId="77777777" w:rsidR="000D3476" w:rsidRDefault="004116FA">
            <w:pPr>
              <w:pStyle w:val="TableParagraph"/>
              <w:spacing w:line="360" w:lineRule="auto"/>
            </w:pPr>
            <w:r>
              <w:rPr>
                <w:rFonts w:hint="eastAsia"/>
              </w:rPr>
              <w:t>平均减重</w:t>
            </w:r>
            <w:r>
              <w:rPr>
                <w:rFonts w:hint="eastAsia"/>
              </w:rPr>
              <w:t>2.5kg</w:t>
            </w:r>
            <w:r>
              <w:rPr>
                <w:rFonts w:hint="eastAsia"/>
              </w:rPr>
              <w:t>（</w:t>
            </w:r>
            <w:r>
              <w:rPr>
                <w:rFonts w:hint="eastAsia"/>
              </w:rPr>
              <w:t>77.2</w:t>
            </w:r>
            <w:r>
              <w:rPr>
                <w:rFonts w:hint="eastAsia"/>
              </w:rPr>
              <w:t>±</w:t>
            </w:r>
            <w:r>
              <w:rPr>
                <w:rFonts w:hint="eastAsia"/>
              </w:rPr>
              <w:t>15.16kg</w:t>
            </w:r>
            <w:r>
              <w:rPr>
                <w:rFonts w:hint="eastAsia"/>
              </w:rPr>
              <w:t>→</w:t>
            </w:r>
            <w:r>
              <w:rPr>
                <w:rFonts w:hint="eastAsia"/>
              </w:rPr>
              <w:t>74.8</w:t>
            </w:r>
            <w:r>
              <w:rPr>
                <w:rFonts w:hint="eastAsia"/>
              </w:rPr>
              <w:t>±</w:t>
            </w:r>
            <w:r>
              <w:rPr>
                <w:rFonts w:hint="eastAsia"/>
              </w:rPr>
              <w:t>14.77kg</w:t>
            </w:r>
            <w:r>
              <w:rPr>
                <w:rFonts w:hint="eastAsia"/>
              </w:rPr>
              <w:t>），改善程度</w:t>
            </w:r>
            <w:r>
              <w:rPr>
                <w:rFonts w:hint="eastAsia"/>
              </w:rPr>
              <w:t>3.20%</w:t>
            </w:r>
            <w:r>
              <w:rPr>
                <w:rFonts w:hint="eastAsia"/>
              </w:rPr>
              <w:t>，</w:t>
            </w:r>
            <w:r>
              <w:rPr>
                <w:rFonts w:hint="eastAsia"/>
              </w:rPr>
              <w:t>p&lt;0.0</w:t>
            </w:r>
            <w:r>
              <w:rPr>
                <w:rFonts w:hint="eastAsia"/>
              </w:rPr>
              <w:t>001</w:t>
            </w:r>
          </w:p>
          <w:p w14:paraId="01A2AA0B" w14:textId="77777777" w:rsidR="000D3476" w:rsidRDefault="004116FA">
            <w:pPr>
              <w:pStyle w:val="TableParagraph"/>
              <w:spacing w:line="360" w:lineRule="auto"/>
            </w:pPr>
            <w:r>
              <w:rPr>
                <w:rFonts w:hint="eastAsia"/>
              </w:rPr>
              <w:t>平均减脂</w:t>
            </w:r>
            <w:r>
              <w:rPr>
                <w:rFonts w:hint="eastAsia"/>
              </w:rPr>
              <w:t>2.2kg</w:t>
            </w:r>
            <w:r>
              <w:rPr>
                <w:rFonts w:hint="eastAsia"/>
              </w:rPr>
              <w:t>（</w:t>
            </w:r>
            <w:r>
              <w:rPr>
                <w:rFonts w:hint="eastAsia"/>
              </w:rPr>
              <w:t>31.2</w:t>
            </w:r>
            <w:r>
              <w:rPr>
                <w:rFonts w:hint="eastAsia"/>
              </w:rPr>
              <w:t>±</w:t>
            </w:r>
            <w:r>
              <w:rPr>
                <w:rFonts w:hint="eastAsia"/>
              </w:rPr>
              <w:t>8.52kg</w:t>
            </w:r>
            <w:r>
              <w:rPr>
                <w:rFonts w:hint="eastAsia"/>
              </w:rPr>
              <w:t>→</w:t>
            </w:r>
            <w:r>
              <w:rPr>
                <w:rFonts w:hint="eastAsia"/>
              </w:rPr>
              <w:t>29.0</w:t>
            </w:r>
            <w:r>
              <w:rPr>
                <w:rFonts w:hint="eastAsia"/>
              </w:rPr>
              <w:t>±</w:t>
            </w:r>
            <w:r>
              <w:rPr>
                <w:rFonts w:hint="eastAsia"/>
              </w:rPr>
              <w:t>8.15kg</w:t>
            </w:r>
            <w:r>
              <w:rPr>
                <w:rFonts w:hint="eastAsia"/>
              </w:rPr>
              <w:t>），改善程度</w:t>
            </w:r>
            <w:r>
              <w:rPr>
                <w:rFonts w:hint="eastAsia"/>
              </w:rPr>
              <w:t>7.07%</w:t>
            </w:r>
            <w:r>
              <w:rPr>
                <w:rFonts w:hint="eastAsia"/>
              </w:rPr>
              <w:t>，</w:t>
            </w:r>
            <w:r>
              <w:rPr>
                <w:rFonts w:hint="eastAsia"/>
              </w:rPr>
              <w:t>p&lt;0.0001</w:t>
            </w:r>
          </w:p>
          <w:p w14:paraId="4CCBF516" w14:textId="77777777" w:rsidR="000D3476" w:rsidRDefault="004116FA">
            <w:pPr>
              <w:pStyle w:val="TableParagraph"/>
              <w:spacing w:line="360" w:lineRule="auto"/>
            </w:pPr>
            <w:r>
              <w:rPr>
                <w:rFonts w:hint="eastAsia"/>
              </w:rPr>
              <w:t>皮下脂肪厚度平均减少</w:t>
            </w:r>
            <w:r>
              <w:rPr>
                <w:rFonts w:hint="eastAsia"/>
              </w:rPr>
              <w:t>3.9mm</w:t>
            </w:r>
            <w:r>
              <w:rPr>
                <w:rFonts w:hint="eastAsia"/>
              </w:rPr>
              <w:t>（</w:t>
            </w:r>
            <w:r>
              <w:rPr>
                <w:rFonts w:hint="eastAsia"/>
              </w:rPr>
              <w:t>30.6</w:t>
            </w:r>
            <w:r>
              <w:rPr>
                <w:rFonts w:hint="eastAsia"/>
              </w:rPr>
              <w:t>±</w:t>
            </w:r>
            <w:r>
              <w:rPr>
                <w:rFonts w:hint="eastAsia"/>
              </w:rPr>
              <w:t>4.95mm</w:t>
            </w:r>
            <w:r>
              <w:rPr>
                <w:rFonts w:hint="eastAsia"/>
              </w:rPr>
              <w:t>→</w:t>
            </w:r>
            <w:r>
              <w:rPr>
                <w:rFonts w:hint="eastAsia"/>
              </w:rPr>
              <w:t>26.6</w:t>
            </w:r>
            <w:r>
              <w:rPr>
                <w:rFonts w:hint="eastAsia"/>
              </w:rPr>
              <w:t>±</w:t>
            </w:r>
            <w:r>
              <w:rPr>
                <w:rFonts w:hint="eastAsia"/>
              </w:rPr>
              <w:t>4.02mm</w:t>
            </w:r>
            <w:r>
              <w:rPr>
                <w:rFonts w:hint="eastAsia"/>
              </w:rPr>
              <w:t>），改善程度</w:t>
            </w:r>
            <w:r>
              <w:rPr>
                <w:rFonts w:hint="eastAsia"/>
              </w:rPr>
              <w:t>12.86%</w:t>
            </w:r>
            <w:r>
              <w:rPr>
                <w:rFonts w:hint="eastAsia"/>
              </w:rPr>
              <w:t>，</w:t>
            </w:r>
            <w:r>
              <w:rPr>
                <w:rFonts w:hint="eastAsia"/>
              </w:rPr>
              <w:t>p&lt;0.0001</w:t>
            </w:r>
          </w:p>
          <w:p w14:paraId="1D62D797" w14:textId="77777777" w:rsidR="000D3476" w:rsidRDefault="004116FA">
            <w:pPr>
              <w:pStyle w:val="TableParagraph"/>
              <w:spacing w:line="360" w:lineRule="auto"/>
            </w:pPr>
            <w:r>
              <w:rPr>
                <w:rFonts w:hint="eastAsia"/>
              </w:rPr>
              <w:t>脂肪占比平均降低</w:t>
            </w:r>
            <w:r>
              <w:rPr>
                <w:rFonts w:hint="eastAsia"/>
              </w:rPr>
              <w:t>1.7%</w:t>
            </w:r>
            <w:r>
              <w:rPr>
                <w:rFonts w:hint="eastAsia"/>
              </w:rPr>
              <w:t>（</w:t>
            </w:r>
            <w:r>
              <w:rPr>
                <w:rFonts w:hint="eastAsia"/>
              </w:rPr>
              <w:t>40.2</w:t>
            </w:r>
            <w:r>
              <w:rPr>
                <w:rFonts w:hint="eastAsia"/>
              </w:rPr>
              <w:t>±</w:t>
            </w:r>
            <w:r>
              <w:rPr>
                <w:rFonts w:hint="eastAsia"/>
              </w:rPr>
              <w:t>6.16%</w:t>
            </w:r>
            <w:r>
              <w:rPr>
                <w:rFonts w:hint="eastAsia"/>
              </w:rPr>
              <w:t>→</w:t>
            </w:r>
            <w:r>
              <w:rPr>
                <w:rFonts w:hint="eastAsia"/>
              </w:rPr>
              <w:t>38.5</w:t>
            </w:r>
            <w:r>
              <w:rPr>
                <w:rFonts w:hint="eastAsia"/>
              </w:rPr>
              <w:t>±</w:t>
            </w:r>
            <w:r>
              <w:rPr>
                <w:rFonts w:hint="eastAsia"/>
              </w:rPr>
              <w:t>6.33%</w:t>
            </w:r>
            <w:r>
              <w:rPr>
                <w:rFonts w:hint="eastAsia"/>
              </w:rPr>
              <w:t>），改善程度</w:t>
            </w:r>
            <w:r>
              <w:rPr>
                <w:rFonts w:hint="eastAsia"/>
              </w:rPr>
              <w:t>4.19%</w:t>
            </w:r>
            <w:r>
              <w:rPr>
                <w:rFonts w:hint="eastAsia"/>
              </w:rPr>
              <w:t>，</w:t>
            </w:r>
            <w:r>
              <w:rPr>
                <w:rFonts w:hint="eastAsia"/>
              </w:rPr>
              <w:t>p&lt;0.0001</w:t>
            </w:r>
          </w:p>
          <w:p w14:paraId="7971FBF6" w14:textId="77777777" w:rsidR="000D3476" w:rsidRDefault="004116FA">
            <w:pPr>
              <w:pStyle w:val="TableParagraph"/>
              <w:spacing w:line="360" w:lineRule="auto"/>
            </w:pPr>
            <w:r>
              <w:rPr>
                <w:rFonts w:hint="eastAsia"/>
              </w:rPr>
              <w:t>BMI</w:t>
            </w:r>
            <w:r>
              <w:rPr>
                <w:rFonts w:hint="eastAsia"/>
              </w:rPr>
              <w:t>平均下降</w:t>
            </w:r>
            <w:r>
              <w:rPr>
                <w:rFonts w:hint="eastAsia"/>
              </w:rPr>
              <w:t>0.9 kg/m</w:t>
            </w:r>
            <w:r>
              <w:rPr>
                <w:rFonts w:hint="eastAsia"/>
              </w:rPr>
              <w:t>²（</w:t>
            </w:r>
            <w:r>
              <w:rPr>
                <w:rFonts w:hint="eastAsia"/>
              </w:rPr>
              <w:t>29.2</w:t>
            </w:r>
            <w:r>
              <w:rPr>
                <w:rFonts w:hint="eastAsia"/>
              </w:rPr>
              <w:t>±</w:t>
            </w:r>
            <w:r>
              <w:rPr>
                <w:rFonts w:hint="eastAsia"/>
              </w:rPr>
              <w:t>4.50kg/m</w:t>
            </w:r>
            <w:r>
              <w:rPr>
                <w:rFonts w:hint="eastAsia"/>
              </w:rPr>
              <w:t>²→</w:t>
            </w:r>
            <w:r>
              <w:rPr>
                <w:rFonts w:hint="eastAsia"/>
              </w:rPr>
              <w:t>28.2</w:t>
            </w:r>
            <w:r>
              <w:rPr>
                <w:rFonts w:hint="eastAsia"/>
              </w:rPr>
              <w:t>±</w:t>
            </w:r>
            <w:r>
              <w:rPr>
                <w:rFonts w:hint="eastAsia"/>
              </w:rPr>
              <w:t>4.31kg/m</w:t>
            </w:r>
            <w:r>
              <w:rPr>
                <w:rFonts w:hint="eastAsia"/>
              </w:rPr>
              <w:t>²），改善程度</w:t>
            </w:r>
            <w:r>
              <w:rPr>
                <w:rFonts w:hint="eastAsia"/>
              </w:rPr>
              <w:t>3.22%</w:t>
            </w:r>
            <w:r>
              <w:rPr>
                <w:rFonts w:hint="eastAsia"/>
              </w:rPr>
              <w:t>，</w:t>
            </w:r>
            <w:r>
              <w:rPr>
                <w:rFonts w:hint="eastAsia"/>
              </w:rPr>
              <w:t>p&lt;0.0001</w:t>
            </w:r>
          </w:p>
          <w:p w14:paraId="5EA7F477" w14:textId="77777777" w:rsidR="000D3476" w:rsidRDefault="004116FA">
            <w:pPr>
              <w:pStyle w:val="TableParagraph"/>
              <w:spacing w:line="360" w:lineRule="auto"/>
            </w:pPr>
            <w:r>
              <w:rPr>
                <w:rFonts w:hint="eastAsia"/>
              </w:rPr>
              <w:t>超重度平均降低</w:t>
            </w:r>
            <w:r>
              <w:rPr>
                <w:rFonts w:hint="eastAsia"/>
              </w:rPr>
              <w:t>2.5%</w:t>
            </w:r>
            <w:r>
              <w:rPr>
                <w:rFonts w:hint="eastAsia"/>
              </w:rPr>
              <w:t>（</w:t>
            </w:r>
            <w:r>
              <w:rPr>
                <w:rFonts w:hint="eastAsia"/>
              </w:rPr>
              <w:t>21.</w:t>
            </w:r>
            <w:r>
              <w:rPr>
                <w:rFonts w:hint="eastAsia"/>
              </w:rPr>
              <w:t>1</w:t>
            </w:r>
            <w:r>
              <w:rPr>
                <w:rFonts w:hint="eastAsia"/>
              </w:rPr>
              <w:t>±</w:t>
            </w:r>
            <w:r>
              <w:rPr>
                <w:rFonts w:hint="eastAsia"/>
              </w:rPr>
              <w:t>11.98%</w:t>
            </w:r>
            <w:r>
              <w:rPr>
                <w:rFonts w:hint="eastAsia"/>
              </w:rPr>
              <w:t>→</w:t>
            </w:r>
            <w:r>
              <w:rPr>
                <w:rFonts w:hint="eastAsia"/>
              </w:rPr>
              <w:t>18.6</w:t>
            </w:r>
            <w:r>
              <w:rPr>
                <w:rFonts w:hint="eastAsia"/>
              </w:rPr>
              <w:t>±</w:t>
            </w:r>
            <w:r>
              <w:rPr>
                <w:rFonts w:hint="eastAsia"/>
              </w:rPr>
              <w:t>11.49%</w:t>
            </w:r>
            <w:r>
              <w:rPr>
                <w:rFonts w:hint="eastAsia"/>
              </w:rPr>
              <w:t>），改善程度</w:t>
            </w:r>
            <w:r>
              <w:rPr>
                <w:rFonts w:hint="eastAsia"/>
              </w:rPr>
              <w:t>11.72%</w:t>
            </w:r>
            <w:r>
              <w:rPr>
                <w:rFonts w:hint="eastAsia"/>
              </w:rPr>
              <w:t>，</w:t>
            </w:r>
            <w:r>
              <w:rPr>
                <w:rFonts w:hint="eastAsia"/>
              </w:rPr>
              <w:t>p&lt;0.0001</w:t>
            </w:r>
          </w:p>
          <w:p w14:paraId="3132727D" w14:textId="77777777" w:rsidR="000D3476" w:rsidRDefault="000D3476">
            <w:pPr>
              <w:pStyle w:val="TableParagraph"/>
              <w:spacing w:line="360" w:lineRule="auto"/>
            </w:pPr>
          </w:p>
          <w:p w14:paraId="344B6147" w14:textId="77777777" w:rsidR="000D3476" w:rsidRDefault="004116FA">
            <w:pPr>
              <w:pStyle w:val="TableParagraph"/>
              <w:spacing w:line="360" w:lineRule="auto"/>
              <w:rPr>
                <w:lang w:val="en-US"/>
              </w:rPr>
            </w:pPr>
            <w:r>
              <w:rPr>
                <w:rFonts w:hint="eastAsia"/>
              </w:rPr>
              <w:t>【</w:t>
            </w:r>
            <w:r>
              <w:rPr>
                <w:rFonts w:hint="eastAsia"/>
                <w:lang w:val="en-US"/>
              </w:rPr>
              <w:t>试验结果</w:t>
            </w:r>
            <w:r>
              <w:rPr>
                <w:rFonts w:hint="eastAsia"/>
              </w:rPr>
              <w:t>】结果</w:t>
            </w:r>
            <w:r>
              <w:rPr>
                <w:rFonts w:hint="eastAsia"/>
                <w:lang w:val="en-US"/>
              </w:rPr>
              <w:t>剖析</w:t>
            </w:r>
          </w:p>
          <w:p w14:paraId="19BC85A1" w14:textId="77777777" w:rsidR="000D3476" w:rsidRDefault="004116FA">
            <w:pPr>
              <w:pStyle w:val="TableParagraph"/>
              <w:spacing w:line="360" w:lineRule="auto"/>
            </w:pPr>
            <w:r>
              <w:rPr>
                <w:rFonts w:hint="eastAsia"/>
              </w:rPr>
              <w:t>超重人群（</w:t>
            </w:r>
            <w:r>
              <w:rPr>
                <w:rFonts w:hint="eastAsia"/>
              </w:rPr>
              <w:t>BMI 24~28</w:t>
            </w:r>
            <w:r>
              <w:rPr>
                <w:rFonts w:hint="eastAsia"/>
              </w:rPr>
              <w:t>）效果更优（减重比例达</w:t>
            </w:r>
            <w:r>
              <w:rPr>
                <w:rFonts w:hint="eastAsia"/>
              </w:rPr>
              <w:t>4.26%</w:t>
            </w:r>
            <w:r>
              <w:rPr>
                <w:rFonts w:hint="eastAsia"/>
              </w:rPr>
              <w:t>）：根据临床结果，基线</w:t>
            </w:r>
            <w:r>
              <w:rPr>
                <w:rFonts w:hint="eastAsia"/>
              </w:rPr>
              <w:t>BMI&lt;28</w:t>
            </w:r>
            <w:r>
              <w:rPr>
                <w:rFonts w:hint="eastAsia"/>
              </w:rPr>
              <w:t>的受试者（</w:t>
            </w:r>
            <w:r>
              <w:rPr>
                <w:rFonts w:hint="eastAsia"/>
              </w:rPr>
              <w:t>8</w:t>
            </w:r>
            <w:r>
              <w:rPr>
                <w:rFonts w:hint="eastAsia"/>
              </w:rPr>
              <w:t>人，占</w:t>
            </w:r>
            <w:r>
              <w:rPr>
                <w:rFonts w:hint="eastAsia"/>
              </w:rPr>
              <w:t>28.6%</w:t>
            </w:r>
            <w:r>
              <w:rPr>
                <w:rFonts w:hint="eastAsia"/>
              </w:rPr>
              <w:t>）表现出更优的减重效果：平均减重</w:t>
            </w:r>
            <w:r>
              <w:rPr>
                <w:rFonts w:hint="eastAsia"/>
              </w:rPr>
              <w:t>2.64kg</w:t>
            </w:r>
            <w:r>
              <w:rPr>
                <w:rFonts w:hint="eastAsia"/>
              </w:rPr>
              <w:t>，减重比例</w:t>
            </w:r>
            <w:r>
              <w:rPr>
                <w:rFonts w:hint="eastAsia"/>
              </w:rPr>
              <w:t>4.26%</w:t>
            </w:r>
            <w:r>
              <w:rPr>
                <w:rFonts w:hint="eastAsia"/>
              </w:rPr>
              <w:t>（高于整体受试者的</w:t>
            </w:r>
            <w:r>
              <w:rPr>
                <w:rFonts w:hint="eastAsia"/>
              </w:rPr>
              <w:t>3.20%</w:t>
            </w:r>
            <w:r>
              <w:rPr>
                <w:rFonts w:hint="eastAsia"/>
              </w:rPr>
              <w:t>），其中</w:t>
            </w:r>
            <w:r>
              <w:rPr>
                <w:rFonts w:hint="eastAsia"/>
              </w:rPr>
              <w:t>75%</w:t>
            </w:r>
            <w:r>
              <w:rPr>
                <w:rFonts w:hint="eastAsia"/>
              </w:rPr>
              <w:t>（</w:t>
            </w:r>
            <w:r>
              <w:rPr>
                <w:rFonts w:hint="eastAsia"/>
              </w:rPr>
              <w:t>6/8</w:t>
            </w:r>
            <w:r>
              <w:rPr>
                <w:rFonts w:hint="eastAsia"/>
              </w:rPr>
              <w:t>）的受试者减重</w:t>
            </w:r>
            <w:r>
              <w:rPr>
                <w:rFonts w:hint="eastAsia"/>
              </w:rPr>
              <w:t>&gt;2%</w:t>
            </w:r>
            <w:r>
              <w:rPr>
                <w:rFonts w:hint="eastAsia"/>
              </w:rPr>
              <w:t>，</w:t>
            </w:r>
            <w:r>
              <w:rPr>
                <w:rFonts w:hint="eastAsia"/>
              </w:rPr>
              <w:t>37.5%</w:t>
            </w:r>
            <w:r>
              <w:rPr>
                <w:rFonts w:hint="eastAsia"/>
              </w:rPr>
              <w:t>（</w:t>
            </w:r>
            <w:r>
              <w:rPr>
                <w:rFonts w:hint="eastAsia"/>
              </w:rPr>
              <w:t>3/8</w:t>
            </w:r>
            <w:r>
              <w:rPr>
                <w:rFonts w:hint="eastAsia"/>
              </w:rPr>
              <w:t>）的受试者减重</w:t>
            </w:r>
            <w:r>
              <w:rPr>
                <w:rFonts w:hint="eastAsia"/>
              </w:rPr>
              <w:t>&gt;5%</w:t>
            </w:r>
            <w:r>
              <w:rPr>
                <w:rFonts w:hint="eastAsia"/>
              </w:rPr>
              <w:t>。</w:t>
            </w:r>
          </w:p>
          <w:p w14:paraId="1B70D079" w14:textId="77777777" w:rsidR="000D3476" w:rsidRDefault="004116FA">
            <w:pPr>
              <w:pStyle w:val="TableParagraph"/>
              <w:spacing w:line="360" w:lineRule="auto"/>
            </w:pPr>
            <w:r>
              <w:rPr>
                <w:rFonts w:hint="eastAsia"/>
              </w:rPr>
              <w:t>16SrDNA</w:t>
            </w:r>
            <w:r>
              <w:rPr>
                <w:rFonts w:hint="eastAsia"/>
              </w:rPr>
              <w:t>检测显示，干预后：拟杆菌属（</w:t>
            </w:r>
            <w:r>
              <w:rPr>
                <w:rFonts w:hint="eastAsia"/>
              </w:rPr>
              <w:t>Bacteroides</w:t>
            </w:r>
            <w:r>
              <w:rPr>
                <w:rFonts w:hint="eastAsia"/>
              </w:rPr>
              <w:t>）：（</w:t>
            </w:r>
            <w:r>
              <w:rPr>
                <w:rFonts w:hint="eastAsia"/>
              </w:rPr>
              <w:t>4.97%</w:t>
            </w:r>
            <w:r>
              <w:rPr>
                <w:rFonts w:hint="eastAsia"/>
              </w:rPr>
              <w:t>→</w:t>
            </w:r>
            <w:r>
              <w:rPr>
                <w:rFonts w:hint="eastAsia"/>
              </w:rPr>
              <w:t>9.09%</w:t>
            </w:r>
            <w:r>
              <w:rPr>
                <w:rFonts w:hint="eastAsia"/>
              </w:rPr>
              <w:t>，</w:t>
            </w:r>
            <w:r>
              <w:rPr>
                <w:rFonts w:hint="eastAsia"/>
              </w:rPr>
              <w:t>p&lt;</w:t>
            </w:r>
            <w:r>
              <w:rPr>
                <w:rFonts w:hint="eastAsia"/>
              </w:rPr>
              <w:t>0.05</w:t>
            </w:r>
            <w:r>
              <w:rPr>
                <w:rFonts w:hint="eastAsia"/>
              </w:rPr>
              <w:t>），显著升高——该菌属可降解多糖与</w:t>
            </w:r>
            <w:proofErr w:type="gramStart"/>
            <w:r>
              <w:rPr>
                <w:rFonts w:hint="eastAsia"/>
              </w:rPr>
              <w:t>黏</w:t>
            </w:r>
            <w:proofErr w:type="gramEnd"/>
            <w:r>
              <w:rPr>
                <w:rFonts w:hint="eastAsia"/>
              </w:rPr>
              <w:t>蛋白，参与短链脂肪酸及次级胆汁生成普</w:t>
            </w:r>
            <w:proofErr w:type="gramStart"/>
            <w:r>
              <w:rPr>
                <w:rFonts w:hint="eastAsia"/>
              </w:rPr>
              <w:t>雷沃氏</w:t>
            </w:r>
            <w:proofErr w:type="gramEnd"/>
            <w:r>
              <w:rPr>
                <w:rFonts w:hint="eastAsia"/>
              </w:rPr>
              <w:t>菌属（</w:t>
            </w:r>
            <w:r>
              <w:rPr>
                <w:rFonts w:hint="eastAsia"/>
              </w:rPr>
              <w:t>Segatella</w:t>
            </w:r>
            <w:r>
              <w:rPr>
                <w:rFonts w:hint="eastAsia"/>
              </w:rPr>
              <w:t>）：</w:t>
            </w:r>
            <w:r>
              <w:rPr>
                <w:rFonts w:hint="eastAsia"/>
              </w:rPr>
              <w:t>5.95%</w:t>
            </w:r>
            <w:r>
              <w:rPr>
                <w:rFonts w:hint="eastAsia"/>
              </w:rPr>
              <w:t>→</w:t>
            </w:r>
            <w:r>
              <w:rPr>
                <w:rFonts w:hint="eastAsia"/>
              </w:rPr>
              <w:t>10.41%</w:t>
            </w:r>
            <w:r>
              <w:rPr>
                <w:rFonts w:hint="eastAsia"/>
              </w:rPr>
              <w:t>，呈上升趋势——该菌属参与膳食纤维及多糖</w:t>
            </w:r>
            <w:proofErr w:type="gramStart"/>
            <w:r>
              <w:rPr>
                <w:rFonts w:hint="eastAsia"/>
              </w:rPr>
              <w:t>降解巨单胞</w:t>
            </w:r>
            <w:proofErr w:type="gramEnd"/>
            <w:r>
              <w:rPr>
                <w:rFonts w:hint="eastAsia"/>
              </w:rPr>
              <w:t>菌属（</w:t>
            </w:r>
            <w:r>
              <w:rPr>
                <w:rFonts w:hint="eastAsia"/>
              </w:rPr>
              <w:t>Megamonas</w:t>
            </w:r>
            <w:r>
              <w:rPr>
                <w:rFonts w:hint="eastAsia"/>
              </w:rPr>
              <w:t>）：</w:t>
            </w:r>
            <w:r>
              <w:rPr>
                <w:rFonts w:hint="eastAsia"/>
              </w:rPr>
              <w:t>3.39%</w:t>
            </w:r>
            <w:r>
              <w:rPr>
                <w:rFonts w:hint="eastAsia"/>
              </w:rPr>
              <w:t>→</w:t>
            </w:r>
            <w:r>
              <w:rPr>
                <w:rFonts w:hint="eastAsia"/>
              </w:rPr>
              <w:t>8.77%</w:t>
            </w:r>
            <w:r>
              <w:rPr>
                <w:rFonts w:hint="eastAsia"/>
              </w:rPr>
              <w:t>，呈上升趋势——该菌属可发酵复杂碳水化合物产生短链脂肪酸经黏液真杆菌属（</w:t>
            </w:r>
            <w:r>
              <w:rPr>
                <w:rFonts w:hint="eastAsia"/>
              </w:rPr>
              <w:t>Blautia</w:t>
            </w:r>
            <w:r>
              <w:rPr>
                <w:rFonts w:hint="eastAsia"/>
              </w:rPr>
              <w:t>）：</w:t>
            </w:r>
            <w:r>
              <w:rPr>
                <w:rFonts w:hint="eastAsia"/>
              </w:rPr>
              <w:t>12.41%</w:t>
            </w:r>
            <w:r>
              <w:rPr>
                <w:rFonts w:hint="eastAsia"/>
              </w:rPr>
              <w:t>→</w:t>
            </w:r>
            <w:r>
              <w:rPr>
                <w:rFonts w:hint="eastAsia"/>
              </w:rPr>
              <w:t>8.74%</w:t>
            </w:r>
            <w:r>
              <w:rPr>
                <w:rFonts w:hint="eastAsia"/>
              </w:rPr>
              <w:t>，呈下降趋势——该菌属丰度与能量吸收正相关三种“代谢友好型”菌属（</w:t>
            </w:r>
            <w:r>
              <w:rPr>
                <w:rFonts w:hint="eastAsia"/>
              </w:rPr>
              <w:t>Segatella</w:t>
            </w:r>
            <w:r>
              <w:rPr>
                <w:rFonts w:hint="eastAsia"/>
              </w:rPr>
              <w:t>、</w:t>
            </w:r>
            <w:r>
              <w:rPr>
                <w:rFonts w:hint="eastAsia"/>
              </w:rPr>
              <w:t>Bacteroides</w:t>
            </w:r>
            <w:r>
              <w:rPr>
                <w:rFonts w:hint="eastAsia"/>
              </w:rPr>
              <w:t>、</w:t>
            </w:r>
            <w:r>
              <w:rPr>
                <w:rFonts w:hint="eastAsia"/>
              </w:rPr>
              <w:t>Megamonas</w:t>
            </w:r>
            <w:r>
              <w:rPr>
                <w:rFonts w:hint="eastAsia"/>
              </w:rPr>
              <w:t>）从入组的</w:t>
            </w:r>
            <w:r>
              <w:rPr>
                <w:rFonts w:hint="eastAsia"/>
              </w:rPr>
              <w:t>14.31%</w:t>
            </w:r>
            <w:r>
              <w:rPr>
                <w:rFonts w:hint="eastAsia"/>
              </w:rPr>
              <w:t>升至出组的</w:t>
            </w:r>
            <w:r>
              <w:rPr>
                <w:rFonts w:hint="eastAsia"/>
              </w:rPr>
              <w:t>28.27%</w:t>
            </w:r>
            <w:r>
              <w:rPr>
                <w:rFonts w:hint="eastAsia"/>
              </w:rPr>
              <w:t>，占比翻倍。与能量过度吸收相关的菌群（</w:t>
            </w:r>
            <w:r>
              <w:rPr>
                <w:rFonts w:hint="eastAsia"/>
              </w:rPr>
              <w:t>Blautia</w:t>
            </w:r>
            <w:r>
              <w:rPr>
                <w:rFonts w:hint="eastAsia"/>
              </w:rPr>
              <w:t>），丰度明显下降。</w:t>
            </w:r>
          </w:p>
          <w:p w14:paraId="4BFA7D26" w14:textId="77777777" w:rsidR="000D3476" w:rsidRDefault="000D3476">
            <w:pPr>
              <w:pStyle w:val="TableParagraph"/>
              <w:spacing w:line="360" w:lineRule="auto"/>
            </w:pPr>
          </w:p>
          <w:p w14:paraId="0FF6CDD4" w14:textId="77777777" w:rsidR="000D3476" w:rsidRDefault="004116FA">
            <w:pPr>
              <w:pStyle w:val="TableParagraph"/>
              <w:spacing w:line="360" w:lineRule="auto"/>
              <w:rPr>
                <w:lang w:val="en-US"/>
              </w:rPr>
            </w:pPr>
            <w:r>
              <w:rPr>
                <w:rFonts w:hint="eastAsia"/>
              </w:rPr>
              <w:t>【</w:t>
            </w:r>
            <w:r>
              <w:rPr>
                <w:rFonts w:hint="eastAsia"/>
                <w:lang w:val="en-US"/>
              </w:rPr>
              <w:t>试验结果</w:t>
            </w:r>
            <w:r>
              <w:rPr>
                <w:rFonts w:hint="eastAsia"/>
              </w:rPr>
              <w:t>】安全性与生活质量</w:t>
            </w:r>
          </w:p>
          <w:p w14:paraId="535E6BB3" w14:textId="77777777" w:rsidR="000D3476" w:rsidRDefault="004116FA">
            <w:pPr>
              <w:pStyle w:val="TableParagraph"/>
              <w:spacing w:line="360" w:lineRule="auto"/>
            </w:pPr>
            <w:r>
              <w:rPr>
                <w:rFonts w:hint="eastAsia"/>
              </w:rPr>
              <w:t>安全性良好：</w:t>
            </w:r>
            <w:r>
              <w:rPr>
                <w:rFonts w:hint="eastAsia"/>
              </w:rPr>
              <w:t>28</w:t>
            </w:r>
            <w:r>
              <w:rPr>
                <w:rFonts w:hint="eastAsia"/>
              </w:rPr>
              <w:t>例受试者临床试验全程无任何与产品相关的不良反应。空腹血糖、胰岛素、血脂四项（甘油三酯、总胆固醇等）在整个试验期内均维持在正常范围，无临床意义波动。血常规、肝肾功能、尿常规均无异常。这充分证明益生菌胶囊在当前研究设计下安全性表现良好。</w:t>
            </w:r>
          </w:p>
          <w:p w14:paraId="76D1AEA4" w14:textId="77777777" w:rsidR="000D3476" w:rsidRDefault="004116FA">
            <w:pPr>
              <w:pStyle w:val="TableParagraph"/>
              <w:spacing w:line="360" w:lineRule="auto"/>
            </w:pPr>
            <w:r>
              <w:rPr>
                <w:rFonts w:hint="eastAsia"/>
              </w:rPr>
              <w:t>生活质量全面提升：</w:t>
            </w:r>
            <w:r>
              <w:rPr>
                <w:rFonts w:hint="eastAsia"/>
              </w:rPr>
              <w:t>28</w:t>
            </w:r>
            <w:r>
              <w:rPr>
                <w:rFonts w:hint="eastAsia"/>
              </w:rPr>
              <w:t>位受试者在临床试验的</w:t>
            </w:r>
            <w:r>
              <w:rPr>
                <w:rFonts w:hint="eastAsia"/>
              </w:rPr>
              <w:t>8</w:t>
            </w:r>
            <w:r>
              <w:rPr>
                <w:rFonts w:hint="eastAsia"/>
              </w:rPr>
              <w:t>周内，生活状态也显现出明显改善。</w:t>
            </w:r>
            <w:r>
              <w:rPr>
                <w:rFonts w:hint="eastAsia"/>
              </w:rPr>
              <w:t>SF-36</w:t>
            </w:r>
            <w:r>
              <w:rPr>
                <w:rFonts w:hint="eastAsia"/>
              </w:rPr>
              <w:t>生活质量量表（国际通用的健康相关生活质量问卷）的结果显示：生</w:t>
            </w:r>
            <w:r>
              <w:rPr>
                <w:rFonts w:hint="eastAsia"/>
              </w:rPr>
              <w:t>命活力：</w:t>
            </w:r>
            <w:r>
              <w:rPr>
                <w:rFonts w:hint="eastAsia"/>
              </w:rPr>
              <w:t>69.8</w:t>
            </w:r>
            <w:r>
              <w:rPr>
                <w:rFonts w:hint="eastAsia"/>
              </w:rPr>
              <w:t>→</w:t>
            </w:r>
            <w:r>
              <w:rPr>
                <w:rFonts w:hint="eastAsia"/>
              </w:rPr>
              <w:t>82.1</w:t>
            </w:r>
            <w:r>
              <w:rPr>
                <w:rFonts w:hint="eastAsia"/>
              </w:rPr>
              <w:t>分，平均提升</w:t>
            </w:r>
            <w:r>
              <w:rPr>
                <w:rFonts w:hint="eastAsia"/>
              </w:rPr>
              <w:t>12.3</w:t>
            </w:r>
            <w:r>
              <w:rPr>
                <w:rFonts w:hint="eastAsia"/>
              </w:rPr>
              <w:t>分（</w:t>
            </w:r>
            <w:r>
              <w:rPr>
                <w:rFonts w:hint="eastAsia"/>
              </w:rPr>
              <w:t>p=0.0004</w:t>
            </w:r>
            <w:r>
              <w:rPr>
                <w:rFonts w:hint="eastAsia"/>
              </w:rPr>
              <w:t>）——精力明显改善心理卫生：</w:t>
            </w:r>
            <w:r>
              <w:rPr>
                <w:rFonts w:hint="eastAsia"/>
              </w:rPr>
              <w:t>74.0</w:t>
            </w:r>
            <w:r>
              <w:rPr>
                <w:rFonts w:hint="eastAsia"/>
              </w:rPr>
              <w:t>→</w:t>
            </w:r>
            <w:r>
              <w:rPr>
                <w:rFonts w:hint="eastAsia"/>
              </w:rPr>
              <w:t>82.3</w:t>
            </w:r>
            <w:r>
              <w:rPr>
                <w:rFonts w:hint="eastAsia"/>
              </w:rPr>
              <w:t>分，平均提升</w:t>
            </w:r>
            <w:r>
              <w:rPr>
                <w:rFonts w:hint="eastAsia"/>
              </w:rPr>
              <w:t>8.3</w:t>
            </w:r>
            <w:r>
              <w:rPr>
                <w:rFonts w:hint="eastAsia"/>
              </w:rPr>
              <w:t>分（</w:t>
            </w:r>
            <w:r>
              <w:rPr>
                <w:rFonts w:hint="eastAsia"/>
              </w:rPr>
              <w:t>p=0.0404</w:t>
            </w:r>
            <w:r>
              <w:rPr>
                <w:rFonts w:hint="eastAsia"/>
              </w:rPr>
              <w:t>）——情绪状态向好躯体疼痛：</w:t>
            </w:r>
            <w:r>
              <w:rPr>
                <w:rFonts w:hint="eastAsia"/>
              </w:rPr>
              <w:t>70.0</w:t>
            </w:r>
            <w:r>
              <w:rPr>
                <w:rFonts w:hint="eastAsia"/>
              </w:rPr>
              <w:t>→</w:t>
            </w:r>
            <w:r>
              <w:rPr>
                <w:rFonts w:hint="eastAsia"/>
              </w:rPr>
              <w:t>75.4</w:t>
            </w:r>
            <w:r>
              <w:rPr>
                <w:rFonts w:hint="eastAsia"/>
              </w:rPr>
              <w:t>分，平均提升</w:t>
            </w:r>
            <w:r>
              <w:rPr>
                <w:rFonts w:hint="eastAsia"/>
              </w:rPr>
              <w:t>5.4</w:t>
            </w:r>
            <w:r>
              <w:rPr>
                <w:rFonts w:hint="eastAsia"/>
              </w:rPr>
              <w:t>分（</w:t>
            </w:r>
            <w:r>
              <w:rPr>
                <w:rFonts w:hint="eastAsia"/>
              </w:rPr>
              <w:t>p=0.0371</w:t>
            </w:r>
            <w:r>
              <w:rPr>
                <w:rFonts w:hint="eastAsia"/>
              </w:rPr>
              <w:t>）——疼痛困扰减轻临床结果提示肠道菌群改善不仅影响体重，还可能通过“肠</w:t>
            </w:r>
            <w:r>
              <w:rPr>
                <w:rFonts w:hint="eastAsia"/>
              </w:rPr>
              <w:t>-</w:t>
            </w:r>
            <w:r>
              <w:rPr>
                <w:rFonts w:hint="eastAsia"/>
              </w:rPr>
              <w:t>脑轴”影响精神状态和生活质量。</w:t>
            </w:r>
          </w:p>
          <w:p w14:paraId="6158CDF0" w14:textId="77777777" w:rsidR="000D3476" w:rsidRDefault="000D3476">
            <w:pPr>
              <w:pStyle w:val="TableParagraph"/>
              <w:spacing w:line="360" w:lineRule="auto"/>
            </w:pPr>
          </w:p>
          <w:p w14:paraId="5A1CA296" w14:textId="77777777" w:rsidR="000D3476" w:rsidRDefault="004116FA">
            <w:pPr>
              <w:pStyle w:val="TableParagraph"/>
              <w:spacing w:line="360" w:lineRule="auto"/>
            </w:pPr>
            <w:r>
              <w:rPr>
                <w:rFonts w:hint="eastAsia"/>
              </w:rPr>
              <w:t>•</w:t>
            </w:r>
            <w:r>
              <w:rPr>
                <w:rFonts w:hint="eastAsia"/>
              </w:rPr>
              <w:t xml:space="preserve">  </w:t>
            </w:r>
            <w:r>
              <w:rPr>
                <w:rFonts w:hint="eastAsia"/>
              </w:rPr>
              <w:t>商业化：</w:t>
            </w:r>
          </w:p>
          <w:p w14:paraId="2F2CEB9C" w14:textId="77777777" w:rsidR="000D3476" w:rsidRDefault="004116FA">
            <w:pPr>
              <w:pStyle w:val="TableParagraph"/>
              <w:spacing w:line="360" w:lineRule="auto"/>
            </w:pPr>
            <w:r>
              <w:rPr>
                <w:rFonts w:hint="eastAsia"/>
              </w:rPr>
              <w:t>–</w:t>
            </w:r>
            <w:r>
              <w:rPr>
                <w:rFonts w:hint="eastAsia"/>
              </w:rPr>
              <w:t xml:space="preserve"> </w:t>
            </w:r>
            <w:r>
              <w:rPr>
                <w:rFonts w:hint="eastAsia"/>
              </w:rPr>
              <w:t>非药属性（保健品</w:t>
            </w:r>
            <w:r>
              <w:rPr>
                <w:rFonts w:hint="eastAsia"/>
              </w:rPr>
              <w:t>/</w:t>
            </w:r>
            <w:r>
              <w:rPr>
                <w:rFonts w:hint="eastAsia"/>
              </w:rPr>
              <w:t>食品），可在药房、超市</w:t>
            </w:r>
            <w:r>
              <w:rPr>
                <w:rFonts w:hint="eastAsia"/>
              </w:rPr>
              <w:t>、</w:t>
            </w:r>
            <w:r>
              <w:rPr>
                <w:rFonts w:hint="eastAsia"/>
                <w:lang w:val="en-US"/>
              </w:rPr>
              <w:t>线上</w:t>
            </w:r>
            <w:r>
              <w:rPr>
                <w:rFonts w:hint="eastAsia"/>
              </w:rPr>
              <w:t>销售；欧洲需报</w:t>
            </w:r>
            <w:r>
              <w:rPr>
                <w:rFonts w:hint="eastAsia"/>
              </w:rPr>
              <w:t>EFSA</w:t>
            </w:r>
            <w:r>
              <w:rPr>
                <w:rFonts w:hint="eastAsia"/>
              </w:rPr>
              <w:t>（</w:t>
            </w:r>
            <w:r>
              <w:rPr>
                <w:rFonts w:hint="eastAsia"/>
                <w:lang w:val="en-US"/>
              </w:rPr>
              <w:t>与</w:t>
            </w:r>
            <w:r>
              <w:rPr>
                <w:rFonts w:hint="eastAsia"/>
              </w:rPr>
              <w:t>意大利合作方</w:t>
            </w:r>
            <w:r>
              <w:rPr>
                <w:rFonts w:hint="eastAsia"/>
                <w:lang w:val="en-US"/>
              </w:rPr>
              <w:t>共同</w:t>
            </w:r>
            <w:r>
              <w:rPr>
                <w:rFonts w:hint="eastAsia"/>
              </w:rPr>
              <w:t>推进）；美国</w:t>
            </w:r>
            <w:r>
              <w:rPr>
                <w:rFonts w:hint="eastAsia"/>
                <w:lang w:val="en-US"/>
              </w:rPr>
              <w:t>需获得</w:t>
            </w:r>
            <w:r>
              <w:rPr>
                <w:rFonts w:hint="eastAsia"/>
                <w:lang w:val="en-US"/>
              </w:rPr>
              <w:t>GRAS</w:t>
            </w:r>
            <w:r>
              <w:rPr>
                <w:rFonts w:hint="eastAsia"/>
              </w:rPr>
              <w:t>。</w:t>
            </w:r>
          </w:p>
          <w:p w14:paraId="614936CC" w14:textId="77777777" w:rsidR="000D3476" w:rsidRDefault="004116FA">
            <w:pPr>
              <w:pStyle w:val="TableParagraph"/>
              <w:spacing w:line="360" w:lineRule="auto"/>
            </w:pPr>
            <w:r>
              <w:rPr>
                <w:rFonts w:hint="eastAsia"/>
              </w:rPr>
              <w:t>–</w:t>
            </w:r>
            <w:r>
              <w:rPr>
                <w:rFonts w:hint="eastAsia"/>
              </w:rPr>
              <w:t xml:space="preserve"> </w:t>
            </w:r>
            <w:r>
              <w:rPr>
                <w:rFonts w:hint="eastAsia"/>
              </w:rPr>
              <w:t>商业模式：</w:t>
            </w:r>
            <w:proofErr w:type="spellStart"/>
            <w:r>
              <w:rPr>
                <w:rFonts w:hint="eastAsia"/>
                <w:lang w:val="en-US"/>
              </w:rPr>
              <w:t>ToC</w:t>
            </w:r>
            <w:proofErr w:type="spellEnd"/>
            <w:r>
              <w:rPr>
                <w:rFonts w:hint="eastAsia"/>
                <w:lang w:val="en-US"/>
              </w:rPr>
              <w:t>、</w:t>
            </w:r>
            <w:proofErr w:type="spellStart"/>
            <w:r>
              <w:rPr>
                <w:rFonts w:hint="eastAsia"/>
                <w:lang w:val="en-US"/>
              </w:rPr>
              <w:t>ToB</w:t>
            </w:r>
            <w:proofErr w:type="spellEnd"/>
            <w:r>
              <w:rPr>
                <w:rFonts w:hint="eastAsia"/>
                <w:lang w:val="en-US"/>
              </w:rPr>
              <w:t>双</w:t>
            </w:r>
            <w:r>
              <w:rPr>
                <w:rFonts w:hint="eastAsia"/>
              </w:rPr>
              <w:t>路径</w:t>
            </w:r>
            <w:r>
              <w:rPr>
                <w:rFonts w:hint="eastAsia"/>
              </w:rPr>
              <w:t>并行（做品牌</w:t>
            </w:r>
            <w:r>
              <w:rPr>
                <w:rFonts w:hint="eastAsia"/>
              </w:rPr>
              <w:t>+</w:t>
            </w:r>
            <w:r>
              <w:rPr>
                <w:rFonts w:hint="eastAsia"/>
              </w:rPr>
              <w:t>找平台</w:t>
            </w:r>
            <w:r>
              <w:rPr>
                <w:rFonts w:hint="eastAsia"/>
              </w:rPr>
              <w:t>/</w:t>
            </w:r>
            <w:r>
              <w:rPr>
                <w:rFonts w:hint="eastAsia"/>
                <w:lang w:val="en-US"/>
              </w:rPr>
              <w:t>当</w:t>
            </w:r>
            <w:r>
              <w:rPr>
                <w:rFonts w:hint="eastAsia"/>
              </w:rPr>
              <w:t>地合作伙伴），已接触</w:t>
            </w:r>
            <w:r>
              <w:rPr>
                <w:rFonts w:hint="eastAsia"/>
              </w:rPr>
              <w:t>Google</w:t>
            </w:r>
            <w:r>
              <w:rPr>
                <w:rFonts w:hint="eastAsia"/>
              </w:rPr>
              <w:t>、</w:t>
            </w:r>
            <w:r>
              <w:rPr>
                <w:rFonts w:hint="eastAsia"/>
              </w:rPr>
              <w:t>Amazon</w:t>
            </w:r>
            <w:r>
              <w:rPr>
                <w:rFonts w:hint="eastAsia"/>
              </w:rPr>
              <w:t>、</w:t>
            </w:r>
            <w:proofErr w:type="spellStart"/>
            <w:r>
              <w:rPr>
                <w:rFonts w:hint="eastAsia"/>
                <w:lang w:val="en-US"/>
              </w:rPr>
              <w:t>Tiktok</w:t>
            </w:r>
            <w:proofErr w:type="spellEnd"/>
            <w:r>
              <w:rPr>
                <w:rFonts w:hint="eastAsia"/>
                <w:lang w:val="en-US"/>
              </w:rPr>
              <w:t>、</w:t>
            </w:r>
            <w:r>
              <w:rPr>
                <w:rFonts w:hint="eastAsia"/>
              </w:rPr>
              <w:t>阿里国际等；产品形态灵活（可</w:t>
            </w:r>
            <w:r>
              <w:rPr>
                <w:rFonts w:hint="eastAsia"/>
                <w:lang w:val="en-US"/>
              </w:rPr>
              <w:t>按需</w:t>
            </w:r>
            <w:r>
              <w:rPr>
                <w:rFonts w:hint="eastAsia"/>
              </w:rPr>
              <w:t>添加到</w:t>
            </w:r>
            <w:r>
              <w:rPr>
                <w:rFonts w:hint="eastAsia"/>
                <w:lang w:val="en-US"/>
              </w:rPr>
              <w:t>其他产品中</w:t>
            </w:r>
            <w:r>
              <w:rPr>
                <w:rFonts w:hint="eastAsia"/>
              </w:rPr>
              <w:t>）；定价</w:t>
            </w:r>
            <w:r>
              <w:rPr>
                <w:rFonts w:hint="eastAsia"/>
                <w:lang w:val="en-US"/>
              </w:rPr>
              <w:t>参考</w:t>
            </w:r>
            <w:r>
              <w:rPr>
                <w:rFonts w:hint="eastAsia"/>
                <w:lang w:val="en-US"/>
              </w:rPr>
              <w:t>GLP-1</w:t>
            </w:r>
            <w:r>
              <w:rPr>
                <w:rFonts w:hint="eastAsia"/>
                <w:lang w:val="en-US"/>
              </w:rPr>
              <w:t>类药</w:t>
            </w:r>
            <w:r>
              <w:rPr>
                <w:rFonts w:hint="eastAsia"/>
              </w:rPr>
              <w:t>品价格，结合</w:t>
            </w:r>
            <w:r>
              <w:rPr>
                <w:rFonts w:hint="eastAsia"/>
                <w:lang w:val="en-US"/>
              </w:rPr>
              <w:t>当地</w:t>
            </w:r>
            <w:r>
              <w:rPr>
                <w:rFonts w:hint="eastAsia"/>
              </w:rPr>
              <w:t>购买力</w:t>
            </w:r>
            <w:r>
              <w:rPr>
                <w:rFonts w:hint="eastAsia"/>
                <w:lang w:val="en-US"/>
              </w:rPr>
              <w:t>调整以</w:t>
            </w:r>
            <w:r>
              <w:rPr>
                <w:rFonts w:hint="eastAsia"/>
              </w:rPr>
              <w:t>保持</w:t>
            </w:r>
            <w:r>
              <w:rPr>
                <w:rFonts w:hint="eastAsia"/>
                <w:lang w:val="en-US"/>
              </w:rPr>
              <w:t>产品</w:t>
            </w:r>
            <w:r>
              <w:rPr>
                <w:rFonts w:hint="eastAsia"/>
              </w:rPr>
              <w:t>竞争力。</w:t>
            </w:r>
          </w:p>
          <w:p w14:paraId="1B1ED199" w14:textId="77777777" w:rsidR="000D3476" w:rsidRDefault="004116FA">
            <w:pPr>
              <w:pStyle w:val="TableParagraph"/>
              <w:spacing w:line="360" w:lineRule="auto"/>
            </w:pPr>
            <w:r>
              <w:rPr>
                <w:rFonts w:hint="eastAsia"/>
              </w:rPr>
              <w:t>•</w:t>
            </w:r>
            <w:r>
              <w:rPr>
                <w:rFonts w:hint="eastAsia"/>
              </w:rPr>
              <w:t xml:space="preserve"> </w:t>
            </w:r>
            <w:r>
              <w:rPr>
                <w:rFonts w:hint="eastAsia"/>
              </w:rPr>
              <w:t>后续计划：欧洲人体安全性实验</w:t>
            </w:r>
            <w:r>
              <w:rPr>
                <w:rFonts w:hint="eastAsia"/>
                <w:lang w:val="en-US"/>
              </w:rPr>
              <w:t>完成</w:t>
            </w:r>
            <w:r>
              <w:rPr>
                <w:rFonts w:hint="eastAsia"/>
              </w:rPr>
              <w:t>后考虑剂量爬坡实验；后续可能做更大规模临床试验（</w:t>
            </w:r>
            <w:r>
              <w:rPr>
                <w:rFonts w:hint="eastAsia"/>
                <w:lang w:val="en-US"/>
              </w:rPr>
              <w:t>按需</w:t>
            </w:r>
            <w:r>
              <w:rPr>
                <w:rFonts w:hint="eastAsia"/>
              </w:rPr>
              <w:t>）；布局全球专利（欧洲专利已布局，今年扩展</w:t>
            </w:r>
            <w:r>
              <w:rPr>
                <w:rFonts w:hint="eastAsia"/>
                <w:lang w:val="en-US"/>
              </w:rPr>
              <w:t>申报</w:t>
            </w:r>
            <w:r>
              <w:rPr>
                <w:rFonts w:hint="eastAsia"/>
              </w:rPr>
              <w:t>）。</w:t>
            </w:r>
          </w:p>
          <w:p w14:paraId="7FC39EDE" w14:textId="77777777" w:rsidR="000D3476" w:rsidRDefault="000D3476">
            <w:pPr>
              <w:pStyle w:val="TableParagraph"/>
              <w:spacing w:line="360" w:lineRule="auto"/>
            </w:pPr>
          </w:p>
          <w:p w14:paraId="0642D1E7" w14:textId="77777777" w:rsidR="000D3476" w:rsidRDefault="004116FA">
            <w:pPr>
              <w:pStyle w:val="TableParagraph"/>
              <w:spacing w:line="360" w:lineRule="auto"/>
              <w:rPr>
                <w:b/>
                <w:bCs/>
              </w:rPr>
            </w:pPr>
            <w:r>
              <w:rPr>
                <w:rFonts w:hint="eastAsia"/>
                <w:b/>
                <w:bCs/>
              </w:rPr>
              <w:t>小核酸</w:t>
            </w:r>
            <w:r>
              <w:rPr>
                <w:rFonts w:hint="eastAsia"/>
                <w:b/>
                <w:bCs/>
                <w:lang w:val="en-US"/>
              </w:rPr>
              <w:t>等创新</w:t>
            </w:r>
            <w:r>
              <w:rPr>
                <w:rFonts w:hint="eastAsia"/>
                <w:b/>
                <w:bCs/>
              </w:rPr>
              <w:t>药物研发</w:t>
            </w:r>
          </w:p>
          <w:p w14:paraId="05E6C1BA" w14:textId="77777777" w:rsidR="000D3476" w:rsidRDefault="004116FA">
            <w:pPr>
              <w:pStyle w:val="TableParagraph"/>
              <w:spacing w:line="360" w:lineRule="auto"/>
            </w:pPr>
            <w:r>
              <w:rPr>
                <w:rFonts w:hint="eastAsia"/>
              </w:rPr>
              <w:t>•</w:t>
            </w:r>
            <w:r>
              <w:rPr>
                <w:rFonts w:hint="eastAsia"/>
              </w:rPr>
              <w:t xml:space="preserve"> </w:t>
            </w:r>
            <w:r>
              <w:rPr>
                <w:rFonts w:hint="eastAsia"/>
              </w:rPr>
              <w:t>行业判断：小核酸药物将推动制药工业第三次浪潮，未来会成为慢病治疗标准疗法，颠覆行业生态；截至目前</w:t>
            </w:r>
            <w:proofErr w:type="gramStart"/>
            <w:r>
              <w:rPr>
                <w:rFonts w:hint="eastAsia"/>
              </w:rPr>
              <w:t>全球获</w:t>
            </w:r>
            <w:proofErr w:type="gramEnd"/>
            <w:r>
              <w:rPr>
                <w:rFonts w:hint="eastAsia"/>
              </w:rPr>
              <w:t>批</w:t>
            </w:r>
            <w:r>
              <w:rPr>
                <w:rFonts w:hint="eastAsia"/>
              </w:rPr>
              <w:t>23</w:t>
            </w:r>
            <w:r>
              <w:rPr>
                <w:rFonts w:hint="eastAsia"/>
              </w:rPr>
              <w:t>款小核酸药物（</w:t>
            </w:r>
            <w:r>
              <w:rPr>
                <w:rFonts w:hint="eastAsia"/>
              </w:rPr>
              <w:t xml:space="preserve">ASO </w:t>
            </w:r>
            <w:r>
              <w:rPr>
                <w:rFonts w:hint="eastAsia"/>
              </w:rPr>
              <w:t>7</w:t>
            </w:r>
            <w:r>
              <w:rPr>
                <w:rFonts w:hint="eastAsia"/>
              </w:rPr>
              <w:t>款、</w:t>
            </w:r>
            <w:r>
              <w:rPr>
                <w:rFonts w:hint="eastAsia"/>
              </w:rPr>
              <w:t>siRNA 14</w:t>
            </w:r>
            <w:r>
              <w:rPr>
                <w:rFonts w:hint="eastAsia"/>
              </w:rPr>
              <w:t>款、</w:t>
            </w:r>
            <w:r>
              <w:rPr>
                <w:rFonts w:hint="eastAsia"/>
              </w:rPr>
              <w:t>aptamer 2</w:t>
            </w:r>
            <w:r>
              <w:rPr>
                <w:rFonts w:hint="eastAsia"/>
              </w:rPr>
              <w:t>款）；</w:t>
            </w:r>
            <w:r>
              <w:rPr>
                <w:rFonts w:hint="eastAsia"/>
              </w:rPr>
              <w:t>2016</w:t>
            </w:r>
            <w:r>
              <w:rPr>
                <w:rFonts w:hint="eastAsia"/>
              </w:rPr>
              <w:t>年</w:t>
            </w:r>
            <w:r>
              <w:rPr>
                <w:rFonts w:hint="eastAsia"/>
              </w:rPr>
              <w:t>Inclusiran</w:t>
            </w:r>
            <w:r>
              <w:rPr>
                <w:rFonts w:hint="eastAsia"/>
              </w:rPr>
              <w:t>（诺华与</w:t>
            </w:r>
            <w:r>
              <w:rPr>
                <w:rFonts w:hint="eastAsia"/>
              </w:rPr>
              <w:t>Alnylam</w:t>
            </w:r>
            <w:r>
              <w:rPr>
                <w:rFonts w:hint="eastAsia"/>
              </w:rPr>
              <w:t>合作）将小核酸从罕见病扩展至慢病，打开市场想象；</w:t>
            </w:r>
            <w:r>
              <w:rPr>
                <w:rFonts w:hint="eastAsia"/>
              </w:rPr>
              <w:t>Alnylam</w:t>
            </w:r>
            <w:proofErr w:type="gramStart"/>
            <w:r>
              <w:rPr>
                <w:rFonts w:hint="eastAsia"/>
              </w:rPr>
              <w:t>市值超</w:t>
            </w:r>
            <w:proofErr w:type="gramEnd"/>
            <w:r>
              <w:rPr>
                <w:rFonts w:hint="eastAsia"/>
              </w:rPr>
              <w:t>600</w:t>
            </w:r>
            <w:r>
              <w:rPr>
                <w:rFonts w:hint="eastAsia"/>
              </w:rPr>
              <w:t>亿美金。</w:t>
            </w:r>
          </w:p>
          <w:p w14:paraId="55E7B65B" w14:textId="77777777" w:rsidR="000D3476" w:rsidRDefault="004116FA">
            <w:pPr>
              <w:pStyle w:val="TableParagraph"/>
              <w:spacing w:line="360" w:lineRule="auto"/>
            </w:pPr>
            <w:r>
              <w:rPr>
                <w:rFonts w:hint="eastAsia"/>
              </w:rPr>
              <w:t>•</w:t>
            </w:r>
            <w:r>
              <w:rPr>
                <w:rFonts w:hint="eastAsia"/>
              </w:rPr>
              <w:t xml:space="preserve"> </w:t>
            </w:r>
            <w:r>
              <w:rPr>
                <w:rFonts w:hint="eastAsia"/>
              </w:rPr>
              <w:t>研发方向：</w:t>
            </w:r>
          </w:p>
          <w:p w14:paraId="2F26F8FD" w14:textId="77777777" w:rsidR="000D3476" w:rsidRDefault="004116FA">
            <w:pPr>
              <w:pStyle w:val="TableParagraph"/>
              <w:spacing w:line="360" w:lineRule="auto"/>
            </w:pPr>
            <w:r>
              <w:rPr>
                <w:rFonts w:hint="eastAsia"/>
              </w:rPr>
              <w:t>–</w:t>
            </w:r>
            <w:r>
              <w:rPr>
                <w:rFonts w:hint="eastAsia"/>
                <w:lang w:val="en-US"/>
              </w:rPr>
              <w:t>研发布局</w:t>
            </w:r>
            <w:r>
              <w:rPr>
                <w:rFonts w:hint="eastAsia"/>
              </w:rPr>
              <w:t>为肝外靶点递送（肝内靶点</w:t>
            </w:r>
            <w:r>
              <w:rPr>
                <w:rFonts w:hint="eastAsia"/>
                <w:lang w:val="en-US"/>
              </w:rPr>
              <w:t>同质性高</w:t>
            </w:r>
            <w:r>
              <w:rPr>
                <w:rFonts w:hint="eastAsia"/>
              </w:rPr>
              <w:t>）；其次是基于人类遗传学数据驱动靶点发现和临床转化；第三是平台化工业设计（如长效性，实现一年一针）。</w:t>
            </w:r>
          </w:p>
          <w:p w14:paraId="3821906E" w14:textId="77777777" w:rsidR="000D3476" w:rsidRDefault="004116FA">
            <w:pPr>
              <w:pStyle w:val="TableParagraph"/>
              <w:spacing w:line="360" w:lineRule="auto"/>
            </w:pPr>
            <w:r>
              <w:rPr>
                <w:rFonts w:hint="eastAsia"/>
              </w:rPr>
              <w:t>–</w:t>
            </w:r>
            <w:r>
              <w:rPr>
                <w:rFonts w:hint="eastAsia"/>
                <w:lang w:val="en-US"/>
              </w:rPr>
              <w:t>MN0201</w:t>
            </w:r>
            <w:r>
              <w:rPr>
                <w:rFonts w:hint="eastAsia"/>
                <w:lang w:val="en-US"/>
              </w:rPr>
              <w:t>项目</w:t>
            </w:r>
            <w:r>
              <w:rPr>
                <w:rFonts w:hint="eastAsia"/>
              </w:rPr>
              <w:t>：</w:t>
            </w:r>
            <w:r>
              <w:rPr>
                <w:rFonts w:hint="eastAsia"/>
                <w:lang w:val="en-US"/>
              </w:rPr>
              <w:t>MN</w:t>
            </w:r>
            <w:r>
              <w:rPr>
                <w:rFonts w:hint="eastAsia"/>
              </w:rPr>
              <w:t>0201</w:t>
            </w:r>
            <w:r>
              <w:rPr>
                <w:rFonts w:hint="eastAsia"/>
              </w:rPr>
              <w:t>项目</w:t>
            </w:r>
            <w:r>
              <w:rPr>
                <w:rFonts w:hint="eastAsia"/>
                <w:lang w:val="en-US"/>
              </w:rPr>
              <w:t>为代谢领域管线</w:t>
            </w:r>
            <w:r>
              <w:rPr>
                <w:rFonts w:hint="eastAsia"/>
              </w:rPr>
              <w:t>（双靶点</w:t>
            </w:r>
            <w:r>
              <w:rPr>
                <w:rFonts w:hint="eastAsia"/>
              </w:rPr>
              <w:t>、</w:t>
            </w:r>
            <w:r>
              <w:rPr>
                <w:rFonts w:hint="eastAsia"/>
                <w:lang w:val="en-US"/>
              </w:rPr>
              <w:t>全新组合设计</w:t>
            </w:r>
            <w:r>
              <w:rPr>
                <w:rFonts w:hint="eastAsia"/>
              </w:rPr>
              <w:t>，适应症</w:t>
            </w:r>
            <w:r>
              <w:rPr>
                <w:rFonts w:hint="eastAsia"/>
              </w:rPr>
              <w:t>NASH</w:t>
            </w:r>
            <w:r>
              <w:rPr>
                <w:rFonts w:hint="eastAsia"/>
              </w:rPr>
              <w:t>，肝内递送），为全新机制组合，双靶点调控优于单靶点（覆盖代谢综合征多路径）；单</w:t>
            </w:r>
            <w:r>
              <w:rPr>
                <w:rFonts w:hint="eastAsia"/>
              </w:rPr>
              <w:t>靶点处于分子筛选阶段，部分序列</w:t>
            </w:r>
            <w:r>
              <w:rPr>
                <w:rFonts w:hint="eastAsia"/>
              </w:rPr>
              <w:t>mRNA</w:t>
            </w:r>
            <w:r>
              <w:rPr>
                <w:rFonts w:hint="eastAsia"/>
              </w:rPr>
              <w:t>超降水平优于阳性参考分子，双靶点组合早期数据今年内读出。</w:t>
            </w:r>
          </w:p>
          <w:p w14:paraId="383D69D9" w14:textId="77777777" w:rsidR="000D3476" w:rsidRDefault="004116FA">
            <w:pPr>
              <w:pStyle w:val="TableParagraph"/>
              <w:spacing w:line="360" w:lineRule="auto"/>
            </w:pPr>
            <w:r>
              <w:rPr>
                <w:rFonts w:hint="eastAsia"/>
              </w:rPr>
              <w:t>•</w:t>
            </w:r>
            <w:r>
              <w:rPr>
                <w:rFonts w:hint="eastAsia"/>
              </w:rPr>
              <w:t xml:space="preserve"> </w:t>
            </w:r>
            <w:r>
              <w:rPr>
                <w:rFonts w:hint="eastAsia"/>
              </w:rPr>
              <w:t>研发团队与进度：核心团队</w:t>
            </w:r>
            <w:r>
              <w:rPr>
                <w:rFonts w:hint="eastAsia"/>
                <w:lang w:val="en-US"/>
              </w:rPr>
              <w:t>初具规模</w:t>
            </w:r>
            <w:r>
              <w:rPr>
                <w:rFonts w:hint="eastAsia"/>
              </w:rPr>
              <w:t>，覆盖化学、</w:t>
            </w:r>
            <w:r>
              <w:rPr>
                <w:rFonts w:hint="eastAsia"/>
              </w:rPr>
              <w:t>CMC</w:t>
            </w:r>
            <w:r>
              <w:rPr>
                <w:rFonts w:hint="eastAsia"/>
              </w:rPr>
              <w:t>、临床前生物学、生物信息学等；开放合作</w:t>
            </w:r>
            <w:r>
              <w:rPr>
                <w:rFonts w:hint="eastAsia"/>
              </w:rPr>
              <w:t>/</w:t>
            </w:r>
            <w:r>
              <w:rPr>
                <w:rFonts w:hint="eastAsia"/>
              </w:rPr>
              <w:t>并购，整合上下游资源，对接</w:t>
            </w:r>
            <w:r>
              <w:rPr>
                <w:rFonts w:hint="eastAsia"/>
              </w:rPr>
              <w:t>AI</w:t>
            </w:r>
            <w:r>
              <w:rPr>
                <w:rFonts w:hint="eastAsia"/>
              </w:rPr>
              <w:t>制药公司加速研发。</w:t>
            </w:r>
          </w:p>
          <w:p w14:paraId="1D01F34E" w14:textId="77777777" w:rsidR="000D3476" w:rsidRDefault="000D3476">
            <w:pPr>
              <w:pStyle w:val="TableParagraph"/>
              <w:spacing w:line="360" w:lineRule="auto"/>
            </w:pPr>
          </w:p>
          <w:p w14:paraId="1EBBBF3A" w14:textId="77777777" w:rsidR="000D3476" w:rsidRDefault="000D3476">
            <w:pPr>
              <w:pStyle w:val="TableParagraph"/>
              <w:spacing w:line="360" w:lineRule="auto"/>
            </w:pPr>
          </w:p>
          <w:p w14:paraId="478C8ABD" w14:textId="77777777" w:rsidR="000D3476" w:rsidRDefault="004116FA">
            <w:pPr>
              <w:pStyle w:val="TableParagraph"/>
              <w:spacing w:line="360" w:lineRule="auto"/>
              <w:rPr>
                <w:lang w:val="en-US"/>
              </w:rPr>
            </w:pPr>
            <w:r>
              <w:rPr>
                <w:rFonts w:hint="eastAsia"/>
              </w:rPr>
              <w:t>Q&amp;A</w:t>
            </w:r>
            <w:r>
              <w:rPr>
                <w:rFonts w:hint="eastAsia"/>
              </w:rPr>
              <w:t>（</w:t>
            </w:r>
            <w:r>
              <w:rPr>
                <w:rFonts w:hint="eastAsia"/>
                <w:lang w:val="en-US"/>
              </w:rPr>
              <w:t>以下回复不涉及经营业绩指引，仅代表公司观点不做投资建议）</w:t>
            </w:r>
          </w:p>
          <w:p w14:paraId="2EC5B0F5" w14:textId="77777777" w:rsidR="000D3476" w:rsidRDefault="000D3476">
            <w:pPr>
              <w:pStyle w:val="TableParagraph"/>
              <w:spacing w:line="360" w:lineRule="auto"/>
            </w:pPr>
          </w:p>
          <w:p w14:paraId="7DC04D4C" w14:textId="77777777" w:rsidR="000D3476" w:rsidRDefault="004116FA">
            <w:pPr>
              <w:pStyle w:val="TableParagraph"/>
              <w:spacing w:line="360" w:lineRule="auto"/>
            </w:pPr>
            <w:r>
              <w:rPr>
                <w:rFonts w:hint="eastAsia"/>
              </w:rPr>
              <w:t>Q</w:t>
            </w:r>
            <w:r>
              <w:rPr>
                <w:rFonts w:hint="eastAsia"/>
              </w:rPr>
              <w:t>：</w:t>
            </w:r>
            <w:r>
              <w:rPr>
                <w:rFonts w:hint="eastAsia"/>
              </w:rPr>
              <w:t xml:space="preserve"> </w:t>
            </w:r>
            <w:r>
              <w:rPr>
                <w:rFonts w:hint="eastAsia"/>
              </w:rPr>
              <w:t>公司制剂代加工业务今年的整体量、业绩增长情况，以及未来</w:t>
            </w:r>
            <w:r>
              <w:rPr>
                <w:rFonts w:hint="eastAsia"/>
              </w:rPr>
              <w:t>3-5</w:t>
            </w:r>
            <w:r>
              <w:rPr>
                <w:rFonts w:hint="eastAsia"/>
              </w:rPr>
              <w:t>年工厂扩建计划对该业务的深化影响如何？</w:t>
            </w:r>
          </w:p>
          <w:p w14:paraId="18614911" w14:textId="77777777" w:rsidR="000D3476" w:rsidRDefault="000D3476">
            <w:pPr>
              <w:pStyle w:val="TableParagraph"/>
              <w:spacing w:line="360" w:lineRule="auto"/>
            </w:pPr>
          </w:p>
          <w:p w14:paraId="77E9A657" w14:textId="77777777" w:rsidR="000D3476" w:rsidRDefault="004116FA">
            <w:pPr>
              <w:pStyle w:val="TableParagraph"/>
              <w:spacing w:line="360" w:lineRule="auto"/>
            </w:pPr>
            <w:r>
              <w:rPr>
                <w:rFonts w:hint="eastAsia"/>
              </w:rPr>
              <w:t>A</w:t>
            </w:r>
            <w:r>
              <w:rPr>
                <w:rFonts w:hint="eastAsia"/>
              </w:rPr>
              <w:t>：公司制剂业务并非简单代加工，而是包含大量创新元素的共同研发（</w:t>
            </w:r>
            <w:r>
              <w:rPr>
                <w:rFonts w:hint="eastAsia"/>
              </w:rPr>
              <w:t>innovation-tra</w:t>
            </w:r>
            <w:r>
              <w:rPr>
                <w:rFonts w:hint="eastAsia"/>
              </w:rPr>
              <w:t>nsfer</w:t>
            </w:r>
            <w:r>
              <w:rPr>
                <w:rFonts w:hint="eastAsia"/>
              </w:rPr>
              <w:t>），需融合欧洲设备技术与中国注册标准，服务多国家上市需求（含小包装、大包装）。当前聚焦双层片、高端复杂缓释综合制剂等技术要求高的产品，是过去几年制剂高端化的核心方向。对业绩的影响上，目前制剂业务发展的势头是可持续的，预计</w:t>
            </w:r>
            <w:r>
              <w:rPr>
                <w:rFonts w:hint="eastAsia"/>
              </w:rPr>
              <w:t>2026</w:t>
            </w:r>
            <w:r>
              <w:rPr>
                <w:rFonts w:hint="eastAsia"/>
              </w:rPr>
              <w:t>年将继续实现稳定增长。</w:t>
            </w:r>
          </w:p>
          <w:p w14:paraId="60157C0D" w14:textId="77777777" w:rsidR="000D3476" w:rsidRDefault="000D3476">
            <w:pPr>
              <w:pStyle w:val="TableParagraph"/>
              <w:spacing w:line="360" w:lineRule="auto"/>
            </w:pPr>
          </w:p>
          <w:p w14:paraId="68545821" w14:textId="77777777" w:rsidR="000D3476" w:rsidRDefault="004116FA">
            <w:pPr>
              <w:pStyle w:val="TableParagraph"/>
              <w:spacing w:line="360" w:lineRule="auto"/>
            </w:pPr>
            <w:r>
              <w:rPr>
                <w:rFonts w:hint="eastAsia"/>
              </w:rPr>
              <w:t>Q</w:t>
            </w:r>
            <w:r>
              <w:rPr>
                <w:rFonts w:hint="eastAsia"/>
              </w:rPr>
              <w:t>：</w:t>
            </w:r>
            <w:proofErr w:type="gramStart"/>
            <w:r>
              <w:rPr>
                <w:rFonts w:hint="eastAsia"/>
              </w:rPr>
              <w:t>沙坦类</w:t>
            </w:r>
            <w:proofErr w:type="gramEnd"/>
            <w:r>
              <w:rPr>
                <w:rFonts w:hint="eastAsia"/>
              </w:rPr>
              <w:t>原料药的价格走势及未来展望如何？</w:t>
            </w:r>
          </w:p>
          <w:p w14:paraId="04557116" w14:textId="77777777" w:rsidR="000D3476" w:rsidRDefault="000D3476">
            <w:pPr>
              <w:pStyle w:val="TableParagraph"/>
              <w:spacing w:line="360" w:lineRule="auto"/>
            </w:pPr>
          </w:p>
          <w:p w14:paraId="591D5E94" w14:textId="77777777" w:rsidR="000D3476" w:rsidRDefault="004116FA">
            <w:pPr>
              <w:pStyle w:val="TableParagraph"/>
              <w:spacing w:line="360" w:lineRule="auto"/>
            </w:pPr>
            <w:r>
              <w:rPr>
                <w:rFonts w:hint="eastAsia"/>
              </w:rPr>
              <w:t>A</w:t>
            </w:r>
            <w:r>
              <w:rPr>
                <w:rFonts w:hint="eastAsia"/>
              </w:rPr>
              <w:t>：目前主要各方产能已经不再处于过剩阶段，成本</w:t>
            </w:r>
            <w:proofErr w:type="gramStart"/>
            <w:r>
              <w:rPr>
                <w:rFonts w:hint="eastAsia"/>
              </w:rPr>
              <w:t>端包括溴</w:t>
            </w:r>
            <w:proofErr w:type="gramEnd"/>
            <w:r>
              <w:rPr>
                <w:rFonts w:hint="eastAsia"/>
              </w:rPr>
              <w:t>素等上游已经涨价了，部分沙坦产品价格已经出现拐头迹象</w:t>
            </w:r>
            <w:r>
              <w:rPr>
                <w:rFonts w:hint="eastAsia"/>
              </w:rPr>
              <w:t>。</w:t>
            </w:r>
          </w:p>
          <w:p w14:paraId="408DDEF0" w14:textId="77777777" w:rsidR="000D3476" w:rsidRDefault="000D3476">
            <w:pPr>
              <w:pStyle w:val="TableParagraph"/>
              <w:spacing w:line="360" w:lineRule="auto"/>
            </w:pPr>
          </w:p>
          <w:p w14:paraId="33211828" w14:textId="77777777" w:rsidR="000D3476" w:rsidRDefault="004116FA">
            <w:pPr>
              <w:pStyle w:val="TableParagraph"/>
              <w:spacing w:line="360" w:lineRule="auto"/>
            </w:pPr>
            <w:r>
              <w:rPr>
                <w:rFonts w:hint="eastAsia"/>
              </w:rPr>
              <w:t>Q</w:t>
            </w:r>
            <w:r>
              <w:rPr>
                <w:rFonts w:hint="eastAsia"/>
              </w:rPr>
              <w:t>：公司未来</w:t>
            </w:r>
            <w:r>
              <w:rPr>
                <w:rFonts w:hint="eastAsia"/>
              </w:rPr>
              <w:t>CDMO</w:t>
            </w:r>
            <w:r>
              <w:rPr>
                <w:rFonts w:hint="eastAsia"/>
              </w:rPr>
              <w:t>业务的发展定位、与默沙东合作的品种及长期成长空间，以及产能爬坡情况如何？</w:t>
            </w:r>
          </w:p>
          <w:p w14:paraId="6DA77CE0" w14:textId="77777777" w:rsidR="000D3476" w:rsidRDefault="000D3476">
            <w:pPr>
              <w:pStyle w:val="TableParagraph"/>
              <w:spacing w:line="360" w:lineRule="auto"/>
            </w:pPr>
          </w:p>
          <w:p w14:paraId="3AEE2E92" w14:textId="77777777" w:rsidR="000D3476" w:rsidRDefault="004116FA">
            <w:pPr>
              <w:pStyle w:val="TableParagraph"/>
              <w:spacing w:line="360" w:lineRule="auto"/>
            </w:pPr>
            <w:r>
              <w:rPr>
                <w:rFonts w:hint="eastAsia"/>
              </w:rPr>
              <w:t>A</w:t>
            </w:r>
            <w:r>
              <w:rPr>
                <w:rFonts w:hint="eastAsia"/>
              </w:rPr>
              <w:t>：</w:t>
            </w:r>
            <w:r>
              <w:rPr>
                <w:rFonts w:hint="eastAsia"/>
              </w:rPr>
              <w:t xml:space="preserve"> </w:t>
            </w:r>
            <w:r>
              <w:rPr>
                <w:rFonts w:hint="eastAsia"/>
              </w:rPr>
              <w:t>与默沙东等国外大公司的合作进度总体符合预期，受国际形势变化导致的各国注册流程影响，商业化时间点与预想存在一定差异，但今年已有两个主要产品进入商业化阶段，覆盖</w:t>
            </w:r>
            <w:proofErr w:type="gramStart"/>
            <w:r>
              <w:rPr>
                <w:rFonts w:hint="eastAsia"/>
              </w:rPr>
              <w:t>全球超</w:t>
            </w:r>
            <w:proofErr w:type="gramEnd"/>
            <w:r>
              <w:rPr>
                <w:rFonts w:hint="eastAsia"/>
              </w:rPr>
              <w:t>100</w:t>
            </w:r>
            <w:r>
              <w:rPr>
                <w:rFonts w:hint="eastAsia"/>
              </w:rPr>
              <w:t>个国家（如澳大利亚、欧洲已完成变更，美国需</w:t>
            </w:r>
            <w:r>
              <w:rPr>
                <w:rFonts w:hint="eastAsia"/>
              </w:rPr>
              <w:t>FDA</w:t>
            </w:r>
            <w:r>
              <w:rPr>
                <w:rFonts w:hint="eastAsia"/>
              </w:rPr>
              <w:t>认证）。未来</w:t>
            </w:r>
            <w:r>
              <w:rPr>
                <w:rFonts w:hint="eastAsia"/>
              </w:rPr>
              <w:t>CDMO</w:t>
            </w:r>
            <w:r>
              <w:rPr>
                <w:rFonts w:hint="eastAsia"/>
              </w:rPr>
              <w:t>业务将</w:t>
            </w:r>
            <w:proofErr w:type="gramStart"/>
            <w:r>
              <w:rPr>
                <w:rFonts w:hint="eastAsia"/>
              </w:rPr>
              <w:t>向动保</w:t>
            </w:r>
            <w:proofErr w:type="gramEnd"/>
            <w:r>
              <w:rPr>
                <w:rFonts w:hint="eastAsia"/>
              </w:rPr>
              <w:t>原料、</w:t>
            </w:r>
            <w:proofErr w:type="gramStart"/>
            <w:r>
              <w:rPr>
                <w:rFonts w:hint="eastAsia"/>
              </w:rPr>
              <w:t>动保成品</w:t>
            </w:r>
            <w:proofErr w:type="gramEnd"/>
            <w:r>
              <w:rPr>
                <w:rFonts w:hint="eastAsia"/>
              </w:rPr>
              <w:t>药共同研发方向发展，同时会加大其他</w:t>
            </w:r>
            <w:r>
              <w:rPr>
                <w:rFonts w:hint="eastAsia"/>
              </w:rPr>
              <w:t>CDMO</w:t>
            </w:r>
            <w:r>
              <w:rPr>
                <w:rFonts w:hint="eastAsia"/>
              </w:rPr>
              <w:t>项目投入，总体看好行业前景。</w:t>
            </w:r>
          </w:p>
          <w:p w14:paraId="2DD3F1D5" w14:textId="77777777" w:rsidR="000D3476" w:rsidRDefault="000D3476">
            <w:pPr>
              <w:pStyle w:val="TableParagraph"/>
              <w:spacing w:line="360" w:lineRule="auto"/>
            </w:pPr>
          </w:p>
          <w:p w14:paraId="7B5D7E0E" w14:textId="77777777" w:rsidR="000D3476" w:rsidRDefault="004116FA">
            <w:pPr>
              <w:pStyle w:val="TableParagraph"/>
              <w:spacing w:line="360" w:lineRule="auto"/>
            </w:pPr>
            <w:r>
              <w:rPr>
                <w:rFonts w:hint="eastAsia"/>
              </w:rPr>
              <w:t>Q</w:t>
            </w:r>
            <w:r>
              <w:rPr>
                <w:rFonts w:hint="eastAsia"/>
              </w:rPr>
              <w:t>：沙坦类原料涨价向下游顺价的时间差、机制及下游接受程度如何？非沙坦类原料</w:t>
            </w:r>
            <w:r>
              <w:rPr>
                <w:rFonts w:hint="eastAsia"/>
              </w:rPr>
              <w:t>是否有涨价可能？</w:t>
            </w:r>
            <w:proofErr w:type="gramStart"/>
            <w:r>
              <w:rPr>
                <w:rFonts w:hint="eastAsia"/>
              </w:rPr>
              <w:t>动保原料药</w:t>
            </w:r>
            <w:proofErr w:type="gramEnd"/>
            <w:r>
              <w:rPr>
                <w:rFonts w:hint="eastAsia"/>
              </w:rPr>
              <w:t>目前的客户合作情况？</w:t>
            </w:r>
          </w:p>
          <w:p w14:paraId="6B1DBB08" w14:textId="77777777" w:rsidR="000D3476" w:rsidRDefault="000D3476">
            <w:pPr>
              <w:pStyle w:val="TableParagraph"/>
              <w:spacing w:line="360" w:lineRule="auto"/>
            </w:pPr>
          </w:p>
          <w:p w14:paraId="0D23385D" w14:textId="77777777" w:rsidR="000D3476" w:rsidRDefault="004116FA">
            <w:pPr>
              <w:pStyle w:val="TableParagraph"/>
              <w:spacing w:line="360" w:lineRule="auto"/>
            </w:pPr>
            <w:r>
              <w:rPr>
                <w:rFonts w:hint="eastAsia"/>
              </w:rPr>
              <w:t>A</w:t>
            </w:r>
            <w:r>
              <w:rPr>
                <w:rFonts w:hint="eastAsia"/>
              </w:rPr>
              <w:t>：国内竞争对手比较多，价格</w:t>
            </w:r>
            <w:proofErr w:type="gramStart"/>
            <w:r>
              <w:rPr>
                <w:rFonts w:hint="eastAsia"/>
              </w:rPr>
              <w:t>是之前</w:t>
            </w:r>
            <w:proofErr w:type="gramEnd"/>
            <w:r>
              <w:rPr>
                <w:rFonts w:hint="eastAsia"/>
              </w:rPr>
              <w:t>内卷的非理性结果。公司主要客户为海外法规市场客户，合理的价格上涨，传导接受不是问题，相信市场会逐步回暖。除开海外大客户</w:t>
            </w:r>
            <w:proofErr w:type="gramStart"/>
            <w:r>
              <w:rPr>
                <w:rFonts w:hint="eastAsia"/>
              </w:rPr>
              <w:t>的动保</w:t>
            </w:r>
            <w:proofErr w:type="gramEnd"/>
            <w:r>
              <w:rPr>
                <w:rFonts w:hint="eastAsia"/>
              </w:rPr>
              <w:t>CDMO</w:t>
            </w:r>
            <w:r>
              <w:rPr>
                <w:rFonts w:hint="eastAsia"/>
              </w:rPr>
              <w:t>业务，非规范市场</w:t>
            </w:r>
            <w:proofErr w:type="gramStart"/>
            <w:r>
              <w:rPr>
                <w:rFonts w:hint="eastAsia"/>
              </w:rPr>
              <w:t>动保原料</w:t>
            </w:r>
            <w:proofErr w:type="gramEnd"/>
            <w:r>
              <w:rPr>
                <w:rFonts w:hint="eastAsia"/>
              </w:rPr>
              <w:t>业务目前以中间体为主，</w:t>
            </w:r>
            <w:proofErr w:type="gramStart"/>
            <w:r>
              <w:rPr>
                <w:rFonts w:hint="eastAsia"/>
              </w:rPr>
              <w:t>走量策略</w:t>
            </w:r>
            <w:proofErr w:type="gramEnd"/>
            <w:r>
              <w:rPr>
                <w:rFonts w:hint="eastAsia"/>
              </w:rPr>
              <w:t>，价格较卷。</w:t>
            </w:r>
          </w:p>
          <w:p w14:paraId="105EA1C7" w14:textId="77777777" w:rsidR="000D3476" w:rsidRDefault="000D3476">
            <w:pPr>
              <w:pStyle w:val="TableParagraph"/>
              <w:spacing w:line="360" w:lineRule="auto"/>
            </w:pPr>
          </w:p>
          <w:p w14:paraId="7597C9A4" w14:textId="77777777" w:rsidR="000D3476" w:rsidRDefault="004116FA">
            <w:pPr>
              <w:pStyle w:val="TableParagraph"/>
              <w:spacing w:line="360" w:lineRule="auto"/>
            </w:pPr>
            <w:r>
              <w:rPr>
                <w:rFonts w:hint="eastAsia"/>
              </w:rPr>
              <w:t>Q</w:t>
            </w:r>
            <w:r>
              <w:rPr>
                <w:rFonts w:hint="eastAsia"/>
              </w:rPr>
              <w:t>：</w:t>
            </w:r>
            <w:r>
              <w:rPr>
                <w:rFonts w:hint="eastAsia"/>
              </w:rPr>
              <w:t xml:space="preserve"> </w:t>
            </w:r>
            <w:r>
              <w:rPr>
                <w:rFonts w:hint="eastAsia"/>
              </w:rPr>
              <w:t>国内市场沙坦类原料提价能否顺利进行？</w:t>
            </w:r>
          </w:p>
          <w:p w14:paraId="3460C67C" w14:textId="77777777" w:rsidR="000D3476" w:rsidRDefault="000D3476">
            <w:pPr>
              <w:pStyle w:val="TableParagraph"/>
              <w:spacing w:line="360" w:lineRule="auto"/>
            </w:pPr>
          </w:p>
          <w:p w14:paraId="196BB64B" w14:textId="77777777" w:rsidR="000D3476" w:rsidRDefault="004116FA">
            <w:pPr>
              <w:pStyle w:val="TableParagraph"/>
              <w:spacing w:line="360" w:lineRule="auto"/>
            </w:pPr>
            <w:r>
              <w:rPr>
                <w:rFonts w:hint="eastAsia"/>
              </w:rPr>
              <w:t xml:space="preserve">A: </w:t>
            </w:r>
            <w:proofErr w:type="gramStart"/>
            <w:r>
              <w:rPr>
                <w:rFonts w:hint="eastAsia"/>
              </w:rPr>
              <w:t>国内集采价格</w:t>
            </w:r>
            <w:proofErr w:type="gramEnd"/>
            <w:r>
              <w:rPr>
                <w:rFonts w:hint="eastAsia"/>
              </w:rPr>
              <w:t>已确定锚定，慢病药价格稳定，原料药成本占比低，且前期短缺药涨价的案例很多，幅度很大，因此</w:t>
            </w:r>
            <w:r>
              <w:rPr>
                <w:rFonts w:hint="eastAsia"/>
                <w:lang w:val="en-US"/>
              </w:rPr>
              <w:t>公司认为</w:t>
            </w:r>
            <w:r>
              <w:rPr>
                <w:rFonts w:hint="eastAsia"/>
              </w:rPr>
              <w:t>合理提价的阻力小</w:t>
            </w:r>
            <w:r>
              <w:rPr>
                <w:rFonts w:hint="eastAsia"/>
              </w:rPr>
              <w:t>，</w:t>
            </w:r>
            <w:r>
              <w:rPr>
                <w:rFonts w:hint="eastAsia"/>
                <w:lang w:val="en-US"/>
              </w:rPr>
              <w:t>这仅代表公司对行业的判断观点，不做具体指引</w:t>
            </w:r>
            <w:r>
              <w:rPr>
                <w:rFonts w:hint="eastAsia"/>
              </w:rPr>
              <w:t>。</w:t>
            </w:r>
          </w:p>
          <w:p w14:paraId="7EE9D547" w14:textId="77777777" w:rsidR="000D3476" w:rsidRDefault="000D3476">
            <w:pPr>
              <w:pStyle w:val="TableParagraph"/>
              <w:spacing w:line="360" w:lineRule="auto"/>
            </w:pPr>
          </w:p>
          <w:p w14:paraId="70A8334C" w14:textId="77777777" w:rsidR="000D3476" w:rsidRDefault="004116FA">
            <w:pPr>
              <w:pStyle w:val="TableParagraph"/>
              <w:spacing w:line="360" w:lineRule="auto"/>
            </w:pPr>
            <w:r>
              <w:rPr>
                <w:rFonts w:hint="eastAsia"/>
              </w:rPr>
              <w:t>Q</w:t>
            </w:r>
            <w:r>
              <w:rPr>
                <w:rFonts w:hint="eastAsia"/>
              </w:rPr>
              <w:t>：国内制剂业务的增量情况及今年业绩贡献指引如何？</w:t>
            </w:r>
          </w:p>
          <w:p w14:paraId="76DABA1D" w14:textId="77777777" w:rsidR="000D3476" w:rsidRDefault="000D3476">
            <w:pPr>
              <w:pStyle w:val="TableParagraph"/>
              <w:spacing w:line="360" w:lineRule="auto"/>
            </w:pPr>
          </w:p>
          <w:p w14:paraId="3E62CC54" w14:textId="77777777" w:rsidR="000D3476" w:rsidRDefault="004116FA">
            <w:pPr>
              <w:pStyle w:val="TableParagraph"/>
              <w:spacing w:line="360" w:lineRule="auto"/>
            </w:pPr>
            <w:r>
              <w:rPr>
                <w:rFonts w:hint="eastAsia"/>
              </w:rPr>
              <w:t>A</w:t>
            </w:r>
            <w:r>
              <w:rPr>
                <w:rFonts w:hint="eastAsia"/>
              </w:rPr>
              <w:t>：近期的集</w:t>
            </w:r>
            <w:proofErr w:type="gramStart"/>
            <w:r>
              <w:rPr>
                <w:rFonts w:hint="eastAsia"/>
              </w:rPr>
              <w:t>采续标因为</w:t>
            </w:r>
            <w:proofErr w:type="gramEnd"/>
            <w:r>
              <w:rPr>
                <w:rFonts w:hint="eastAsia"/>
              </w:rPr>
              <w:t>政策变化，公司多个产品中标集</w:t>
            </w:r>
            <w:proofErr w:type="gramStart"/>
            <w:r>
              <w:rPr>
                <w:rFonts w:hint="eastAsia"/>
              </w:rPr>
              <w:t>采续标</w:t>
            </w:r>
            <w:proofErr w:type="gramEnd"/>
            <w:r>
              <w:rPr>
                <w:rFonts w:hint="eastAsia"/>
              </w:rPr>
              <w:t>，已经按照给的指引在准备供货，这对公司是好事，属于纯粹增量，因为集采后续进程的不确定性，暂不提供具体业绩指引。</w:t>
            </w:r>
          </w:p>
          <w:p w14:paraId="3EA041C4" w14:textId="77777777" w:rsidR="000D3476" w:rsidRDefault="000D3476">
            <w:pPr>
              <w:pStyle w:val="TableParagraph"/>
              <w:spacing w:line="360" w:lineRule="auto"/>
            </w:pPr>
          </w:p>
          <w:p w14:paraId="481CA26B" w14:textId="77777777" w:rsidR="000D3476" w:rsidRDefault="004116FA">
            <w:pPr>
              <w:pStyle w:val="TableParagraph"/>
              <w:spacing w:line="360" w:lineRule="auto"/>
            </w:pPr>
            <w:r>
              <w:rPr>
                <w:rFonts w:hint="eastAsia"/>
              </w:rPr>
              <w:t>Q</w:t>
            </w:r>
            <w:r>
              <w:rPr>
                <w:rFonts w:hint="eastAsia"/>
              </w:rPr>
              <w:t>：</w:t>
            </w:r>
            <w:r>
              <w:rPr>
                <w:rFonts w:hint="eastAsia"/>
              </w:rPr>
              <w:t xml:space="preserve"> </w:t>
            </w:r>
            <w:r>
              <w:rPr>
                <w:rFonts w:hint="eastAsia"/>
                <w:lang w:val="en-US"/>
              </w:rPr>
              <w:t>20</w:t>
            </w:r>
            <w:r>
              <w:rPr>
                <w:rFonts w:hint="eastAsia"/>
              </w:rPr>
              <w:t>26-</w:t>
            </w:r>
            <w:r>
              <w:rPr>
                <w:rFonts w:hint="eastAsia"/>
                <w:lang w:val="en-US"/>
              </w:rPr>
              <w:t>20</w:t>
            </w:r>
            <w:r>
              <w:rPr>
                <w:rFonts w:hint="eastAsia"/>
              </w:rPr>
              <w:t>27</w:t>
            </w:r>
            <w:r>
              <w:rPr>
                <w:rFonts w:hint="eastAsia"/>
              </w:rPr>
              <w:t>年原料供需变化及价格展望如何？</w:t>
            </w:r>
          </w:p>
          <w:p w14:paraId="7F8A0854" w14:textId="77777777" w:rsidR="000D3476" w:rsidRDefault="000D3476">
            <w:pPr>
              <w:pStyle w:val="TableParagraph"/>
              <w:spacing w:line="360" w:lineRule="auto"/>
            </w:pPr>
          </w:p>
          <w:p w14:paraId="5ADDA5D0" w14:textId="77777777" w:rsidR="000D3476" w:rsidRDefault="004116FA">
            <w:pPr>
              <w:pStyle w:val="TableParagraph"/>
              <w:spacing w:line="360" w:lineRule="auto"/>
            </w:pPr>
            <w:r>
              <w:rPr>
                <w:rFonts w:hint="eastAsia"/>
              </w:rPr>
              <w:t xml:space="preserve">A: </w:t>
            </w:r>
            <w:r>
              <w:rPr>
                <w:rFonts w:hint="eastAsia"/>
              </w:rPr>
              <w:t>疫情期间行业产能建设高峰期已过，新增产能周期结束，供给端增量有限，而慢病</w:t>
            </w:r>
            <w:proofErr w:type="gramStart"/>
            <w:r>
              <w:rPr>
                <w:rFonts w:hint="eastAsia"/>
              </w:rPr>
              <w:t>药需求端持续</w:t>
            </w:r>
            <w:proofErr w:type="gramEnd"/>
            <w:r>
              <w:rPr>
                <w:rFonts w:hint="eastAsia"/>
              </w:rPr>
              <w:t>增加，供需将达到新平衡，价格有望理性回暖（竞争从非理性转向理性）。</w:t>
            </w:r>
          </w:p>
          <w:p w14:paraId="3F84A543" w14:textId="77777777" w:rsidR="000D3476" w:rsidRDefault="000D3476">
            <w:pPr>
              <w:pStyle w:val="TableParagraph"/>
              <w:spacing w:line="360" w:lineRule="auto"/>
            </w:pPr>
          </w:p>
          <w:p w14:paraId="4F6311BB" w14:textId="77777777" w:rsidR="000D3476" w:rsidRDefault="004116FA">
            <w:pPr>
              <w:pStyle w:val="TableParagraph"/>
              <w:spacing w:line="360" w:lineRule="auto"/>
            </w:pPr>
            <w:r>
              <w:rPr>
                <w:rFonts w:hint="eastAsia"/>
              </w:rPr>
              <w:t>Q</w:t>
            </w:r>
            <w:r>
              <w:rPr>
                <w:rFonts w:hint="eastAsia"/>
              </w:rPr>
              <w:t>：</w:t>
            </w:r>
            <w:r>
              <w:rPr>
                <w:rFonts w:hint="eastAsia"/>
              </w:rPr>
              <w:t xml:space="preserve"> </w:t>
            </w:r>
            <w:r>
              <w:rPr>
                <w:rFonts w:hint="eastAsia"/>
              </w:rPr>
              <w:t>产品无治疗相关不良反应具体指什么？肝肾功能安全性风险情况如何？消化道副作用发生情况怎样？脱落率为</w:t>
            </w:r>
            <w:r>
              <w:rPr>
                <w:rFonts w:hint="eastAsia"/>
              </w:rPr>
              <w:t>0</w:t>
            </w:r>
            <w:r>
              <w:rPr>
                <w:rFonts w:hint="eastAsia"/>
              </w:rPr>
              <w:t>的原因是什么？</w:t>
            </w:r>
          </w:p>
          <w:p w14:paraId="15A8039B" w14:textId="77777777" w:rsidR="000D3476" w:rsidRDefault="000D3476">
            <w:pPr>
              <w:pStyle w:val="TableParagraph"/>
              <w:spacing w:line="360" w:lineRule="auto"/>
            </w:pPr>
          </w:p>
          <w:p w14:paraId="314357FC" w14:textId="77777777" w:rsidR="000D3476" w:rsidRDefault="004116FA">
            <w:pPr>
              <w:pStyle w:val="TableParagraph"/>
              <w:spacing w:line="360" w:lineRule="auto"/>
            </w:pPr>
            <w:r>
              <w:rPr>
                <w:rFonts w:hint="eastAsia"/>
              </w:rPr>
              <w:t>A</w:t>
            </w:r>
            <w:r>
              <w:rPr>
                <w:rFonts w:hint="eastAsia"/>
              </w:rPr>
              <w:t>：在</w:t>
            </w:r>
            <w:r>
              <w:rPr>
                <w:rFonts w:hint="eastAsia"/>
              </w:rPr>
              <w:t>CRO</w:t>
            </w:r>
            <w:r>
              <w:rPr>
                <w:rFonts w:hint="eastAsia"/>
              </w:rPr>
              <w:t>公司的报告中无产品相关不良反应是指</w:t>
            </w:r>
            <w:r>
              <w:rPr>
                <w:rFonts w:hint="eastAsia"/>
              </w:rPr>
              <w:t>28</w:t>
            </w:r>
            <w:r>
              <w:rPr>
                <w:rFonts w:hint="eastAsia"/>
              </w:rPr>
              <w:t>例受试者全程未反馈任何副作用（如腹泻、便秘等不适），所有常规肝</w:t>
            </w:r>
            <w:proofErr w:type="gramStart"/>
            <w:r>
              <w:rPr>
                <w:rFonts w:hint="eastAsia"/>
              </w:rPr>
              <w:t>肾指标无</w:t>
            </w:r>
            <w:proofErr w:type="gramEnd"/>
            <w:r>
              <w:rPr>
                <w:rFonts w:hint="eastAsia"/>
                <w:lang w:val="en-US"/>
              </w:rPr>
              <w:t>异常</w:t>
            </w:r>
            <w:r>
              <w:rPr>
                <w:rFonts w:hint="eastAsia"/>
              </w:rPr>
              <w:t>波动。消化道方面未出现相关副作用，脱落率为</w:t>
            </w:r>
            <w:r>
              <w:rPr>
                <w:rFonts w:hint="eastAsia"/>
              </w:rPr>
              <w:t>0</w:t>
            </w:r>
            <w:r>
              <w:rPr>
                <w:rFonts w:hint="eastAsia"/>
              </w:rPr>
              <w:t>。核心是公司产品的机理不同，</w:t>
            </w:r>
            <w:proofErr w:type="gramStart"/>
            <w:r>
              <w:rPr>
                <w:rFonts w:hint="eastAsia"/>
              </w:rPr>
              <w:t>口服司美使用</w:t>
            </w:r>
            <w:proofErr w:type="gramEnd"/>
            <w:r>
              <w:rPr>
                <w:rFonts w:hint="eastAsia"/>
              </w:rPr>
              <w:t>的是</w:t>
            </w:r>
            <w:r>
              <w:rPr>
                <w:rFonts w:hint="eastAsia"/>
              </w:rPr>
              <w:t>SNAC</w:t>
            </w:r>
            <w:r>
              <w:rPr>
                <w:rFonts w:hint="eastAsia"/>
              </w:rPr>
              <w:t>，</w:t>
            </w:r>
            <w:r>
              <w:rPr>
                <w:rFonts w:hint="eastAsia"/>
                <w:lang w:val="en-US"/>
              </w:rPr>
              <w:t>通过改变</w:t>
            </w:r>
            <w:r>
              <w:rPr>
                <w:rFonts w:hint="eastAsia"/>
              </w:rPr>
              <w:t>胃部</w:t>
            </w:r>
            <w:r>
              <w:rPr>
                <w:rFonts w:hint="eastAsia"/>
                <w:lang w:val="en-US"/>
              </w:rPr>
              <w:t>局部环境促进有效成分</w:t>
            </w:r>
            <w:r>
              <w:rPr>
                <w:rFonts w:hint="eastAsia"/>
              </w:rPr>
              <w:t>吸收，会形成一定的胃部刺激，</w:t>
            </w:r>
            <w:r>
              <w:rPr>
                <w:rFonts w:hint="eastAsia"/>
              </w:rPr>
              <w:t>JH389</w:t>
            </w:r>
            <w:r>
              <w:rPr>
                <w:rFonts w:hint="eastAsia"/>
              </w:rPr>
              <w:t>是通过益</w:t>
            </w:r>
            <w:proofErr w:type="gramStart"/>
            <w:r>
              <w:rPr>
                <w:rFonts w:hint="eastAsia"/>
              </w:rPr>
              <w:t>生菌</w:t>
            </w:r>
            <w:r>
              <w:rPr>
                <w:rFonts w:hint="eastAsia"/>
                <w:lang w:val="en-US"/>
              </w:rPr>
              <w:t>向</w:t>
            </w:r>
            <w:r>
              <w:rPr>
                <w:rFonts w:hint="eastAsia"/>
              </w:rPr>
              <w:t>肠道</w:t>
            </w:r>
            <w:proofErr w:type="gramEnd"/>
            <w:r>
              <w:rPr>
                <w:rFonts w:hint="eastAsia"/>
                <w:lang w:val="en-US"/>
              </w:rPr>
              <w:t>递送</w:t>
            </w:r>
            <w:r>
              <w:rPr>
                <w:rFonts w:hint="eastAsia"/>
              </w:rPr>
              <w:t>GLP-1</w:t>
            </w:r>
            <w:r>
              <w:rPr>
                <w:rFonts w:hint="eastAsia"/>
              </w:rPr>
              <w:t>类似物，</w:t>
            </w:r>
            <w:r>
              <w:rPr>
                <w:rFonts w:hint="eastAsia"/>
                <w:lang w:val="en-US"/>
              </w:rPr>
              <w:t>且</w:t>
            </w:r>
            <w:r>
              <w:rPr>
                <w:rFonts w:hint="eastAsia"/>
              </w:rPr>
              <w:t>其构成不包含非天然氨基酸。</w:t>
            </w:r>
          </w:p>
          <w:p w14:paraId="2869D9EC" w14:textId="77777777" w:rsidR="000D3476" w:rsidRDefault="000D3476">
            <w:pPr>
              <w:pStyle w:val="TableParagraph"/>
              <w:spacing w:line="360" w:lineRule="auto"/>
            </w:pPr>
          </w:p>
          <w:p w14:paraId="2D6F1901" w14:textId="77777777" w:rsidR="000D3476" w:rsidRDefault="004116FA">
            <w:pPr>
              <w:pStyle w:val="TableParagraph"/>
              <w:spacing w:line="360" w:lineRule="auto"/>
            </w:pPr>
            <w:r>
              <w:rPr>
                <w:rFonts w:hint="eastAsia"/>
              </w:rPr>
              <w:t>Q</w:t>
            </w:r>
            <w:r>
              <w:rPr>
                <w:rFonts w:hint="eastAsia"/>
              </w:rPr>
              <w:t>：</w:t>
            </w:r>
            <w:r>
              <w:rPr>
                <w:rFonts w:hint="eastAsia"/>
              </w:rPr>
              <w:t>JH389</w:t>
            </w:r>
            <w:r>
              <w:rPr>
                <w:rFonts w:hint="eastAsia"/>
              </w:rPr>
              <w:t>上市需要完成哪些事</w:t>
            </w:r>
            <w:r>
              <w:rPr>
                <w:rFonts w:hint="eastAsia"/>
              </w:rPr>
              <w:t>项？</w:t>
            </w:r>
          </w:p>
          <w:p w14:paraId="7BA1918A" w14:textId="77777777" w:rsidR="000D3476" w:rsidRDefault="000D3476">
            <w:pPr>
              <w:pStyle w:val="TableParagraph"/>
              <w:spacing w:line="360" w:lineRule="auto"/>
            </w:pPr>
          </w:p>
          <w:p w14:paraId="09B6A4EF" w14:textId="77777777" w:rsidR="000D3476" w:rsidRDefault="004116FA">
            <w:pPr>
              <w:pStyle w:val="TableParagraph"/>
              <w:spacing w:line="360" w:lineRule="auto"/>
            </w:pPr>
            <w:r>
              <w:rPr>
                <w:rFonts w:hint="eastAsia"/>
              </w:rPr>
              <w:t>A</w:t>
            </w:r>
            <w:r>
              <w:rPr>
                <w:rFonts w:hint="eastAsia"/>
              </w:rPr>
              <w:t>：在欧洲</w:t>
            </w:r>
            <w:r>
              <w:rPr>
                <w:rFonts w:hint="eastAsia"/>
              </w:rPr>
              <w:t>&amp;</w:t>
            </w:r>
            <w:r>
              <w:rPr>
                <w:rFonts w:hint="eastAsia"/>
              </w:rPr>
              <w:t>美国</w:t>
            </w:r>
            <w:r>
              <w:rPr>
                <w:rFonts w:hint="eastAsia"/>
                <w:lang w:val="en-US"/>
              </w:rPr>
              <w:t>上市</w:t>
            </w:r>
            <w:r>
              <w:rPr>
                <w:rFonts w:hint="eastAsia"/>
              </w:rPr>
              <w:t>需要得到相关的认证，</w:t>
            </w:r>
            <w:r>
              <w:rPr>
                <w:rFonts w:hint="eastAsia"/>
                <w:lang w:val="en-US"/>
              </w:rPr>
              <w:t>欧洲需要获得</w:t>
            </w:r>
            <w:r>
              <w:rPr>
                <w:rFonts w:hint="eastAsia"/>
              </w:rPr>
              <w:t>EFSA</w:t>
            </w:r>
            <w:r>
              <w:rPr>
                <w:rFonts w:hint="eastAsia"/>
              </w:rPr>
              <w:t>（欧洲食品安全局）</w:t>
            </w:r>
            <w:r>
              <w:rPr>
                <w:rFonts w:hint="eastAsia"/>
                <w:lang w:val="en-US"/>
              </w:rPr>
              <w:t>的批准，美国需要获得</w:t>
            </w:r>
            <w:r>
              <w:rPr>
                <w:rFonts w:hint="eastAsia"/>
                <w:lang w:val="en-US"/>
              </w:rPr>
              <w:t>GRAS</w:t>
            </w:r>
            <w:r>
              <w:rPr>
                <w:rFonts w:hint="eastAsia"/>
                <w:lang w:val="en-US"/>
              </w:rPr>
              <w:t>认证。目前</w:t>
            </w:r>
            <w:r>
              <w:rPr>
                <w:rFonts w:hint="eastAsia"/>
              </w:rPr>
              <w:t>安全性试验</w:t>
            </w:r>
            <w:r>
              <w:rPr>
                <w:rFonts w:hint="eastAsia"/>
                <w:lang w:val="en-US"/>
              </w:rPr>
              <w:t>正与</w:t>
            </w:r>
            <w:r>
              <w:rPr>
                <w:rFonts w:hint="eastAsia"/>
              </w:rPr>
              <w:t>意大利合作伙伴</w:t>
            </w:r>
            <w:r>
              <w:rPr>
                <w:rFonts w:hint="eastAsia"/>
                <w:lang w:val="en-US"/>
              </w:rPr>
              <w:t>共同推进</w:t>
            </w:r>
            <w:r>
              <w:rPr>
                <w:rFonts w:hint="eastAsia"/>
              </w:rPr>
              <w:t>，</w:t>
            </w:r>
            <w:r>
              <w:rPr>
                <w:rFonts w:hint="eastAsia"/>
                <w:lang w:val="en-US"/>
              </w:rPr>
              <w:t>已</w:t>
            </w:r>
            <w:r>
              <w:rPr>
                <w:rFonts w:hint="eastAsia"/>
              </w:rPr>
              <w:t>进入</w:t>
            </w:r>
            <w:r>
              <w:rPr>
                <w:rFonts w:hint="eastAsia"/>
                <w:lang w:val="en-US"/>
              </w:rPr>
              <w:t>试验</w:t>
            </w:r>
            <w:r>
              <w:rPr>
                <w:rFonts w:hint="eastAsia"/>
              </w:rPr>
              <w:t>收尾阶段，在等待</w:t>
            </w:r>
            <w:r>
              <w:rPr>
                <w:rFonts w:hint="eastAsia"/>
                <w:lang w:val="en-US"/>
              </w:rPr>
              <w:t>试验完成后</w:t>
            </w:r>
            <w:r>
              <w:rPr>
                <w:rFonts w:hint="eastAsia"/>
              </w:rPr>
              <w:t>形成完整的安全性报告，之后将用这份报告进行欧洲、美国等地区的注册</w:t>
            </w:r>
            <w:r>
              <w:rPr>
                <w:rFonts w:hint="eastAsia"/>
                <w:lang w:val="en-US"/>
              </w:rPr>
              <w:t>工作</w:t>
            </w:r>
            <w:r>
              <w:rPr>
                <w:rFonts w:hint="eastAsia"/>
              </w:rPr>
              <w:t>。</w:t>
            </w:r>
          </w:p>
          <w:p w14:paraId="0C39EE25" w14:textId="77777777" w:rsidR="000D3476" w:rsidRDefault="000D3476">
            <w:pPr>
              <w:pStyle w:val="TableParagraph"/>
              <w:spacing w:line="360" w:lineRule="auto"/>
            </w:pPr>
          </w:p>
          <w:p w14:paraId="4104CA32" w14:textId="77777777" w:rsidR="000D3476" w:rsidRDefault="004116FA">
            <w:pPr>
              <w:pStyle w:val="TableParagraph"/>
              <w:spacing w:line="360" w:lineRule="auto"/>
            </w:pPr>
            <w:r>
              <w:rPr>
                <w:rFonts w:hint="eastAsia"/>
              </w:rPr>
              <w:t>Q</w:t>
            </w:r>
            <w:r>
              <w:rPr>
                <w:rFonts w:hint="eastAsia"/>
              </w:rPr>
              <w:t>：</w:t>
            </w:r>
            <w:r>
              <w:rPr>
                <w:rFonts w:hint="eastAsia"/>
              </w:rPr>
              <w:t>JH389</w:t>
            </w:r>
            <w:r>
              <w:rPr>
                <w:rFonts w:hint="eastAsia"/>
              </w:rPr>
              <w:t>后续的商业化策略？</w:t>
            </w:r>
          </w:p>
          <w:p w14:paraId="4E791257" w14:textId="77777777" w:rsidR="000D3476" w:rsidRDefault="000D3476">
            <w:pPr>
              <w:pStyle w:val="TableParagraph"/>
              <w:spacing w:line="360" w:lineRule="auto"/>
            </w:pPr>
          </w:p>
          <w:p w14:paraId="56907837" w14:textId="77777777" w:rsidR="000D3476" w:rsidRDefault="004116FA">
            <w:pPr>
              <w:pStyle w:val="TableParagraph"/>
              <w:spacing w:line="360" w:lineRule="auto"/>
            </w:pPr>
            <w:r>
              <w:rPr>
                <w:rFonts w:hint="eastAsia"/>
              </w:rPr>
              <w:t>A</w:t>
            </w:r>
            <w:r>
              <w:rPr>
                <w:rFonts w:hint="eastAsia"/>
              </w:rPr>
              <w:t>：</w:t>
            </w:r>
            <w:r>
              <w:rPr>
                <w:rFonts w:hint="eastAsia"/>
              </w:rPr>
              <w:t>JH389</w:t>
            </w:r>
            <w:r>
              <w:rPr>
                <w:rFonts w:hint="eastAsia"/>
              </w:rPr>
              <w:t>定位是一款安全、有效、能够长期服用的</w:t>
            </w:r>
            <w:r>
              <w:rPr>
                <w:rFonts w:hint="eastAsia"/>
                <w:lang w:val="en-US"/>
              </w:rPr>
              <w:t>非药</w:t>
            </w:r>
            <w:r>
              <w:rPr>
                <w:rFonts w:hint="eastAsia"/>
              </w:rPr>
              <w:t>成分，</w:t>
            </w:r>
            <w:r>
              <w:rPr>
                <w:rFonts w:hint="eastAsia"/>
                <w:lang w:val="en-US"/>
              </w:rPr>
              <w:t>走的是</w:t>
            </w:r>
            <w:r>
              <w:rPr>
                <w:rFonts w:hint="eastAsia"/>
              </w:rPr>
              <w:t>差异化竞争</w:t>
            </w:r>
            <w:r>
              <w:rPr>
                <w:rFonts w:hint="eastAsia"/>
                <w:lang w:val="en-US"/>
              </w:rPr>
              <w:t>与优势互补的路线</w:t>
            </w:r>
            <w:r>
              <w:rPr>
                <w:rFonts w:hint="eastAsia"/>
              </w:rPr>
              <w:t>。药品需要卷疗效，但从我们的</w:t>
            </w:r>
            <w:r>
              <w:rPr>
                <w:rFonts w:hint="eastAsia"/>
                <w:lang w:val="en-US"/>
              </w:rPr>
              <w:t>分析</w:t>
            </w:r>
            <w:r>
              <w:rPr>
                <w:rFonts w:hint="eastAsia"/>
              </w:rPr>
              <w:t>看，选择非药方向使</w:t>
            </w:r>
            <w:r>
              <w:rPr>
                <w:rFonts w:hint="eastAsia"/>
              </w:rPr>
              <w:t>JH389</w:t>
            </w:r>
            <w:r>
              <w:rPr>
                <w:rFonts w:hint="eastAsia"/>
              </w:rPr>
              <w:t>能够覆盖更广泛的人群，包括</w:t>
            </w:r>
            <w:r>
              <w:rPr>
                <w:rFonts w:hint="eastAsia"/>
              </w:rPr>
              <w:t>GLP-1</w:t>
            </w:r>
            <w:r>
              <w:rPr>
                <w:rFonts w:hint="eastAsia"/>
              </w:rPr>
              <w:t>类药物停药后体重反弹患者</w:t>
            </w:r>
            <w:r>
              <w:rPr>
                <w:rFonts w:hint="eastAsia"/>
              </w:rPr>
              <w:t>（</w:t>
            </w:r>
            <w:r>
              <w:rPr>
                <w:rFonts w:hint="eastAsia"/>
                <w:lang w:val="en-US"/>
              </w:rPr>
              <w:t>或停药后长期、间歇性服用以维持效果）</w:t>
            </w:r>
            <w:r>
              <w:rPr>
                <w:rFonts w:hint="eastAsia"/>
              </w:rPr>
              <w:t>、惧怕打针吃药的超重人群及热衷减肥产品的尝新用户。这类“健康焦虑人群”在全球范围内规模巨大</w:t>
            </w:r>
            <w:r>
              <w:rPr>
                <w:rFonts w:hint="eastAsia"/>
              </w:rPr>
              <w:t>（</w:t>
            </w:r>
            <w:r>
              <w:rPr>
                <w:rFonts w:hint="eastAsia"/>
                <w:lang w:val="en-US"/>
              </w:rPr>
              <w:t>有不小的一部分甚至不属于常规认知中的超重人群）</w:t>
            </w:r>
            <w:r>
              <w:rPr>
                <w:rFonts w:hint="eastAsia"/>
              </w:rPr>
              <w:t>，且付费意愿强烈。同时非药路径使产品能够获得更大的定价自由度和渠道灵活性，</w:t>
            </w:r>
            <w:r>
              <w:rPr>
                <w:rFonts w:hint="eastAsia"/>
                <w:lang w:val="en-US"/>
              </w:rPr>
              <w:t>并可以和其他成分</w:t>
            </w:r>
            <w:r>
              <w:rPr>
                <w:rFonts w:hint="eastAsia"/>
                <w:lang w:val="en-US"/>
              </w:rPr>
              <w:t>/</w:t>
            </w:r>
            <w:r>
              <w:rPr>
                <w:rFonts w:hint="eastAsia"/>
                <w:lang w:val="en-US"/>
              </w:rPr>
              <w:t>产品结合形成不同的产品组合，</w:t>
            </w:r>
            <w:r>
              <w:rPr>
                <w:rFonts w:hint="eastAsia"/>
              </w:rPr>
              <w:t>更快</w:t>
            </w:r>
            <w:proofErr w:type="gramStart"/>
            <w:r>
              <w:rPr>
                <w:rFonts w:hint="eastAsia"/>
              </w:rPr>
              <w:t>地触达目标</w:t>
            </w:r>
            <w:proofErr w:type="gramEnd"/>
            <w:r>
              <w:rPr>
                <w:rFonts w:hint="eastAsia"/>
              </w:rPr>
              <w:t>消费者。</w:t>
            </w:r>
          </w:p>
          <w:p w14:paraId="2C93E447" w14:textId="77777777" w:rsidR="000D3476" w:rsidRDefault="004116FA">
            <w:pPr>
              <w:pStyle w:val="TableParagraph"/>
              <w:spacing w:line="360" w:lineRule="auto"/>
            </w:pPr>
            <w:r>
              <w:rPr>
                <w:rFonts w:hint="eastAsia"/>
                <w:lang w:val="en-US"/>
              </w:rPr>
              <w:t>基于以上策略</w:t>
            </w:r>
            <w:r>
              <w:rPr>
                <w:rFonts w:hint="eastAsia"/>
              </w:rPr>
              <w:t>，</w:t>
            </w:r>
            <w:r>
              <w:rPr>
                <w:rFonts w:hint="eastAsia"/>
                <w:lang w:val="en-US"/>
              </w:rPr>
              <w:t>我们计划</w:t>
            </w:r>
            <w:proofErr w:type="spellStart"/>
            <w:r>
              <w:rPr>
                <w:rFonts w:hint="eastAsia"/>
                <w:lang w:val="en-US"/>
              </w:rPr>
              <w:t>ToC</w:t>
            </w:r>
            <w:proofErr w:type="spellEnd"/>
            <w:r>
              <w:rPr>
                <w:rFonts w:hint="eastAsia"/>
                <w:lang w:val="en-US"/>
              </w:rPr>
              <w:t>、</w:t>
            </w:r>
            <w:proofErr w:type="spellStart"/>
            <w:r>
              <w:rPr>
                <w:rFonts w:hint="eastAsia"/>
                <w:lang w:val="en-US"/>
              </w:rPr>
              <w:t>ToB</w:t>
            </w:r>
            <w:proofErr w:type="spellEnd"/>
            <w:r>
              <w:rPr>
                <w:rFonts w:hint="eastAsia"/>
                <w:lang w:val="en-US"/>
              </w:rPr>
              <w:t>双</w:t>
            </w:r>
            <w:r>
              <w:rPr>
                <w:rFonts w:hint="eastAsia"/>
              </w:rPr>
              <w:t>路径并行（做品牌</w:t>
            </w:r>
            <w:r>
              <w:rPr>
                <w:rFonts w:hint="eastAsia"/>
              </w:rPr>
              <w:t>+</w:t>
            </w:r>
            <w:r>
              <w:rPr>
                <w:rFonts w:hint="eastAsia"/>
              </w:rPr>
              <w:t>找平台</w:t>
            </w:r>
            <w:r>
              <w:rPr>
                <w:rFonts w:hint="eastAsia"/>
              </w:rPr>
              <w:t>/</w:t>
            </w:r>
            <w:r>
              <w:rPr>
                <w:rFonts w:hint="eastAsia"/>
                <w:lang w:val="en-US"/>
              </w:rPr>
              <w:t>当</w:t>
            </w:r>
            <w:r>
              <w:rPr>
                <w:rFonts w:hint="eastAsia"/>
              </w:rPr>
              <w:t>地合作伙伴），已接触</w:t>
            </w:r>
            <w:r>
              <w:rPr>
                <w:rFonts w:hint="eastAsia"/>
              </w:rPr>
              <w:t>Google</w:t>
            </w:r>
            <w:r>
              <w:rPr>
                <w:rFonts w:hint="eastAsia"/>
              </w:rPr>
              <w:t>、</w:t>
            </w:r>
            <w:r>
              <w:rPr>
                <w:rFonts w:hint="eastAsia"/>
              </w:rPr>
              <w:t>Am</w:t>
            </w:r>
            <w:r>
              <w:rPr>
                <w:rFonts w:hint="eastAsia"/>
              </w:rPr>
              <w:t>azon</w:t>
            </w:r>
            <w:r>
              <w:rPr>
                <w:rFonts w:hint="eastAsia"/>
              </w:rPr>
              <w:t>、</w:t>
            </w:r>
            <w:proofErr w:type="spellStart"/>
            <w:r>
              <w:rPr>
                <w:rFonts w:hint="eastAsia"/>
                <w:lang w:val="en-US"/>
              </w:rPr>
              <w:t>Tiktok</w:t>
            </w:r>
            <w:proofErr w:type="spellEnd"/>
            <w:r>
              <w:rPr>
                <w:rFonts w:hint="eastAsia"/>
                <w:lang w:val="en-US"/>
              </w:rPr>
              <w:t>、</w:t>
            </w:r>
            <w:r>
              <w:rPr>
                <w:rFonts w:hint="eastAsia"/>
              </w:rPr>
              <w:t>阿里国际等</w:t>
            </w:r>
            <w:r>
              <w:rPr>
                <w:rFonts w:hint="eastAsia"/>
              </w:rPr>
              <w:t>。</w:t>
            </w:r>
            <w:r>
              <w:rPr>
                <w:rFonts w:hint="eastAsia"/>
              </w:rPr>
              <w:t>期望实现与传统药企布局的错位竞争，产品互补，做大蛋糕，抢占非药市场份额，形成品牌化效应。</w:t>
            </w:r>
          </w:p>
          <w:p w14:paraId="7807E37D" w14:textId="77777777" w:rsidR="000D3476" w:rsidRDefault="000D3476">
            <w:pPr>
              <w:pStyle w:val="TableParagraph"/>
              <w:spacing w:line="360" w:lineRule="auto"/>
            </w:pPr>
          </w:p>
          <w:p w14:paraId="74497BCB" w14:textId="77777777" w:rsidR="000D3476" w:rsidRDefault="004116FA">
            <w:pPr>
              <w:pStyle w:val="TableParagraph"/>
              <w:spacing w:line="360" w:lineRule="auto"/>
            </w:pPr>
            <w:r>
              <w:rPr>
                <w:rFonts w:hint="eastAsia"/>
              </w:rPr>
              <w:t>Q</w:t>
            </w:r>
            <w:r>
              <w:rPr>
                <w:rFonts w:hint="eastAsia"/>
              </w:rPr>
              <w:t>：先发优势如何维持？</w:t>
            </w:r>
          </w:p>
          <w:p w14:paraId="3CACDC8B" w14:textId="77777777" w:rsidR="000D3476" w:rsidRDefault="000D3476">
            <w:pPr>
              <w:pStyle w:val="TableParagraph"/>
              <w:spacing w:line="360" w:lineRule="auto"/>
            </w:pPr>
          </w:p>
          <w:p w14:paraId="4D889FA5" w14:textId="77777777" w:rsidR="000D3476" w:rsidRDefault="004116FA">
            <w:pPr>
              <w:pStyle w:val="TableParagraph"/>
              <w:spacing w:line="360" w:lineRule="auto"/>
            </w:pPr>
            <w:r>
              <w:rPr>
                <w:rFonts w:hint="eastAsia"/>
              </w:rPr>
              <w:t>A</w:t>
            </w:r>
            <w:r>
              <w:rPr>
                <w:rFonts w:hint="eastAsia"/>
              </w:rPr>
              <w:t>：通过</w:t>
            </w:r>
            <w:r>
              <w:rPr>
                <w:rFonts w:hint="eastAsia"/>
                <w:lang w:val="en-US"/>
              </w:rPr>
              <w:t>不同市场采用差异化合作策略与当地合作伙伴进行市场多维度渗透以获取尽可能多的产品曝光及</w:t>
            </w:r>
            <w:proofErr w:type="gramStart"/>
            <w:r>
              <w:rPr>
                <w:rFonts w:hint="eastAsia"/>
                <w:lang w:val="en-US"/>
              </w:rPr>
              <w:t>市占率后</w:t>
            </w:r>
            <w:proofErr w:type="gramEnd"/>
            <w:r>
              <w:rPr>
                <w:rFonts w:hint="eastAsia"/>
                <w:lang w:val="en-US"/>
              </w:rPr>
              <w:t>，通过已进行的</w:t>
            </w:r>
            <w:r>
              <w:rPr>
                <w:rFonts w:hint="eastAsia"/>
              </w:rPr>
              <w:t>专利布局</w:t>
            </w:r>
            <w:r>
              <w:rPr>
                <w:rFonts w:hint="eastAsia"/>
              </w:rPr>
              <w:t>（</w:t>
            </w:r>
            <w:r>
              <w:rPr>
                <w:rFonts w:hint="eastAsia"/>
              </w:rPr>
              <w:t>已布局欧洲专利，今年将扩展至全球</w:t>
            </w:r>
            <w:r>
              <w:rPr>
                <w:rFonts w:hint="eastAsia"/>
              </w:rPr>
              <w:t>）、</w:t>
            </w:r>
            <w:r>
              <w:rPr>
                <w:rFonts w:hint="eastAsia"/>
                <w:lang w:val="en-US"/>
              </w:rPr>
              <w:t>新品发布（同技术平台不同功效）、产品迭代（同功效）、渠道筛选进化、优势合作伙伴深度绑定等综合策略维持先发优势甚至扩大领先</w:t>
            </w:r>
            <w:r>
              <w:rPr>
                <w:rFonts w:hint="eastAsia"/>
              </w:rPr>
              <w:t>。</w:t>
            </w:r>
          </w:p>
          <w:p w14:paraId="3AF8BC7D" w14:textId="77777777" w:rsidR="000D3476" w:rsidRDefault="000D3476">
            <w:pPr>
              <w:pStyle w:val="TableParagraph"/>
              <w:spacing w:line="360" w:lineRule="auto"/>
            </w:pPr>
          </w:p>
          <w:p w14:paraId="5FF6B462" w14:textId="77777777" w:rsidR="000D3476" w:rsidRDefault="000D3476">
            <w:pPr>
              <w:pStyle w:val="TableParagraph"/>
              <w:spacing w:line="360" w:lineRule="auto"/>
            </w:pPr>
          </w:p>
          <w:p w14:paraId="64545825" w14:textId="77777777" w:rsidR="000D3476" w:rsidRDefault="004116FA">
            <w:pPr>
              <w:pStyle w:val="TableParagraph"/>
              <w:spacing w:line="360" w:lineRule="auto"/>
            </w:pPr>
            <w:r>
              <w:rPr>
                <w:rFonts w:hint="eastAsia"/>
              </w:rPr>
              <w:t>Q</w:t>
            </w:r>
            <w:r>
              <w:rPr>
                <w:rFonts w:hint="eastAsia"/>
              </w:rPr>
              <w:t>：八周实验后是否出现平台期？持续服用效果如何？</w:t>
            </w:r>
          </w:p>
          <w:p w14:paraId="66993F22" w14:textId="77777777" w:rsidR="000D3476" w:rsidRDefault="000D3476">
            <w:pPr>
              <w:pStyle w:val="TableParagraph"/>
              <w:spacing w:line="360" w:lineRule="auto"/>
            </w:pPr>
          </w:p>
          <w:p w14:paraId="30282C25" w14:textId="77777777" w:rsidR="000D3476" w:rsidRDefault="004116FA">
            <w:pPr>
              <w:pStyle w:val="TableParagraph"/>
              <w:spacing w:line="360" w:lineRule="auto"/>
            </w:pPr>
            <w:r>
              <w:rPr>
                <w:rFonts w:hint="eastAsia"/>
              </w:rPr>
              <w:t>A</w:t>
            </w:r>
            <w:r>
              <w:rPr>
                <w:rFonts w:hint="eastAsia"/>
              </w:rPr>
              <w:t>：目前无法回答</w:t>
            </w:r>
            <w:r>
              <w:rPr>
                <w:rFonts w:hint="eastAsia"/>
              </w:rPr>
              <w:t>8</w:t>
            </w:r>
            <w:r>
              <w:rPr>
                <w:rFonts w:hint="eastAsia"/>
              </w:rPr>
              <w:t>周之后的情况，因为本次试验只持续</w:t>
            </w:r>
            <w:r>
              <w:rPr>
                <w:rFonts w:hint="eastAsia"/>
              </w:rPr>
              <w:t>8</w:t>
            </w:r>
            <w:r>
              <w:rPr>
                <w:rFonts w:hint="eastAsia"/>
              </w:rPr>
              <w:t>周，暂时没有做更大规模更长周期的试验。本次试验观察</w:t>
            </w:r>
            <w:r>
              <w:rPr>
                <w:rFonts w:hint="eastAsia"/>
                <w:lang w:val="en-US"/>
              </w:rPr>
              <w:t>到</w:t>
            </w:r>
            <w:r>
              <w:rPr>
                <w:rFonts w:hint="eastAsia"/>
              </w:rPr>
              <w:t>0-28</w:t>
            </w:r>
            <w:r>
              <w:rPr>
                <w:rFonts w:hint="eastAsia"/>
              </w:rPr>
              <w:t>、</w:t>
            </w:r>
            <w:r>
              <w:rPr>
                <w:rFonts w:hint="eastAsia"/>
              </w:rPr>
              <w:t>28-56</w:t>
            </w:r>
            <w:r>
              <w:rPr>
                <w:rFonts w:hint="eastAsia"/>
              </w:rPr>
              <w:t>天的减重效率有加速，要我们并没有</w:t>
            </w:r>
            <w:r>
              <w:rPr>
                <w:rFonts w:hint="eastAsia"/>
                <w:lang w:val="en-US"/>
              </w:rPr>
              <w:t>改变</w:t>
            </w:r>
            <w:r>
              <w:rPr>
                <w:rFonts w:hint="eastAsia"/>
              </w:rPr>
              <w:t>剂量，</w:t>
            </w:r>
            <w:r>
              <w:rPr>
                <w:rFonts w:hint="eastAsia"/>
                <w:lang w:val="en-US"/>
              </w:rPr>
              <w:t>所以</w:t>
            </w:r>
            <w:r>
              <w:rPr>
                <w:rFonts w:hint="eastAsia"/>
              </w:rPr>
              <w:t>平台期没有在</w:t>
            </w:r>
            <w:r>
              <w:rPr>
                <w:rFonts w:hint="eastAsia"/>
              </w:rPr>
              <w:t>8</w:t>
            </w:r>
            <w:r>
              <w:rPr>
                <w:rFonts w:hint="eastAsia"/>
              </w:rPr>
              <w:t>周内出现</w:t>
            </w:r>
            <w:r>
              <w:rPr>
                <w:rFonts w:hint="eastAsia"/>
              </w:rPr>
              <w:t>。</w:t>
            </w:r>
            <w:r>
              <w:rPr>
                <w:rFonts w:hint="eastAsia"/>
              </w:rPr>
              <w:t>因为益生菌类似于缓释的概念，服用后会持续分泌目标多肽，直至其</w:t>
            </w:r>
            <w:r>
              <w:rPr>
                <w:rFonts w:hint="eastAsia"/>
                <w:lang w:val="en-US"/>
              </w:rPr>
              <w:t>被</w:t>
            </w:r>
            <w:r>
              <w:rPr>
                <w:rFonts w:hint="eastAsia"/>
              </w:rPr>
              <w:t>排出体外，所以不会有明显的浓度快速提升或者急速下降带来的强烈体感变化，</w:t>
            </w:r>
            <w:r>
              <w:rPr>
                <w:rFonts w:hint="eastAsia"/>
                <w:lang w:val="en-US"/>
              </w:rPr>
              <w:t>持续服用即使出现漏服情况也不会大幅影响效果</w:t>
            </w:r>
            <w:r>
              <w:rPr>
                <w:rFonts w:hint="eastAsia"/>
              </w:rPr>
              <w:t>。</w:t>
            </w:r>
          </w:p>
          <w:p w14:paraId="37658DD6" w14:textId="77777777" w:rsidR="000D3476" w:rsidRDefault="000D3476">
            <w:pPr>
              <w:pStyle w:val="TableParagraph"/>
              <w:spacing w:line="360" w:lineRule="auto"/>
            </w:pPr>
          </w:p>
          <w:p w14:paraId="027CD558" w14:textId="77777777" w:rsidR="000D3476" w:rsidRDefault="000D3476">
            <w:pPr>
              <w:pStyle w:val="TableParagraph"/>
              <w:spacing w:line="360" w:lineRule="auto"/>
            </w:pPr>
          </w:p>
          <w:p w14:paraId="53ACD2C5" w14:textId="77777777" w:rsidR="000D3476" w:rsidRDefault="004116FA">
            <w:pPr>
              <w:pStyle w:val="TableParagraph"/>
              <w:spacing w:line="360" w:lineRule="auto"/>
            </w:pPr>
            <w:r>
              <w:rPr>
                <w:rFonts w:hint="eastAsia"/>
              </w:rPr>
              <w:t>Q</w:t>
            </w:r>
            <w:r>
              <w:rPr>
                <w:rFonts w:hint="eastAsia"/>
              </w:rPr>
              <w:t>：</w:t>
            </w:r>
            <w:r>
              <w:rPr>
                <w:rFonts w:hint="eastAsia"/>
              </w:rPr>
              <w:t>JH389</w:t>
            </w:r>
            <w:r>
              <w:rPr>
                <w:rFonts w:hint="eastAsia"/>
              </w:rPr>
              <w:t>的定价情况，以及除了意大利以外，其他地区的合作模式？</w:t>
            </w:r>
            <w:r>
              <w:rPr>
                <w:rFonts w:hint="eastAsia"/>
              </w:rPr>
              <w:t>JH389</w:t>
            </w:r>
            <w:r>
              <w:rPr>
                <w:rFonts w:hint="eastAsia"/>
              </w:rPr>
              <w:t>后续的合作模式，是公司提供</w:t>
            </w:r>
            <w:r>
              <w:rPr>
                <w:rFonts w:hint="eastAsia"/>
              </w:rPr>
              <w:t>API</w:t>
            </w:r>
            <w:r>
              <w:rPr>
                <w:rFonts w:hint="eastAsia"/>
              </w:rPr>
              <w:t>，合作伙伴销售吗？</w:t>
            </w:r>
          </w:p>
          <w:p w14:paraId="0205A9F3" w14:textId="77777777" w:rsidR="000D3476" w:rsidRDefault="000D3476">
            <w:pPr>
              <w:pStyle w:val="TableParagraph"/>
              <w:spacing w:line="360" w:lineRule="auto"/>
            </w:pPr>
          </w:p>
          <w:p w14:paraId="71668031" w14:textId="77777777" w:rsidR="000D3476" w:rsidRDefault="004116FA">
            <w:pPr>
              <w:pStyle w:val="TableParagraph"/>
              <w:spacing w:line="360" w:lineRule="auto"/>
            </w:pPr>
            <w:r>
              <w:rPr>
                <w:rFonts w:hint="eastAsia"/>
              </w:rPr>
              <w:t>A</w:t>
            </w:r>
            <w:r>
              <w:rPr>
                <w:rFonts w:hint="eastAsia"/>
              </w:rPr>
              <w:t>：</w:t>
            </w:r>
            <w:r>
              <w:rPr>
                <w:rFonts w:hint="eastAsia"/>
              </w:rPr>
              <w:t>JH389</w:t>
            </w:r>
            <w:r>
              <w:rPr>
                <w:rFonts w:hint="eastAsia"/>
              </w:rPr>
              <w:t>预计海外定价会</w:t>
            </w:r>
            <w:r>
              <w:rPr>
                <w:rFonts w:hint="eastAsia"/>
                <w:lang w:val="en-US"/>
              </w:rPr>
              <w:t>参考</w:t>
            </w:r>
            <w:r>
              <w:rPr>
                <w:rFonts w:hint="eastAsia"/>
                <w:lang w:val="en-US"/>
              </w:rPr>
              <w:t>GLP-1</w:t>
            </w:r>
            <w:r>
              <w:rPr>
                <w:rFonts w:hint="eastAsia"/>
                <w:lang w:val="en-US"/>
              </w:rPr>
              <w:t>类药</w:t>
            </w:r>
            <w:r>
              <w:rPr>
                <w:rFonts w:hint="eastAsia"/>
              </w:rPr>
              <w:t>品价格</w:t>
            </w:r>
            <w:r>
              <w:rPr>
                <w:rFonts w:hint="eastAsia"/>
              </w:rPr>
              <w:t>，</w:t>
            </w:r>
            <w:r>
              <w:rPr>
                <w:rFonts w:hint="eastAsia"/>
              </w:rPr>
              <w:t>具体根据产品最终形式和市场有不同的定价策略，</w:t>
            </w:r>
            <w:r>
              <w:rPr>
                <w:rFonts w:hint="eastAsia"/>
              </w:rPr>
              <w:t>JH389</w:t>
            </w:r>
            <w:r>
              <w:rPr>
                <w:rFonts w:hint="eastAsia"/>
              </w:rPr>
              <w:t>可以</w:t>
            </w:r>
            <w:r>
              <w:rPr>
                <w:rFonts w:hint="eastAsia"/>
                <w:lang w:val="en-US"/>
              </w:rPr>
              <w:t>按需</w:t>
            </w:r>
            <w:r>
              <w:rPr>
                <w:rFonts w:hint="eastAsia"/>
              </w:rPr>
              <w:t>加在其他产品中，形成一个日常服用的营养组合配方，提高整体产品附加值</w:t>
            </w:r>
            <w:r>
              <w:rPr>
                <w:rFonts w:hint="eastAsia"/>
                <w:lang w:val="en-US"/>
              </w:rPr>
              <w:t>故</w:t>
            </w:r>
            <w:r>
              <w:rPr>
                <w:rFonts w:hint="eastAsia"/>
              </w:rPr>
              <w:t>定价策略会非常灵活。合作模式</w:t>
            </w:r>
            <w:r>
              <w:rPr>
                <w:rFonts w:hint="eastAsia"/>
                <w:lang w:val="en-US"/>
              </w:rPr>
              <w:t>也比较开放，因为整体考虑</w:t>
            </w:r>
            <w:proofErr w:type="spellStart"/>
            <w:r>
              <w:rPr>
                <w:rFonts w:hint="eastAsia"/>
                <w:lang w:val="en-US"/>
              </w:rPr>
              <w:t>ToC</w:t>
            </w:r>
            <w:proofErr w:type="spellEnd"/>
            <w:r>
              <w:rPr>
                <w:rFonts w:hint="eastAsia"/>
                <w:lang w:val="en-US"/>
              </w:rPr>
              <w:t>、</w:t>
            </w:r>
            <w:proofErr w:type="spellStart"/>
            <w:r>
              <w:rPr>
                <w:rFonts w:hint="eastAsia"/>
                <w:lang w:val="en-US"/>
              </w:rPr>
              <w:t>ToB</w:t>
            </w:r>
            <w:proofErr w:type="spellEnd"/>
            <w:r>
              <w:rPr>
                <w:rFonts w:hint="eastAsia"/>
                <w:lang w:val="en-US"/>
              </w:rPr>
              <w:t>双</w:t>
            </w:r>
            <w:r>
              <w:rPr>
                <w:rFonts w:hint="eastAsia"/>
              </w:rPr>
              <w:t>路径并行（做品牌</w:t>
            </w:r>
            <w:r>
              <w:rPr>
                <w:rFonts w:hint="eastAsia"/>
              </w:rPr>
              <w:t>+</w:t>
            </w:r>
            <w:r>
              <w:rPr>
                <w:rFonts w:hint="eastAsia"/>
              </w:rPr>
              <w:t>找平台</w:t>
            </w:r>
            <w:r>
              <w:rPr>
                <w:rFonts w:hint="eastAsia"/>
              </w:rPr>
              <w:t>/</w:t>
            </w:r>
            <w:r>
              <w:rPr>
                <w:rFonts w:hint="eastAsia"/>
                <w:lang w:val="en-US"/>
              </w:rPr>
              <w:t>当</w:t>
            </w:r>
            <w:r>
              <w:rPr>
                <w:rFonts w:hint="eastAsia"/>
              </w:rPr>
              <w:t>地合作伙伴），</w:t>
            </w:r>
            <w:r>
              <w:rPr>
                <w:rFonts w:hint="eastAsia"/>
                <w:lang w:val="en-US"/>
              </w:rPr>
              <w:t>根据不同地区当地合作伙伴的优势制定合作计划开展产品推广</w:t>
            </w:r>
            <w:r>
              <w:rPr>
                <w:rFonts w:hint="eastAsia"/>
              </w:rPr>
              <w:t>，</w:t>
            </w:r>
            <w:r>
              <w:rPr>
                <w:rFonts w:hint="eastAsia"/>
                <w:lang w:val="en-US"/>
              </w:rPr>
              <w:t>不同地区的模式需一事一议</w:t>
            </w:r>
            <w:r>
              <w:rPr>
                <w:rFonts w:hint="eastAsia"/>
              </w:rPr>
              <w:t>。</w:t>
            </w:r>
          </w:p>
          <w:p w14:paraId="11C7DC2D" w14:textId="77777777" w:rsidR="000D3476" w:rsidRDefault="000D3476">
            <w:pPr>
              <w:pStyle w:val="TableParagraph"/>
              <w:spacing w:line="360" w:lineRule="auto"/>
            </w:pPr>
          </w:p>
          <w:p w14:paraId="369E6121" w14:textId="77777777" w:rsidR="000D3476" w:rsidRDefault="004116FA">
            <w:pPr>
              <w:pStyle w:val="TableParagraph"/>
              <w:spacing w:line="360" w:lineRule="auto"/>
            </w:pPr>
            <w:r>
              <w:rPr>
                <w:rFonts w:hint="eastAsia"/>
              </w:rPr>
              <w:t>Q</w:t>
            </w:r>
            <w:r>
              <w:rPr>
                <w:rFonts w:hint="eastAsia"/>
              </w:rPr>
              <w:t>：</w:t>
            </w:r>
            <w:r>
              <w:rPr>
                <w:rFonts w:hint="eastAsia"/>
              </w:rPr>
              <w:t>JH389</w:t>
            </w:r>
            <w:r>
              <w:rPr>
                <w:rFonts w:hint="eastAsia"/>
              </w:rPr>
              <w:t>不是药品，为什么要</w:t>
            </w:r>
            <w:r>
              <w:rPr>
                <w:rFonts w:hint="eastAsia"/>
                <w:lang w:val="en-US"/>
              </w:rPr>
              <w:t>做</w:t>
            </w:r>
            <w:r>
              <w:rPr>
                <w:rFonts w:hint="eastAsia"/>
              </w:rPr>
              <w:t>临床？后续剂量选择？</w:t>
            </w:r>
          </w:p>
          <w:p w14:paraId="4302E524" w14:textId="77777777" w:rsidR="000D3476" w:rsidRDefault="000D3476">
            <w:pPr>
              <w:pStyle w:val="TableParagraph"/>
              <w:spacing w:line="360" w:lineRule="auto"/>
            </w:pPr>
          </w:p>
          <w:p w14:paraId="4358EDF7" w14:textId="77777777" w:rsidR="000D3476" w:rsidRDefault="004116FA">
            <w:pPr>
              <w:pStyle w:val="TableParagraph"/>
              <w:spacing w:line="360" w:lineRule="auto"/>
            </w:pPr>
            <w:r>
              <w:rPr>
                <w:rFonts w:hint="eastAsia"/>
              </w:rPr>
              <w:t>A</w:t>
            </w:r>
            <w:r>
              <w:rPr>
                <w:rFonts w:hint="eastAsia"/>
              </w:rPr>
              <w:t>：首先我们确实可以不做任何效果临床相关的实验，因为这不是上市必备的，非药</w:t>
            </w:r>
            <w:r>
              <w:rPr>
                <w:rFonts w:hint="eastAsia"/>
              </w:rPr>
              <w:t>类的产品欧美上市的标准是安全性而不是有效性，但是</w:t>
            </w:r>
            <w:r>
              <w:rPr>
                <w:rFonts w:hint="eastAsia"/>
                <w:lang w:val="en-US"/>
              </w:rPr>
              <w:t>我们</w:t>
            </w:r>
            <w:r>
              <w:rPr>
                <w:rFonts w:hint="eastAsia"/>
              </w:rPr>
              <w:t>有自己的坚持，同时也希望通过这次试验让合作伙伴、投资者、消费者看到美诺华认真、严谨做事的态度和</w:t>
            </w:r>
            <w:r>
              <w:rPr>
                <w:rFonts w:hint="eastAsia"/>
              </w:rPr>
              <w:t>JH389</w:t>
            </w:r>
            <w:r>
              <w:rPr>
                <w:rFonts w:hint="eastAsia"/>
              </w:rPr>
              <w:t>项目的潜力</w:t>
            </w:r>
            <w:r>
              <w:rPr>
                <w:rFonts w:hint="eastAsia"/>
              </w:rPr>
              <w:t>。</w:t>
            </w:r>
            <w:r>
              <w:rPr>
                <w:rFonts w:hint="eastAsia"/>
              </w:rPr>
              <w:t>当然，未来这些试验数据也将作为</w:t>
            </w:r>
            <w:r>
              <w:rPr>
                <w:rFonts w:hint="eastAsia"/>
              </w:rPr>
              <w:t>JH389</w:t>
            </w:r>
            <w:r>
              <w:rPr>
                <w:rFonts w:hint="eastAsia"/>
                <w:lang w:val="en-US"/>
              </w:rPr>
              <w:t>商业推广</w:t>
            </w:r>
            <w:r>
              <w:rPr>
                <w:rFonts w:hint="eastAsia"/>
              </w:rPr>
              <w:t>的重要依据。目前在欧洲做剂量研究，但主要是偏向安全性的研究。目前设置的剂量是通过多项安全性评估以及实验测量后，对照低剂量的口服</w:t>
            </w:r>
            <w:r>
              <w:rPr>
                <w:rFonts w:hint="eastAsia"/>
              </w:rPr>
              <w:t>GLP-1</w:t>
            </w:r>
            <w:r>
              <w:rPr>
                <w:rFonts w:hint="eastAsia"/>
              </w:rPr>
              <w:t>类似物服用标准进行设计，效果符合且略超预期。后续欧洲人体安全性实验结束后，会考虑做剂量爬坡实验</w:t>
            </w:r>
            <w:r>
              <w:rPr>
                <w:rFonts w:hint="eastAsia"/>
              </w:rPr>
              <w:t>，</w:t>
            </w:r>
            <w:r>
              <w:rPr>
                <w:rFonts w:hint="eastAsia"/>
              </w:rPr>
              <w:t>动物实验中</w:t>
            </w:r>
            <w:r>
              <w:rPr>
                <w:rFonts w:hint="eastAsia"/>
                <w:lang w:val="en-US"/>
              </w:rPr>
              <w:t>更</w:t>
            </w:r>
            <w:r>
              <w:rPr>
                <w:rFonts w:hint="eastAsia"/>
              </w:rPr>
              <w:t>高剂量有</w:t>
            </w:r>
            <w:r>
              <w:rPr>
                <w:rFonts w:hint="eastAsia"/>
                <w:lang w:val="en-US"/>
              </w:rPr>
              <w:t>对应获益</w:t>
            </w:r>
            <w:r>
              <w:rPr>
                <w:rFonts w:hint="eastAsia"/>
              </w:rPr>
              <w:t>，所以有提升剂量</w:t>
            </w:r>
            <w:r>
              <w:rPr>
                <w:rFonts w:hint="eastAsia"/>
                <w:lang w:val="en-US"/>
              </w:rPr>
              <w:t>获得更大获益的可能，</w:t>
            </w:r>
            <w:r>
              <w:rPr>
                <w:rFonts w:hint="eastAsia"/>
              </w:rPr>
              <w:t>但</w:t>
            </w:r>
            <w:proofErr w:type="gramStart"/>
            <w:r>
              <w:rPr>
                <w:rFonts w:hint="eastAsia"/>
              </w:rPr>
              <w:t>需</w:t>
            </w:r>
            <w:r>
              <w:rPr>
                <w:rFonts w:hint="eastAsia"/>
                <w:lang w:val="en-US"/>
              </w:rPr>
              <w:t>相关</w:t>
            </w:r>
            <w:proofErr w:type="gramEnd"/>
            <w:r>
              <w:rPr>
                <w:rFonts w:hint="eastAsia"/>
                <w:lang w:val="en-US"/>
              </w:rPr>
              <w:t>试验</w:t>
            </w:r>
            <w:r>
              <w:rPr>
                <w:rFonts w:hint="eastAsia"/>
              </w:rPr>
              <w:t>验证</w:t>
            </w:r>
            <w:r>
              <w:rPr>
                <w:rFonts w:hint="eastAsia"/>
              </w:rPr>
              <w:t>。</w:t>
            </w:r>
          </w:p>
          <w:p w14:paraId="059364E9" w14:textId="77777777" w:rsidR="000D3476" w:rsidRDefault="000D3476">
            <w:pPr>
              <w:pStyle w:val="TableParagraph"/>
              <w:spacing w:line="360" w:lineRule="auto"/>
            </w:pPr>
          </w:p>
          <w:p w14:paraId="5FA076D0" w14:textId="77777777" w:rsidR="000D3476" w:rsidRDefault="000D3476">
            <w:pPr>
              <w:pStyle w:val="TableParagraph"/>
              <w:spacing w:line="360" w:lineRule="auto"/>
            </w:pPr>
          </w:p>
          <w:p w14:paraId="6A9F6207" w14:textId="77777777" w:rsidR="000D3476" w:rsidRDefault="004116FA">
            <w:pPr>
              <w:pStyle w:val="TableParagraph"/>
              <w:spacing w:line="360" w:lineRule="auto"/>
            </w:pPr>
            <w:r>
              <w:rPr>
                <w:rFonts w:hint="eastAsia"/>
              </w:rPr>
              <w:t>Q</w:t>
            </w:r>
            <w:r>
              <w:rPr>
                <w:rFonts w:hint="eastAsia"/>
              </w:rPr>
              <w:t>：</w:t>
            </w:r>
            <w:r>
              <w:rPr>
                <w:rFonts w:hint="eastAsia"/>
              </w:rPr>
              <w:t xml:space="preserve"> </w:t>
            </w:r>
            <w:r>
              <w:rPr>
                <w:rFonts w:hint="eastAsia"/>
              </w:rPr>
              <w:t>美诺</w:t>
            </w:r>
            <w:proofErr w:type="gramStart"/>
            <w:r>
              <w:rPr>
                <w:rFonts w:hint="eastAsia"/>
              </w:rPr>
              <w:t>华选择</w:t>
            </w:r>
            <w:proofErr w:type="gramEnd"/>
            <w:r>
              <w:rPr>
                <w:rFonts w:hint="eastAsia"/>
              </w:rPr>
              <w:t>小核酸作为创新业务转型起点的原因是什么？</w:t>
            </w:r>
          </w:p>
          <w:p w14:paraId="2DEB1E4E" w14:textId="77777777" w:rsidR="000D3476" w:rsidRDefault="000D3476">
            <w:pPr>
              <w:pStyle w:val="TableParagraph"/>
              <w:spacing w:line="360" w:lineRule="auto"/>
            </w:pPr>
          </w:p>
          <w:p w14:paraId="7EC46BEC" w14:textId="77777777" w:rsidR="000D3476" w:rsidRDefault="004116FA">
            <w:pPr>
              <w:pStyle w:val="TableParagraph"/>
              <w:spacing w:line="360" w:lineRule="auto"/>
            </w:pPr>
            <w:r>
              <w:rPr>
                <w:rFonts w:hint="eastAsia"/>
              </w:rPr>
              <w:t xml:space="preserve">A: </w:t>
            </w:r>
            <w:r>
              <w:rPr>
                <w:rFonts w:hint="eastAsia"/>
              </w:rPr>
              <w:t>美诺</w:t>
            </w:r>
            <w:proofErr w:type="gramStart"/>
            <w:r>
              <w:rPr>
                <w:rFonts w:hint="eastAsia"/>
              </w:rPr>
              <w:t>华选择</w:t>
            </w:r>
            <w:proofErr w:type="gramEnd"/>
            <w:r>
              <w:rPr>
                <w:rFonts w:hint="eastAsia"/>
              </w:rPr>
              <w:t>小核酸作为创新业务转型起点，源于对近代制药工业界的深入理解：近代制药工业经历了两次技术浪潮（小分子化学药、生物制药），每次技术革命都颠覆疾病治疗方式；目前业界认为核苷酸药物将推动制药工业第三次浪潮，美诺华几年前已敏锐感知这一趋势；基于公司在代谢病慢病领域的管线积累和观察，相信小核酸药物未来会成为慢病治疗的标准疗法，颠覆行业生态。</w:t>
            </w:r>
          </w:p>
          <w:p w14:paraId="1E9CCA8C" w14:textId="77777777" w:rsidR="000D3476" w:rsidRDefault="000D3476">
            <w:pPr>
              <w:pStyle w:val="TableParagraph"/>
              <w:spacing w:line="360" w:lineRule="auto"/>
            </w:pPr>
          </w:p>
          <w:p w14:paraId="2764D5EE" w14:textId="77777777" w:rsidR="000D3476" w:rsidRDefault="004116FA">
            <w:pPr>
              <w:pStyle w:val="TableParagraph"/>
              <w:spacing w:line="360" w:lineRule="auto"/>
            </w:pPr>
            <w:r>
              <w:rPr>
                <w:rFonts w:hint="eastAsia"/>
              </w:rPr>
              <w:t>Q</w:t>
            </w:r>
            <w:r>
              <w:rPr>
                <w:rFonts w:hint="eastAsia"/>
              </w:rPr>
              <w:t>：</w:t>
            </w:r>
            <w:r>
              <w:rPr>
                <w:rFonts w:hint="eastAsia"/>
              </w:rPr>
              <w:t xml:space="preserve"> </w:t>
            </w:r>
            <w:r>
              <w:rPr>
                <w:rFonts w:hint="eastAsia"/>
              </w:rPr>
              <w:t>小核酸药物的定义、分类及作用机制是怎样的？</w:t>
            </w:r>
          </w:p>
          <w:p w14:paraId="2C4BF007" w14:textId="77777777" w:rsidR="000D3476" w:rsidRDefault="000D3476">
            <w:pPr>
              <w:pStyle w:val="TableParagraph"/>
              <w:spacing w:line="360" w:lineRule="auto"/>
            </w:pPr>
          </w:p>
          <w:p w14:paraId="0EAC328B" w14:textId="77777777" w:rsidR="000D3476" w:rsidRDefault="004116FA">
            <w:pPr>
              <w:pStyle w:val="TableParagraph"/>
              <w:spacing w:line="360" w:lineRule="auto"/>
            </w:pPr>
            <w:r>
              <w:rPr>
                <w:rFonts w:hint="eastAsia"/>
              </w:rPr>
              <w:t xml:space="preserve">A: </w:t>
            </w:r>
            <w:r>
              <w:rPr>
                <w:rFonts w:hint="eastAsia"/>
              </w:rPr>
              <w:t>小核酸药物在药监分类上属于化学药，指人工合成（常用固相合成）、长度十几到几十个核苷酸、针对明确致病基因靶向</w:t>
            </w:r>
            <w:r>
              <w:rPr>
                <w:rFonts w:hint="eastAsia"/>
              </w:rPr>
              <w:t>mRNA</w:t>
            </w:r>
            <w:r>
              <w:rPr>
                <w:rFonts w:hint="eastAsia"/>
              </w:rPr>
              <w:t>或前体</w:t>
            </w:r>
            <w:r>
              <w:rPr>
                <w:rFonts w:hint="eastAsia"/>
              </w:rPr>
              <w:t>mRNA</w:t>
            </w:r>
            <w:r>
              <w:rPr>
                <w:rFonts w:hint="eastAsia"/>
              </w:rPr>
              <w:t>的特异性核酸序列，分子包括经过修饰的核酸多糖骨架（活性成分）和常规递送系统；商业化成熟的递送技术有</w:t>
            </w:r>
            <w:r>
              <w:rPr>
                <w:rFonts w:hint="eastAsia"/>
              </w:rPr>
              <w:t>GalNAc</w:t>
            </w:r>
            <w:r>
              <w:rPr>
                <w:rFonts w:hint="eastAsia"/>
              </w:rPr>
              <w:t>（主动靶向肝细胞）和</w:t>
            </w:r>
            <w:r>
              <w:rPr>
                <w:rFonts w:hint="eastAsia"/>
              </w:rPr>
              <w:t>LNP</w:t>
            </w:r>
            <w:r>
              <w:rPr>
                <w:rFonts w:hint="eastAsia"/>
              </w:rPr>
              <w:t>包被（</w:t>
            </w:r>
            <w:r>
              <w:rPr>
                <w:rFonts w:hint="eastAsia"/>
              </w:rPr>
              <w:t>ASO</w:t>
            </w:r>
            <w:r>
              <w:rPr>
                <w:rFonts w:hint="eastAsia"/>
              </w:rPr>
              <w:t>或</w:t>
            </w:r>
            <w:r>
              <w:rPr>
                <w:rFonts w:hint="eastAsia"/>
              </w:rPr>
              <w:t>mRNA</w:t>
            </w:r>
            <w:r>
              <w:rPr>
                <w:rFonts w:hint="eastAsia"/>
              </w:rPr>
              <w:t>常用）；作用机制基于碱基互补配对原则，靶向细胞内</w:t>
            </w:r>
            <w:r>
              <w:rPr>
                <w:rFonts w:hint="eastAsia"/>
              </w:rPr>
              <w:t>pre-mRNA</w:t>
            </w:r>
            <w:r>
              <w:rPr>
                <w:rFonts w:hint="eastAsia"/>
              </w:rPr>
              <w:t>，从源头调控或调降致病蛋白表达；分类包括</w:t>
            </w:r>
            <w:r>
              <w:rPr>
                <w:rFonts w:hint="eastAsia"/>
              </w:rPr>
              <w:t>RNA</w:t>
            </w:r>
            <w:r>
              <w:rPr>
                <w:rFonts w:hint="eastAsia"/>
              </w:rPr>
              <w:t>干扰、</w:t>
            </w:r>
            <w:r>
              <w:rPr>
                <w:rFonts w:hint="eastAsia"/>
              </w:rPr>
              <w:t>microRNA</w:t>
            </w:r>
            <w:r>
              <w:rPr>
                <w:rFonts w:hint="eastAsia"/>
              </w:rPr>
              <w:t>、小激活及适体等，全球已获批</w:t>
            </w:r>
            <w:r>
              <w:rPr>
                <w:rFonts w:hint="eastAsia"/>
              </w:rPr>
              <w:t>23</w:t>
            </w:r>
            <w:r>
              <w:rPr>
                <w:rFonts w:hint="eastAsia"/>
              </w:rPr>
              <w:t>款小核酸药物（</w:t>
            </w:r>
            <w:r>
              <w:rPr>
                <w:rFonts w:hint="eastAsia"/>
              </w:rPr>
              <w:t>ASO 7</w:t>
            </w:r>
            <w:r>
              <w:rPr>
                <w:rFonts w:hint="eastAsia"/>
              </w:rPr>
              <w:t>款、</w:t>
            </w:r>
            <w:r>
              <w:rPr>
                <w:rFonts w:hint="eastAsia"/>
              </w:rPr>
              <w:t>siRNA 14</w:t>
            </w:r>
            <w:r>
              <w:rPr>
                <w:rFonts w:hint="eastAsia"/>
              </w:rPr>
              <w:t>款、</w:t>
            </w:r>
            <w:r>
              <w:rPr>
                <w:rFonts w:hint="eastAsia"/>
              </w:rPr>
              <w:t>aptamer</w:t>
            </w:r>
            <w:r>
              <w:rPr>
                <w:rFonts w:hint="eastAsia"/>
              </w:rPr>
              <w:t xml:space="preserve"> 2</w:t>
            </w:r>
            <w:r>
              <w:rPr>
                <w:rFonts w:hint="eastAsia"/>
              </w:rPr>
              <w:t>款）。</w:t>
            </w:r>
          </w:p>
          <w:p w14:paraId="0641544F" w14:textId="77777777" w:rsidR="000D3476" w:rsidRDefault="000D3476">
            <w:pPr>
              <w:pStyle w:val="TableParagraph"/>
              <w:spacing w:line="360" w:lineRule="auto"/>
            </w:pPr>
          </w:p>
          <w:p w14:paraId="44E69B7C" w14:textId="77777777" w:rsidR="000D3476" w:rsidRDefault="004116FA">
            <w:pPr>
              <w:pStyle w:val="TableParagraph"/>
              <w:spacing w:line="360" w:lineRule="auto"/>
            </w:pPr>
            <w:r>
              <w:rPr>
                <w:rFonts w:hint="eastAsia"/>
              </w:rPr>
              <w:t>Q</w:t>
            </w:r>
            <w:r>
              <w:rPr>
                <w:rFonts w:hint="eastAsia"/>
              </w:rPr>
              <w:t>：</w:t>
            </w:r>
            <w:r>
              <w:rPr>
                <w:rFonts w:hint="eastAsia"/>
              </w:rPr>
              <w:t xml:space="preserve"> </w:t>
            </w:r>
            <w:r>
              <w:rPr>
                <w:rFonts w:hint="eastAsia"/>
              </w:rPr>
              <w:t>小核酸药物市场的发展历程及当前趋势如何？</w:t>
            </w:r>
          </w:p>
          <w:p w14:paraId="47AAC6CD" w14:textId="77777777" w:rsidR="000D3476" w:rsidRDefault="000D3476">
            <w:pPr>
              <w:pStyle w:val="TableParagraph"/>
              <w:spacing w:line="360" w:lineRule="auto"/>
            </w:pPr>
          </w:p>
          <w:p w14:paraId="37CD61E8" w14:textId="77777777" w:rsidR="000D3476" w:rsidRDefault="004116FA">
            <w:pPr>
              <w:pStyle w:val="TableParagraph"/>
              <w:spacing w:line="360" w:lineRule="auto"/>
            </w:pPr>
            <w:r>
              <w:rPr>
                <w:rFonts w:hint="eastAsia"/>
              </w:rPr>
              <w:t xml:space="preserve">A: </w:t>
            </w:r>
            <w:r>
              <w:rPr>
                <w:rFonts w:hint="eastAsia"/>
              </w:rPr>
              <w:t>小核酸药物发展初期因早期</w:t>
            </w:r>
            <w:r>
              <w:rPr>
                <w:rFonts w:hint="eastAsia"/>
              </w:rPr>
              <w:t>siRNA</w:t>
            </w:r>
            <w:r>
              <w:rPr>
                <w:rFonts w:hint="eastAsia"/>
              </w:rPr>
              <w:t>药物不太成功、</w:t>
            </w:r>
            <w:r>
              <w:rPr>
                <w:rFonts w:hint="eastAsia"/>
              </w:rPr>
              <w:t>RNAi</w:t>
            </w:r>
            <w:r>
              <w:rPr>
                <w:rFonts w:hint="eastAsia"/>
              </w:rPr>
              <w:t>安全性固有问题未受广泛关注；</w:t>
            </w:r>
            <w:r>
              <w:rPr>
                <w:rFonts w:hint="eastAsia"/>
              </w:rPr>
              <w:t>2010</w:t>
            </w:r>
            <w:r>
              <w:rPr>
                <w:rFonts w:hint="eastAsia"/>
              </w:rPr>
              <w:t>年</w:t>
            </w:r>
            <w:r>
              <w:rPr>
                <w:rFonts w:hint="eastAsia"/>
              </w:rPr>
              <w:t>Alnylam</w:t>
            </w:r>
            <w:r>
              <w:rPr>
                <w:rFonts w:hint="eastAsia"/>
              </w:rPr>
              <w:t>公开</w:t>
            </w:r>
            <w:r>
              <w:rPr>
                <w:rFonts w:hint="eastAsia"/>
              </w:rPr>
              <w:t>GalNAc</w:t>
            </w:r>
            <w:r>
              <w:rPr>
                <w:rFonts w:hint="eastAsia"/>
              </w:rPr>
              <w:t>技术和增强稳定化学修饰技术后，</w:t>
            </w:r>
            <w:r>
              <w:rPr>
                <w:rFonts w:hint="eastAsia"/>
              </w:rPr>
              <w:t>2016</w:t>
            </w:r>
            <w:r>
              <w:rPr>
                <w:rFonts w:hint="eastAsia"/>
              </w:rPr>
              <w:t>年</w:t>
            </w:r>
            <w:r>
              <w:rPr>
                <w:rFonts w:hint="eastAsia"/>
              </w:rPr>
              <w:t>Inclusiran</w:t>
            </w:r>
            <w:r>
              <w:rPr>
                <w:rFonts w:hint="eastAsia"/>
              </w:rPr>
              <w:t>（诺华与</w:t>
            </w:r>
            <w:r>
              <w:rPr>
                <w:rFonts w:hint="eastAsia"/>
              </w:rPr>
              <w:t>Alnylam</w:t>
            </w:r>
            <w:r>
              <w:rPr>
                <w:rFonts w:hint="eastAsia"/>
              </w:rPr>
              <w:t>共同研发）成为</w:t>
            </w:r>
            <w:proofErr w:type="gramStart"/>
            <w:r>
              <w:rPr>
                <w:rFonts w:hint="eastAsia"/>
              </w:rPr>
              <w:t>现象级</w:t>
            </w:r>
            <w:proofErr w:type="gramEnd"/>
            <w:r>
              <w:rPr>
                <w:rFonts w:hint="eastAsia"/>
              </w:rPr>
              <w:t>药物，首次将小核酸药物从罕见病扩展到慢病领域；慢病领域（如高胆固醇血症、高血压肾病）对应几百亿至千亿规模市场，打开市场想象，</w:t>
            </w:r>
            <w:r>
              <w:rPr>
                <w:rFonts w:hint="eastAsia"/>
              </w:rPr>
              <w:t>Alnylam</w:t>
            </w:r>
            <w:r>
              <w:rPr>
                <w:rFonts w:hint="eastAsia"/>
              </w:rPr>
              <w:t>市值已超</w:t>
            </w:r>
            <w:r>
              <w:rPr>
                <w:rFonts w:hint="eastAsia"/>
              </w:rPr>
              <w:t>600</w:t>
            </w:r>
            <w:r>
              <w:rPr>
                <w:rFonts w:hint="eastAsia"/>
              </w:rPr>
              <w:t>亿美金；</w:t>
            </w:r>
            <w:r>
              <w:rPr>
                <w:rFonts w:hint="eastAsia"/>
              </w:rPr>
              <w:t>2025</w:t>
            </w:r>
            <w:r>
              <w:rPr>
                <w:rFonts w:hint="eastAsia"/>
              </w:rPr>
              <w:t>年</w:t>
            </w:r>
            <w:r>
              <w:rPr>
                <w:rFonts w:hint="eastAsia"/>
              </w:rPr>
              <w:t>1</w:t>
            </w:r>
            <w:r>
              <w:rPr>
                <w:rFonts w:hint="eastAsia"/>
              </w:rPr>
              <w:t>月</w:t>
            </w:r>
            <w:r>
              <w:rPr>
                <w:rFonts w:hint="eastAsia"/>
              </w:rPr>
              <w:t>-2026</w:t>
            </w:r>
            <w:r>
              <w:rPr>
                <w:rFonts w:hint="eastAsia"/>
              </w:rPr>
              <w:t>年</w:t>
            </w:r>
            <w:r>
              <w:rPr>
                <w:rFonts w:hint="eastAsia"/>
              </w:rPr>
              <w:t>2</w:t>
            </w:r>
            <w:r>
              <w:rPr>
                <w:rFonts w:hint="eastAsia"/>
              </w:rPr>
              <w:t>月，</w:t>
            </w:r>
            <w:r>
              <w:rPr>
                <w:rFonts w:hint="eastAsia"/>
              </w:rPr>
              <w:t>MNC</w:t>
            </w:r>
            <w:r>
              <w:rPr>
                <w:rFonts w:hint="eastAsia"/>
              </w:rPr>
              <w:t>通过技术合作、并购</w:t>
            </w:r>
            <w:r>
              <w:rPr>
                <w:rFonts w:hint="eastAsia"/>
              </w:rPr>
              <w:t>、产品引进加速布局，国内公司多作为转让方输出成熟品种，交易品种均基于</w:t>
            </w:r>
            <w:r>
              <w:rPr>
                <w:rFonts w:hint="eastAsia"/>
              </w:rPr>
              <w:t>GalNAc</w:t>
            </w:r>
            <w:r>
              <w:rPr>
                <w:rFonts w:hint="eastAsia"/>
              </w:rPr>
              <w:t>技术靶向肝细胞；当前肝内靶点已开发殆尽，未来突破点是肝外靶点，谁能发现下一个</w:t>
            </w:r>
            <w:r>
              <w:rPr>
                <w:rFonts w:hint="eastAsia"/>
              </w:rPr>
              <w:t>GalNAc</w:t>
            </w:r>
            <w:r>
              <w:rPr>
                <w:rFonts w:hint="eastAsia"/>
              </w:rPr>
              <w:t>谁就能打开成长天花板。</w:t>
            </w:r>
          </w:p>
          <w:p w14:paraId="10414B76" w14:textId="77777777" w:rsidR="000D3476" w:rsidRDefault="000D3476">
            <w:pPr>
              <w:pStyle w:val="TableParagraph"/>
              <w:spacing w:line="360" w:lineRule="auto"/>
            </w:pPr>
          </w:p>
          <w:p w14:paraId="62007080" w14:textId="77777777" w:rsidR="000D3476" w:rsidRDefault="004116FA">
            <w:pPr>
              <w:pStyle w:val="TableParagraph"/>
              <w:spacing w:line="360" w:lineRule="auto"/>
            </w:pPr>
            <w:r>
              <w:rPr>
                <w:rFonts w:hint="eastAsia"/>
              </w:rPr>
              <w:t>Q</w:t>
            </w:r>
            <w:r>
              <w:rPr>
                <w:rFonts w:hint="eastAsia"/>
              </w:rPr>
              <w:t>：</w:t>
            </w:r>
            <w:r>
              <w:rPr>
                <w:rFonts w:hint="eastAsia"/>
              </w:rPr>
              <w:t xml:space="preserve"> Alnylam</w:t>
            </w:r>
            <w:r>
              <w:rPr>
                <w:rFonts w:hint="eastAsia"/>
              </w:rPr>
              <w:t>认为</w:t>
            </w:r>
            <w:r>
              <w:rPr>
                <w:rFonts w:hint="eastAsia"/>
              </w:rPr>
              <w:t>RNAi</w:t>
            </w:r>
            <w:r>
              <w:rPr>
                <w:rFonts w:hint="eastAsia"/>
              </w:rPr>
              <w:t>药物研发的驱动模块有哪些？</w:t>
            </w:r>
          </w:p>
          <w:p w14:paraId="36E97294" w14:textId="77777777" w:rsidR="000D3476" w:rsidRDefault="000D3476">
            <w:pPr>
              <w:pStyle w:val="TableParagraph"/>
              <w:spacing w:line="360" w:lineRule="auto"/>
            </w:pPr>
          </w:p>
          <w:p w14:paraId="3878719B" w14:textId="77777777" w:rsidR="000D3476" w:rsidRDefault="004116FA">
            <w:pPr>
              <w:pStyle w:val="TableParagraph"/>
              <w:spacing w:line="360" w:lineRule="auto"/>
            </w:pPr>
            <w:r>
              <w:rPr>
                <w:rFonts w:hint="eastAsia"/>
              </w:rPr>
              <w:t>A: Alnylam</w:t>
            </w:r>
            <w:r>
              <w:rPr>
                <w:rFonts w:hint="eastAsia"/>
              </w:rPr>
              <w:t>认为</w:t>
            </w:r>
            <w:r>
              <w:rPr>
                <w:rFonts w:hint="eastAsia"/>
              </w:rPr>
              <w:t>RNAi</w:t>
            </w:r>
            <w:r>
              <w:rPr>
                <w:rFonts w:hint="eastAsia"/>
              </w:rPr>
              <w:t>药物研发由三个独立模块驱动：</w:t>
            </w:r>
            <w:r>
              <w:rPr>
                <w:rFonts w:hint="eastAsia"/>
              </w:rPr>
              <w:t xml:space="preserve">1. </w:t>
            </w:r>
            <w:r>
              <w:rPr>
                <w:rFonts w:hint="eastAsia"/>
              </w:rPr>
              <w:t>靶向递送（核心门槛，未来突破点在肝外靶点）；</w:t>
            </w:r>
            <w:r>
              <w:rPr>
                <w:rFonts w:hint="eastAsia"/>
              </w:rPr>
              <w:t xml:space="preserve">2. </w:t>
            </w:r>
            <w:r>
              <w:rPr>
                <w:rFonts w:hint="eastAsia"/>
              </w:rPr>
              <w:t>人类遗传学数据分析驱动靶点发现和临床转化（小核酸药物直接靶向致病基因，靶点源于遗传学数据）；</w:t>
            </w:r>
            <w:r>
              <w:rPr>
                <w:rFonts w:hint="eastAsia"/>
              </w:rPr>
              <w:t xml:space="preserve">3. </w:t>
            </w:r>
            <w:r>
              <w:rPr>
                <w:rFonts w:hint="eastAsia"/>
              </w:rPr>
              <w:t>平台化工业设计及工业化卡点（研发进度相近时</w:t>
            </w:r>
            <w:r>
              <w:rPr>
                <w:rFonts w:hint="eastAsia"/>
              </w:rPr>
              <w:t>，差异化取决于工业化设计能力，长效性如一年一针给药是临床应用优势）。</w:t>
            </w:r>
          </w:p>
          <w:p w14:paraId="6C6940F0" w14:textId="77777777" w:rsidR="000D3476" w:rsidRDefault="000D3476">
            <w:pPr>
              <w:pStyle w:val="TableParagraph"/>
              <w:spacing w:line="360" w:lineRule="auto"/>
            </w:pPr>
          </w:p>
          <w:p w14:paraId="26C14D65" w14:textId="77777777" w:rsidR="000D3476" w:rsidRDefault="004116FA">
            <w:pPr>
              <w:pStyle w:val="TableParagraph"/>
              <w:spacing w:line="360" w:lineRule="auto"/>
            </w:pPr>
            <w:r>
              <w:rPr>
                <w:rFonts w:hint="eastAsia"/>
              </w:rPr>
              <w:t>Q</w:t>
            </w:r>
            <w:r>
              <w:rPr>
                <w:rFonts w:hint="eastAsia"/>
              </w:rPr>
              <w:t>：</w:t>
            </w:r>
            <w:r>
              <w:rPr>
                <w:rFonts w:hint="eastAsia"/>
              </w:rPr>
              <w:t xml:space="preserve"> </w:t>
            </w:r>
            <w:r>
              <w:rPr>
                <w:rFonts w:hint="eastAsia"/>
              </w:rPr>
              <w:t>美诺华在小核酸及相关领域的研发管线布局情况如何？</w:t>
            </w:r>
          </w:p>
          <w:p w14:paraId="7069481E" w14:textId="77777777" w:rsidR="000D3476" w:rsidRDefault="000D3476">
            <w:pPr>
              <w:pStyle w:val="TableParagraph"/>
              <w:spacing w:line="360" w:lineRule="auto"/>
            </w:pPr>
          </w:p>
          <w:p w14:paraId="6CAC1A0E" w14:textId="77777777" w:rsidR="000D3476" w:rsidRDefault="004116FA">
            <w:pPr>
              <w:pStyle w:val="TableParagraph"/>
              <w:spacing w:line="360" w:lineRule="auto"/>
            </w:pPr>
            <w:r>
              <w:rPr>
                <w:rFonts w:hint="eastAsia"/>
              </w:rPr>
              <w:t xml:space="preserve">A: </w:t>
            </w:r>
            <w:r>
              <w:rPr>
                <w:rFonts w:hint="eastAsia"/>
              </w:rPr>
              <w:t>美诺华在小核酸赛道布局两个疾病领域：代谢领域：</w:t>
            </w:r>
            <w:r>
              <w:rPr>
                <w:rFonts w:hint="eastAsia"/>
              </w:rPr>
              <w:t>0201</w:t>
            </w:r>
            <w:r>
              <w:rPr>
                <w:rFonts w:hint="eastAsia"/>
              </w:rPr>
              <w:t>项目（双靶点，适应症</w:t>
            </w:r>
            <w:r>
              <w:rPr>
                <w:rFonts w:hint="eastAsia"/>
              </w:rPr>
              <w:t>NASH</w:t>
            </w:r>
            <w:r>
              <w:rPr>
                <w:rFonts w:hint="eastAsia"/>
              </w:rPr>
              <w:t>，肝内递送）；阻塞性肺病领域布局两个项目（优创靶点</w:t>
            </w:r>
            <w:r>
              <w:rPr>
                <w:rFonts w:hint="eastAsia"/>
              </w:rPr>
              <w:t>0203</w:t>
            </w:r>
            <w:r>
              <w:rPr>
                <w:rFonts w:hint="eastAsia"/>
              </w:rPr>
              <w:t>、单靶点第四项目）；同时核心团队集中突破递送技术，另有小分子</w:t>
            </w:r>
            <w:r>
              <w:rPr>
                <w:rFonts w:hint="eastAsia"/>
              </w:rPr>
              <w:t>PROTAC</w:t>
            </w:r>
            <w:r>
              <w:rPr>
                <w:rFonts w:hint="eastAsia"/>
              </w:rPr>
              <w:t>项目（肿瘤治疗，临床前开发阶段）。</w:t>
            </w:r>
          </w:p>
          <w:p w14:paraId="1BE03F0C" w14:textId="77777777" w:rsidR="000D3476" w:rsidRDefault="000D3476">
            <w:pPr>
              <w:pStyle w:val="TableParagraph"/>
              <w:spacing w:line="360" w:lineRule="auto"/>
            </w:pPr>
          </w:p>
          <w:p w14:paraId="3FE68C49" w14:textId="77777777" w:rsidR="000D3476" w:rsidRDefault="004116FA">
            <w:pPr>
              <w:pStyle w:val="TableParagraph"/>
              <w:spacing w:line="360" w:lineRule="auto"/>
            </w:pPr>
            <w:r>
              <w:rPr>
                <w:rFonts w:hint="eastAsia"/>
              </w:rPr>
              <w:t>Q</w:t>
            </w:r>
            <w:r>
              <w:rPr>
                <w:rFonts w:hint="eastAsia"/>
              </w:rPr>
              <w:t>：</w:t>
            </w:r>
            <w:r>
              <w:rPr>
                <w:rFonts w:hint="eastAsia"/>
              </w:rPr>
              <w:t xml:space="preserve"> </w:t>
            </w:r>
            <w:r>
              <w:rPr>
                <w:rFonts w:hint="eastAsia"/>
              </w:rPr>
              <w:t>美诺华</w:t>
            </w:r>
            <w:r>
              <w:rPr>
                <w:rFonts w:hint="eastAsia"/>
              </w:rPr>
              <w:t>0201</w:t>
            </w:r>
            <w:r>
              <w:rPr>
                <w:rFonts w:hint="eastAsia"/>
              </w:rPr>
              <w:t>项目的具体情况及预期是什么？</w:t>
            </w:r>
          </w:p>
          <w:p w14:paraId="2975745B" w14:textId="77777777" w:rsidR="000D3476" w:rsidRDefault="000D3476">
            <w:pPr>
              <w:pStyle w:val="TableParagraph"/>
              <w:spacing w:line="360" w:lineRule="auto"/>
            </w:pPr>
          </w:p>
          <w:p w14:paraId="4CE1C6F7" w14:textId="77777777" w:rsidR="000D3476" w:rsidRDefault="004116FA">
            <w:pPr>
              <w:pStyle w:val="TableParagraph"/>
              <w:spacing w:line="360" w:lineRule="auto"/>
            </w:pPr>
            <w:r>
              <w:rPr>
                <w:rFonts w:hint="eastAsia"/>
              </w:rPr>
              <w:t>A: 0201</w:t>
            </w:r>
            <w:r>
              <w:rPr>
                <w:rFonts w:hint="eastAsia"/>
              </w:rPr>
              <w:t>项目是双靶点</w:t>
            </w:r>
            <w:r>
              <w:rPr>
                <w:rFonts w:hint="eastAsia"/>
              </w:rPr>
              <w:t>mRNA</w:t>
            </w:r>
            <w:r>
              <w:rPr>
                <w:rFonts w:hint="eastAsia"/>
              </w:rPr>
              <w:t>递送技术组合，为全新机制组合（市面无同类</w:t>
            </w:r>
            <w:r>
              <w:rPr>
                <w:rFonts w:hint="eastAsia"/>
              </w:rPr>
              <w:t>产品报道）；选择双靶点是因代谢综合征（如</w:t>
            </w:r>
            <w:r>
              <w:rPr>
                <w:rFonts w:hint="eastAsia"/>
              </w:rPr>
              <w:t>NASH</w:t>
            </w:r>
            <w:r>
              <w:rPr>
                <w:rFonts w:hint="eastAsia"/>
              </w:rPr>
              <w:t>）由多路径导致，双靶点协同阻断优于单靶点，</w:t>
            </w:r>
            <w:proofErr w:type="gramStart"/>
            <w:r>
              <w:rPr>
                <w:rFonts w:hint="eastAsia"/>
              </w:rPr>
              <w:t>且单分子</w:t>
            </w:r>
            <w:proofErr w:type="gramEnd"/>
            <w:r>
              <w:rPr>
                <w:rFonts w:hint="eastAsia"/>
              </w:rPr>
              <w:t>设计可实现半年甚至一年给药，提升患者便利性，缩短开发生产时间；目前两个单靶点处于分子筛选阶段，部分序列</w:t>
            </w:r>
            <w:r>
              <w:rPr>
                <w:rFonts w:hint="eastAsia"/>
              </w:rPr>
              <w:t>mRNA</w:t>
            </w:r>
            <w:r>
              <w:rPr>
                <w:rFonts w:hint="eastAsia"/>
              </w:rPr>
              <w:t>超降水平优于阳性参考分子，双靶点组合早期数据将在今年内读出；预期单药覆盖</w:t>
            </w:r>
            <w:r>
              <w:rPr>
                <w:rFonts w:hint="eastAsia"/>
              </w:rPr>
              <w:t>F2</w:t>
            </w:r>
            <w:r>
              <w:rPr>
                <w:rFonts w:hint="eastAsia"/>
              </w:rPr>
              <w:t>到</w:t>
            </w:r>
            <w:r>
              <w:rPr>
                <w:rFonts w:hint="eastAsia"/>
              </w:rPr>
              <w:t>F3</w:t>
            </w:r>
            <w:r>
              <w:rPr>
                <w:rFonts w:hint="eastAsia"/>
              </w:rPr>
              <w:t>级</w:t>
            </w:r>
            <w:r>
              <w:rPr>
                <w:rFonts w:hint="eastAsia"/>
              </w:rPr>
              <w:t>NASH</w:t>
            </w:r>
            <w:r>
              <w:rPr>
                <w:rFonts w:hint="eastAsia"/>
              </w:rPr>
              <w:t>患者，与已获批的</w:t>
            </w:r>
            <w:r>
              <w:rPr>
                <w:rFonts w:hint="eastAsia"/>
              </w:rPr>
              <w:t>THR beta</w:t>
            </w:r>
            <w:r>
              <w:rPr>
                <w:rFonts w:hint="eastAsia"/>
              </w:rPr>
              <w:t>、</w:t>
            </w:r>
            <w:r>
              <w:rPr>
                <w:rFonts w:hint="eastAsia"/>
              </w:rPr>
              <w:t>GLP-1</w:t>
            </w:r>
            <w:r>
              <w:rPr>
                <w:rFonts w:hint="eastAsia"/>
              </w:rPr>
              <w:t>及未来可能获批的</w:t>
            </w:r>
            <w:r>
              <w:rPr>
                <w:rFonts w:hint="eastAsia"/>
              </w:rPr>
              <w:t>FGF21</w:t>
            </w:r>
            <w:r>
              <w:rPr>
                <w:rFonts w:hint="eastAsia"/>
              </w:rPr>
              <w:t>类药物联用，治疗窗口可拓展到</w:t>
            </w:r>
            <w:r>
              <w:rPr>
                <w:rFonts w:hint="eastAsia"/>
              </w:rPr>
              <w:t>F4</w:t>
            </w:r>
            <w:r>
              <w:rPr>
                <w:rFonts w:hint="eastAsia"/>
              </w:rPr>
              <w:t>级患者，今年拿到双靶点分子后将开展联合用药临床前实验。</w:t>
            </w:r>
          </w:p>
          <w:p w14:paraId="3ED27108" w14:textId="77777777" w:rsidR="000D3476" w:rsidRDefault="000D3476">
            <w:pPr>
              <w:pStyle w:val="TableParagraph"/>
              <w:spacing w:line="360" w:lineRule="auto"/>
            </w:pPr>
          </w:p>
          <w:p w14:paraId="4DB6B0B5" w14:textId="77777777" w:rsidR="000D3476" w:rsidRDefault="004116FA">
            <w:pPr>
              <w:pStyle w:val="TableParagraph"/>
              <w:spacing w:line="360" w:lineRule="auto"/>
            </w:pPr>
            <w:r>
              <w:rPr>
                <w:rFonts w:hint="eastAsia"/>
              </w:rPr>
              <w:t>Q</w:t>
            </w:r>
            <w:r>
              <w:rPr>
                <w:rFonts w:hint="eastAsia"/>
              </w:rPr>
              <w:t>：</w:t>
            </w:r>
            <w:r>
              <w:rPr>
                <w:rFonts w:hint="eastAsia"/>
              </w:rPr>
              <w:t xml:space="preserve"> </w:t>
            </w:r>
            <w:r>
              <w:rPr>
                <w:rFonts w:hint="eastAsia"/>
              </w:rPr>
              <w:t>美诺华的研发架构及后续规划是怎样的？</w:t>
            </w:r>
          </w:p>
          <w:p w14:paraId="76AD46E1" w14:textId="77777777" w:rsidR="000D3476" w:rsidRDefault="000D3476">
            <w:pPr>
              <w:pStyle w:val="TableParagraph"/>
              <w:spacing w:line="360" w:lineRule="auto"/>
            </w:pPr>
          </w:p>
          <w:p w14:paraId="0352AC7B" w14:textId="77777777" w:rsidR="000D3476" w:rsidRDefault="004116FA">
            <w:pPr>
              <w:pStyle w:val="TableParagraph"/>
              <w:spacing w:line="360" w:lineRule="auto"/>
            </w:pPr>
            <w:r>
              <w:rPr>
                <w:rFonts w:hint="eastAsia"/>
              </w:rPr>
              <w:t xml:space="preserve">A: </w:t>
            </w:r>
            <w:r>
              <w:rPr>
                <w:rFonts w:hint="eastAsia"/>
              </w:rPr>
              <w:t>研发架构以核心团队专注源头创新（构建专利壁垒、突破递送技术、发现靶点），依托成熟供应</w:t>
            </w:r>
            <w:proofErr w:type="gramStart"/>
            <w:r>
              <w:rPr>
                <w:rFonts w:hint="eastAsia"/>
              </w:rPr>
              <w:t>链完成</w:t>
            </w:r>
            <w:proofErr w:type="gramEnd"/>
            <w:r>
              <w:rPr>
                <w:rFonts w:hint="eastAsia"/>
              </w:rPr>
              <w:t>上下游验证（如细胞学检测、转基因小鼠构建）；已与代谢病领域专家和信息学</w:t>
            </w:r>
            <w:r>
              <w:rPr>
                <w:rFonts w:hint="eastAsia"/>
              </w:rPr>
              <w:t>KOL</w:t>
            </w:r>
            <w:r>
              <w:rPr>
                <w:rFonts w:hint="eastAsia"/>
              </w:rPr>
              <w:t>建立合作，对接头部</w:t>
            </w:r>
            <w:r>
              <w:rPr>
                <w:rFonts w:hint="eastAsia"/>
              </w:rPr>
              <w:t>AI</w:t>
            </w:r>
            <w:r>
              <w:rPr>
                <w:rFonts w:hint="eastAsia"/>
              </w:rPr>
              <w:t>制药公司加速早期研发；已规划布局早期研发实验室（小分子合成、生物学评价实验室）；项目进展到商业化阶段后，将适时布局中间体合成以支持商业化，富余产能可能提供</w:t>
            </w:r>
            <w:r>
              <w:rPr>
                <w:rFonts w:hint="eastAsia"/>
              </w:rPr>
              <w:t>CDMO</w:t>
            </w:r>
            <w:r>
              <w:rPr>
                <w:rFonts w:hint="eastAsia"/>
              </w:rPr>
              <w:t>服务。</w:t>
            </w:r>
          </w:p>
          <w:p w14:paraId="5972C546" w14:textId="77777777" w:rsidR="000D3476" w:rsidRDefault="000D3476">
            <w:pPr>
              <w:pStyle w:val="TableParagraph"/>
              <w:spacing w:line="360" w:lineRule="auto"/>
            </w:pPr>
          </w:p>
          <w:p w14:paraId="0F960F6F" w14:textId="77777777" w:rsidR="000D3476" w:rsidRDefault="004116FA">
            <w:pPr>
              <w:pStyle w:val="TableParagraph"/>
              <w:spacing w:line="360" w:lineRule="auto"/>
            </w:pPr>
            <w:r>
              <w:rPr>
                <w:rFonts w:hint="eastAsia"/>
              </w:rPr>
              <w:t>Q</w:t>
            </w:r>
            <w:r>
              <w:rPr>
                <w:rFonts w:hint="eastAsia"/>
              </w:rPr>
              <w:t>：</w:t>
            </w:r>
            <w:r>
              <w:rPr>
                <w:rFonts w:hint="eastAsia"/>
              </w:rPr>
              <w:t xml:space="preserve"> </w:t>
            </w:r>
            <w:r>
              <w:rPr>
                <w:rFonts w:hint="eastAsia"/>
              </w:rPr>
              <w:t>公司布局小核酸药物的整体思路是什么？选择小核酸作为创新切入点的原因是什么？</w:t>
            </w:r>
          </w:p>
          <w:p w14:paraId="2243F8F7" w14:textId="77777777" w:rsidR="000D3476" w:rsidRDefault="000D3476">
            <w:pPr>
              <w:pStyle w:val="TableParagraph"/>
              <w:spacing w:line="360" w:lineRule="auto"/>
            </w:pPr>
          </w:p>
          <w:p w14:paraId="464396A9" w14:textId="77777777" w:rsidR="000D3476" w:rsidRDefault="004116FA">
            <w:pPr>
              <w:pStyle w:val="TableParagraph"/>
              <w:spacing w:line="360" w:lineRule="auto"/>
            </w:pPr>
            <w:r>
              <w:rPr>
                <w:rFonts w:hint="eastAsia"/>
              </w:rPr>
              <w:t xml:space="preserve">A: </w:t>
            </w:r>
            <w:r>
              <w:rPr>
                <w:rFonts w:hint="eastAsia"/>
              </w:rPr>
              <w:t>布局小核酸药物的整体思路是通过局部差异化（如生物学机制差异化、联用机制），瞄准全球相对早期的靶点（首创或前三个靶点），避免后期竞争；核心功能（如递送系统相关）会结合内部外部资源推动，加密布局。选择小核酸作为创新切入点，是基于对行业生态的观察，认为小核酸可能成为核酸领域重要模式，且美诺华已有在线定位或慢病治疗药物管线，布局小核酸可构建结构化产品管线。递送技术上，主攻肝脏递送（相对稳妥），同时在修饰方法上选择复杂修饰和位点修饰，以提高有效性、稳定性，降低脱靶性，并创造</w:t>
            </w:r>
            <w:proofErr w:type="gramStart"/>
            <w:r>
              <w:rPr>
                <w:rFonts w:hint="eastAsia"/>
              </w:rPr>
              <w:t>可专利</w:t>
            </w:r>
            <w:proofErr w:type="gramEnd"/>
            <w:r>
              <w:rPr>
                <w:rFonts w:hint="eastAsia"/>
              </w:rPr>
              <w:t>空间。</w:t>
            </w:r>
          </w:p>
          <w:p w14:paraId="50B673B8" w14:textId="77777777" w:rsidR="000D3476" w:rsidRDefault="000D3476">
            <w:pPr>
              <w:pStyle w:val="TableParagraph"/>
              <w:spacing w:line="360" w:lineRule="auto"/>
            </w:pPr>
          </w:p>
          <w:p w14:paraId="71631E47" w14:textId="77777777" w:rsidR="000D3476" w:rsidRDefault="004116FA">
            <w:pPr>
              <w:pStyle w:val="TableParagraph"/>
              <w:spacing w:line="360" w:lineRule="auto"/>
            </w:pPr>
            <w:r>
              <w:rPr>
                <w:rFonts w:hint="eastAsia"/>
              </w:rPr>
              <w:t>Q</w:t>
            </w:r>
            <w:r>
              <w:rPr>
                <w:rFonts w:hint="eastAsia"/>
              </w:rPr>
              <w:t>：</w:t>
            </w:r>
            <w:r>
              <w:rPr>
                <w:rFonts w:hint="eastAsia"/>
              </w:rPr>
              <w:t xml:space="preserve"> 0201</w:t>
            </w:r>
            <w:r>
              <w:rPr>
                <w:rFonts w:hint="eastAsia"/>
              </w:rPr>
              <w:t>项目单靶点和双</w:t>
            </w:r>
            <w:r>
              <w:rPr>
                <w:rFonts w:hint="eastAsia"/>
              </w:rPr>
              <w:t>靶点的</w:t>
            </w:r>
            <w:r>
              <w:rPr>
                <w:rFonts w:hint="eastAsia"/>
              </w:rPr>
              <w:t>knock down</w:t>
            </w:r>
            <w:r>
              <w:rPr>
                <w:rFonts w:hint="eastAsia"/>
              </w:rPr>
              <w:t>效率水平如何？组合思路是什么？给药频率的目标周期是多少？</w:t>
            </w:r>
          </w:p>
          <w:p w14:paraId="2FC6569C" w14:textId="77777777" w:rsidR="000D3476" w:rsidRDefault="000D3476">
            <w:pPr>
              <w:pStyle w:val="TableParagraph"/>
              <w:spacing w:line="360" w:lineRule="auto"/>
            </w:pPr>
          </w:p>
          <w:p w14:paraId="7F2F5195" w14:textId="77777777" w:rsidR="000D3476" w:rsidRDefault="004116FA">
            <w:pPr>
              <w:pStyle w:val="TableParagraph"/>
              <w:spacing w:line="360" w:lineRule="auto"/>
            </w:pPr>
            <w:r>
              <w:rPr>
                <w:rFonts w:hint="eastAsia"/>
              </w:rPr>
              <w:t>A: 0201</w:t>
            </w:r>
            <w:r>
              <w:rPr>
                <w:rFonts w:hint="eastAsia"/>
              </w:rPr>
              <w:t>项目处于早期优选序列筛选阶段，会筛选优于两端的序列，每个单靶点希望在基线范围内拿到更多优秀序列，双靶点组合时可提供更多选择（如</w:t>
            </w:r>
            <w:r>
              <w:rPr>
                <w:rFonts w:hint="eastAsia"/>
              </w:rPr>
              <w:t>10</w:t>
            </w:r>
            <w:r>
              <w:rPr>
                <w:rFonts w:hint="eastAsia"/>
              </w:rPr>
              <w:t>乘</w:t>
            </w:r>
            <w:r>
              <w:rPr>
                <w:rFonts w:hint="eastAsia"/>
              </w:rPr>
              <w:t>10</w:t>
            </w:r>
            <w:r>
              <w:rPr>
                <w:rFonts w:hint="eastAsia"/>
              </w:rPr>
              <w:t>的组合），以拿到</w:t>
            </w:r>
            <w:proofErr w:type="gramStart"/>
            <w:r>
              <w:rPr>
                <w:rFonts w:hint="eastAsia"/>
              </w:rPr>
              <w:t>更多双</w:t>
            </w:r>
            <w:proofErr w:type="gramEnd"/>
            <w:r>
              <w:rPr>
                <w:rFonts w:hint="eastAsia"/>
              </w:rPr>
              <w:t>靶点分子进入动物实验筛选。给药频率目标是</w:t>
            </w:r>
            <w:r>
              <w:rPr>
                <w:rFonts w:hint="eastAsia"/>
              </w:rPr>
              <w:t>6</w:t>
            </w:r>
            <w:r>
              <w:rPr>
                <w:rFonts w:hint="eastAsia"/>
              </w:rPr>
              <w:t>个月及更长诊疗周期，终极目标是半年一次、</w:t>
            </w:r>
            <w:r>
              <w:rPr>
                <w:rFonts w:hint="eastAsia"/>
              </w:rPr>
              <w:t>9</w:t>
            </w:r>
            <w:r>
              <w:rPr>
                <w:rFonts w:hint="eastAsia"/>
              </w:rPr>
              <w:t>个月或一年一次，目前虽处于早期阶段，但会通过修饰和制剂改良实现该目标，三个月也是可接受的（因是未满足</w:t>
            </w:r>
            <w:r>
              <w:rPr>
                <w:rFonts w:hint="eastAsia"/>
                <w:lang w:val="en-US"/>
              </w:rPr>
              <w:t>的</w:t>
            </w:r>
            <w:r>
              <w:rPr>
                <w:rFonts w:hint="eastAsia"/>
              </w:rPr>
              <w:t>需求）。</w:t>
            </w:r>
          </w:p>
          <w:p w14:paraId="396915D8" w14:textId="77777777" w:rsidR="000D3476" w:rsidRDefault="000D3476">
            <w:pPr>
              <w:pStyle w:val="TableParagraph"/>
              <w:spacing w:line="360" w:lineRule="auto"/>
            </w:pPr>
          </w:p>
          <w:p w14:paraId="17E11379" w14:textId="77777777" w:rsidR="000D3476" w:rsidRDefault="004116FA">
            <w:pPr>
              <w:pStyle w:val="TableParagraph"/>
              <w:spacing w:line="360" w:lineRule="auto"/>
            </w:pPr>
            <w:r>
              <w:rPr>
                <w:rFonts w:hint="eastAsia"/>
              </w:rPr>
              <w:t>Q</w:t>
            </w:r>
            <w:r>
              <w:rPr>
                <w:rFonts w:hint="eastAsia"/>
              </w:rPr>
              <w:t>：</w:t>
            </w:r>
            <w:r>
              <w:rPr>
                <w:rFonts w:hint="eastAsia"/>
              </w:rPr>
              <w:t xml:space="preserve"> </w:t>
            </w:r>
            <w:r>
              <w:rPr>
                <w:rFonts w:hint="eastAsia"/>
              </w:rPr>
              <w:t>双靶点小核酸药物的脱靶毒性如何控制？双靶点组合与两</w:t>
            </w:r>
            <w:r>
              <w:rPr>
                <w:rFonts w:hint="eastAsia"/>
              </w:rPr>
              <w:t>个单靶点分开给药相比有何优势？</w:t>
            </w:r>
          </w:p>
          <w:p w14:paraId="2F34C3CB" w14:textId="77777777" w:rsidR="000D3476" w:rsidRDefault="000D3476">
            <w:pPr>
              <w:pStyle w:val="TableParagraph"/>
              <w:spacing w:line="360" w:lineRule="auto"/>
            </w:pPr>
          </w:p>
          <w:p w14:paraId="1CF952F1" w14:textId="77777777" w:rsidR="000D3476" w:rsidRDefault="004116FA">
            <w:pPr>
              <w:pStyle w:val="TableParagraph"/>
              <w:spacing w:line="360" w:lineRule="auto"/>
            </w:pPr>
            <w:r>
              <w:rPr>
                <w:rFonts w:hint="eastAsia"/>
              </w:rPr>
              <w:t xml:space="preserve">A: </w:t>
            </w:r>
            <w:r>
              <w:rPr>
                <w:rFonts w:hint="eastAsia"/>
              </w:rPr>
              <w:t>脱靶毒性控制方面，会对两个单靶点分别做全面脱靶分析，将脱靶毒性作为重要</w:t>
            </w:r>
            <w:proofErr w:type="gramStart"/>
            <w:r>
              <w:rPr>
                <w:rFonts w:hint="eastAsia"/>
              </w:rPr>
              <w:t>考量</w:t>
            </w:r>
            <w:proofErr w:type="gramEnd"/>
            <w:r>
              <w:rPr>
                <w:rFonts w:hint="eastAsia"/>
              </w:rPr>
              <w:t>点，平衡有效性和安全性选择候选分子；双靶点组合后也会从安全性（脱靶性）和有效性筛选分子进入后期</w:t>
            </w:r>
            <w:r>
              <w:rPr>
                <w:rFonts w:hint="eastAsia"/>
              </w:rPr>
              <w:t>PCC</w:t>
            </w:r>
            <w:r>
              <w:rPr>
                <w:rFonts w:hint="eastAsia"/>
              </w:rPr>
              <w:t>开发。双靶点组合的优势在于：做成单一分子时，开发和生产过程中稳定性和杂质情况更优，进入体内可同时实现两个效果，相比两个药物复方或联用，能减少药物相互作用，各方面更具优势。</w:t>
            </w:r>
          </w:p>
          <w:p w14:paraId="5F715C06" w14:textId="77777777" w:rsidR="000D3476" w:rsidRDefault="000D3476">
            <w:pPr>
              <w:pStyle w:val="TableParagraph"/>
              <w:spacing w:line="360" w:lineRule="auto"/>
            </w:pPr>
          </w:p>
          <w:p w14:paraId="0140BB40" w14:textId="77777777" w:rsidR="000D3476" w:rsidRDefault="004116FA">
            <w:pPr>
              <w:pStyle w:val="TableParagraph"/>
              <w:spacing w:line="360" w:lineRule="auto"/>
            </w:pPr>
            <w:r>
              <w:rPr>
                <w:rFonts w:hint="eastAsia"/>
              </w:rPr>
              <w:t>Q</w:t>
            </w:r>
            <w:r>
              <w:rPr>
                <w:rFonts w:hint="eastAsia"/>
              </w:rPr>
              <w:t>：</w:t>
            </w:r>
            <w:r>
              <w:rPr>
                <w:rFonts w:hint="eastAsia"/>
              </w:rPr>
              <w:t xml:space="preserve"> </w:t>
            </w:r>
            <w:r>
              <w:rPr>
                <w:rFonts w:hint="eastAsia"/>
              </w:rPr>
              <w:t>公司在小核酸递送系统上为何选择肝脏和肺部，而非</w:t>
            </w:r>
            <w:r>
              <w:rPr>
                <w:rFonts w:hint="eastAsia"/>
              </w:rPr>
              <w:t>CNS</w:t>
            </w:r>
            <w:r>
              <w:rPr>
                <w:rFonts w:hint="eastAsia"/>
              </w:rPr>
              <w:t>等其他器官？未来其他靶向器官的布局计划是什么？</w:t>
            </w:r>
          </w:p>
          <w:p w14:paraId="0367B3A2" w14:textId="77777777" w:rsidR="000D3476" w:rsidRDefault="000D3476">
            <w:pPr>
              <w:pStyle w:val="TableParagraph"/>
              <w:spacing w:line="360" w:lineRule="auto"/>
            </w:pPr>
          </w:p>
          <w:p w14:paraId="68E6C27C" w14:textId="77777777" w:rsidR="000D3476" w:rsidRDefault="004116FA">
            <w:pPr>
              <w:pStyle w:val="TableParagraph"/>
              <w:spacing w:line="360" w:lineRule="auto"/>
            </w:pPr>
            <w:r>
              <w:rPr>
                <w:rFonts w:hint="eastAsia"/>
              </w:rPr>
              <w:t xml:space="preserve">A: </w:t>
            </w:r>
            <w:r>
              <w:rPr>
                <w:rFonts w:hint="eastAsia"/>
              </w:rPr>
              <w:t>选择肝脏是</w:t>
            </w:r>
            <w:r>
              <w:rPr>
                <w:rFonts w:hint="eastAsia"/>
              </w:rPr>
              <w:t>因为相对稳妥，选择肺部是因为其是</w:t>
            </w:r>
            <w:proofErr w:type="gramStart"/>
            <w:r>
              <w:rPr>
                <w:rFonts w:hint="eastAsia"/>
              </w:rPr>
              <w:t>公认难</w:t>
            </w:r>
            <w:proofErr w:type="gramEnd"/>
            <w:r>
              <w:rPr>
                <w:rFonts w:hint="eastAsia"/>
              </w:rPr>
              <w:t>攻克的大组织，且公司在呼吸系统疾病有不错产品可承接目标，与管线形成配合；</w:t>
            </w:r>
            <w:r>
              <w:rPr>
                <w:rFonts w:hint="eastAsia"/>
              </w:rPr>
              <w:t>CNS</w:t>
            </w:r>
            <w:r>
              <w:rPr>
                <w:rFonts w:hint="eastAsia"/>
              </w:rPr>
              <w:t>、心脏、眼部等其他器官虽有关注，但基于当前人力和经验，先集中力量做肺部递送（与传统化学相关性更强，可迁移化学能力）。未来会密切关注其他靶向器官，可能在肺部递送之后布局第三个外递送研究。</w:t>
            </w:r>
          </w:p>
          <w:p w14:paraId="73DAD046" w14:textId="77777777" w:rsidR="000D3476" w:rsidRDefault="000D3476">
            <w:pPr>
              <w:pStyle w:val="TableParagraph"/>
              <w:spacing w:line="360" w:lineRule="auto"/>
            </w:pPr>
          </w:p>
          <w:p w14:paraId="28524522" w14:textId="77777777" w:rsidR="000D3476" w:rsidRDefault="004116FA">
            <w:pPr>
              <w:pStyle w:val="TableParagraph"/>
              <w:spacing w:line="360" w:lineRule="auto"/>
            </w:pPr>
            <w:r>
              <w:rPr>
                <w:rFonts w:hint="eastAsia"/>
              </w:rPr>
              <w:t>Q</w:t>
            </w:r>
            <w:r>
              <w:rPr>
                <w:rFonts w:hint="eastAsia"/>
              </w:rPr>
              <w:t>：</w:t>
            </w:r>
            <w:r>
              <w:rPr>
                <w:rFonts w:hint="eastAsia"/>
              </w:rPr>
              <w:t xml:space="preserve"> </w:t>
            </w:r>
            <w:r>
              <w:rPr>
                <w:rFonts w:hint="eastAsia"/>
              </w:rPr>
              <w:t>公司小核酸药物研发团队的背景和规模如何？后续研发人员补充计划是什么？</w:t>
            </w:r>
            <w:r>
              <w:rPr>
                <w:rFonts w:hint="eastAsia"/>
              </w:rPr>
              <w:t>0201</w:t>
            </w:r>
            <w:r>
              <w:rPr>
                <w:rFonts w:hint="eastAsia"/>
              </w:rPr>
              <w:t>项目的关键数据读出时间和二期申报时间是？</w:t>
            </w:r>
          </w:p>
          <w:p w14:paraId="05F742BD" w14:textId="77777777" w:rsidR="000D3476" w:rsidRDefault="000D3476">
            <w:pPr>
              <w:pStyle w:val="TableParagraph"/>
              <w:spacing w:line="360" w:lineRule="auto"/>
            </w:pPr>
          </w:p>
          <w:p w14:paraId="1C1C8EC4" w14:textId="77777777" w:rsidR="000D3476" w:rsidRDefault="004116FA">
            <w:pPr>
              <w:pStyle w:val="TableParagraph"/>
              <w:spacing w:line="360" w:lineRule="auto"/>
            </w:pPr>
            <w:r>
              <w:rPr>
                <w:rFonts w:hint="eastAsia"/>
              </w:rPr>
              <w:t xml:space="preserve">A: </w:t>
            </w:r>
            <w:r>
              <w:rPr>
                <w:rFonts w:hint="eastAsia"/>
              </w:rPr>
              <w:t>研发团队规模</w:t>
            </w:r>
            <w:r>
              <w:rPr>
                <w:rFonts w:hint="eastAsia"/>
                <w:lang w:val="en-US"/>
              </w:rPr>
              <w:t>初具规模</w:t>
            </w:r>
            <w:r>
              <w:rPr>
                <w:rFonts w:hint="eastAsia"/>
              </w:rPr>
              <w:t>，覆盖核心化学、</w:t>
            </w:r>
            <w:r>
              <w:rPr>
                <w:rFonts w:hint="eastAsia"/>
              </w:rPr>
              <w:t>CMC</w:t>
            </w:r>
            <w:r>
              <w:rPr>
                <w:rFonts w:hint="eastAsia"/>
              </w:rPr>
              <w:t>、临床前生物学评价（药效）、生物信息学及教育培训专家等功能，已能覆盖当前项目阶段。后续会随着项目推进到</w:t>
            </w:r>
            <w:r>
              <w:rPr>
                <w:rFonts w:hint="eastAsia"/>
              </w:rPr>
              <w:t>IND</w:t>
            </w:r>
            <w:r>
              <w:rPr>
                <w:rFonts w:hint="eastAsia"/>
              </w:rPr>
              <w:t>关联阶段，补充临床医学、临床药理、运营等职能。</w:t>
            </w:r>
            <w:r>
              <w:rPr>
                <w:rFonts w:hint="eastAsia"/>
              </w:rPr>
              <w:t>0201</w:t>
            </w:r>
            <w:r>
              <w:rPr>
                <w:rFonts w:hint="eastAsia"/>
              </w:rPr>
              <w:t>项目的</w:t>
            </w:r>
            <w:r>
              <w:rPr>
                <w:rFonts w:hint="eastAsia"/>
                <w:lang w:val="en-US"/>
              </w:rPr>
              <w:t>双靶点</w:t>
            </w:r>
            <w:r>
              <w:rPr>
                <w:rFonts w:hint="eastAsia"/>
              </w:rPr>
              <w:t>早期数据会在一年之内给出，</w:t>
            </w:r>
            <w:r>
              <w:rPr>
                <w:rFonts w:hint="eastAsia"/>
                <w:lang w:val="en-US"/>
              </w:rPr>
              <w:t>希望</w:t>
            </w:r>
            <w:r>
              <w:rPr>
                <w:rFonts w:hint="eastAsia"/>
              </w:rPr>
              <w:t>2027</w:t>
            </w:r>
            <w:r>
              <w:rPr>
                <w:rFonts w:hint="eastAsia"/>
              </w:rPr>
              <w:t>年推到</w:t>
            </w:r>
            <w:r>
              <w:rPr>
                <w:rFonts w:hint="eastAsia"/>
              </w:rPr>
              <w:t>IND</w:t>
            </w:r>
            <w:r>
              <w:rPr>
                <w:rFonts w:hint="eastAsia"/>
              </w:rPr>
              <w:t>申报阶段。</w:t>
            </w:r>
          </w:p>
          <w:p w14:paraId="6E443E06" w14:textId="77777777" w:rsidR="000D3476" w:rsidRDefault="000D3476">
            <w:pPr>
              <w:pStyle w:val="TableParagraph"/>
              <w:spacing w:line="360" w:lineRule="auto"/>
            </w:pPr>
          </w:p>
          <w:p w14:paraId="61D44086" w14:textId="77777777" w:rsidR="000D3476" w:rsidRDefault="004116FA">
            <w:pPr>
              <w:pStyle w:val="TableParagraph"/>
              <w:spacing w:line="360" w:lineRule="auto"/>
            </w:pPr>
            <w:r>
              <w:rPr>
                <w:rFonts w:hint="eastAsia"/>
              </w:rPr>
              <w:t>Q</w:t>
            </w:r>
            <w:r>
              <w:rPr>
                <w:rFonts w:hint="eastAsia"/>
              </w:rPr>
              <w:t>：</w:t>
            </w:r>
            <w:r>
              <w:rPr>
                <w:rFonts w:hint="eastAsia"/>
              </w:rPr>
              <w:t xml:space="preserve"> </w:t>
            </w:r>
            <w:r>
              <w:rPr>
                <w:rFonts w:hint="eastAsia"/>
              </w:rPr>
              <w:t>公司小核酸药物布局的资源整合方式是什么？未来是否考虑收并购？</w:t>
            </w:r>
          </w:p>
          <w:p w14:paraId="5287BC1D" w14:textId="77777777" w:rsidR="000D3476" w:rsidRDefault="000D3476">
            <w:pPr>
              <w:pStyle w:val="TableParagraph"/>
              <w:spacing w:line="360" w:lineRule="auto"/>
            </w:pPr>
          </w:p>
          <w:p w14:paraId="1A1FD929" w14:textId="77777777" w:rsidR="000D3476" w:rsidRDefault="004116FA">
            <w:pPr>
              <w:pStyle w:val="TableParagraph"/>
              <w:spacing w:line="360" w:lineRule="auto"/>
              <w:rPr>
                <w:rFonts w:asciiTheme="minorEastAsia" w:eastAsiaTheme="minorEastAsia" w:hAnsiTheme="minorEastAsia" w:cs="宋体"/>
                <w:sz w:val="21"/>
                <w:szCs w:val="21"/>
                <w:lang w:val="en-US"/>
              </w:rPr>
            </w:pPr>
            <w:r>
              <w:rPr>
                <w:rFonts w:hint="eastAsia"/>
              </w:rPr>
              <w:t xml:space="preserve">A: </w:t>
            </w:r>
            <w:r>
              <w:rPr>
                <w:rFonts w:hint="eastAsia"/>
              </w:rPr>
              <w:t>资源整合方式是整合产业资源，部分自己做，部分合作，但产权百分之百属于公司。未来对收并购等合作形式持开放态度，若有新的技术或平台能协同开发，各种形式都不排斥。</w:t>
            </w:r>
          </w:p>
          <w:p w14:paraId="2D5744DF" w14:textId="77777777" w:rsidR="000D3476" w:rsidRDefault="000D3476">
            <w:pPr>
              <w:pStyle w:val="TableParagraph"/>
              <w:spacing w:line="360" w:lineRule="auto"/>
              <w:rPr>
                <w:rFonts w:asciiTheme="minorEastAsia" w:eastAsiaTheme="minorEastAsia" w:hAnsiTheme="minorEastAsia" w:cs="宋体"/>
                <w:sz w:val="21"/>
                <w:szCs w:val="21"/>
                <w:lang w:val="en-US"/>
              </w:rPr>
            </w:pPr>
          </w:p>
          <w:p w14:paraId="41E47706" w14:textId="77777777" w:rsidR="000D3476" w:rsidRDefault="000D3476">
            <w:pPr>
              <w:pStyle w:val="TableParagraph"/>
              <w:spacing w:line="360" w:lineRule="auto"/>
              <w:rPr>
                <w:rFonts w:asciiTheme="minorEastAsia" w:eastAsiaTheme="minorEastAsia" w:hAnsiTheme="minorEastAsia" w:cs="宋体"/>
                <w:sz w:val="21"/>
                <w:szCs w:val="21"/>
                <w:lang w:val="en-US"/>
              </w:rPr>
            </w:pPr>
            <w:bookmarkStart w:id="0" w:name="_GoBack"/>
            <w:bookmarkEnd w:id="0"/>
          </w:p>
        </w:tc>
      </w:tr>
      <w:tr w:rsidR="000D3476" w14:paraId="404D731D" w14:textId="77777777">
        <w:trPr>
          <w:trHeight w:val="558"/>
          <w:jc w:val="center"/>
        </w:trPr>
        <w:tc>
          <w:tcPr>
            <w:tcW w:w="2377" w:type="dxa"/>
            <w:vAlign w:val="center"/>
          </w:tcPr>
          <w:p w14:paraId="7542444A" w14:textId="77777777" w:rsidR="000D3476" w:rsidRDefault="004116FA">
            <w:pPr>
              <w:pStyle w:val="TableParagraph"/>
              <w:spacing w:before="1"/>
              <w:ind w:left="107"/>
              <w:rPr>
                <w:rFonts w:ascii="宋体" w:eastAsia="宋体" w:hAnsi="宋体" w:cs="宋体"/>
                <w:sz w:val="21"/>
                <w:szCs w:val="21"/>
              </w:rPr>
            </w:pPr>
            <w:r>
              <w:rPr>
                <w:rFonts w:ascii="宋体" w:eastAsia="宋体" w:hAnsi="宋体" w:cs="宋体" w:hint="eastAsia"/>
                <w:sz w:val="21"/>
                <w:szCs w:val="21"/>
              </w:rPr>
              <w:t>日期</w:t>
            </w:r>
          </w:p>
        </w:tc>
        <w:tc>
          <w:tcPr>
            <w:tcW w:w="6148" w:type="dxa"/>
            <w:vAlign w:val="center"/>
          </w:tcPr>
          <w:p w14:paraId="0A42D0B5" w14:textId="77777777" w:rsidR="000D3476" w:rsidRDefault="004116FA">
            <w:pPr>
              <w:pStyle w:val="TableParagraph"/>
              <w:rPr>
                <w:rFonts w:ascii="宋体" w:eastAsia="宋体" w:hAnsi="宋体" w:cs="宋体"/>
                <w:sz w:val="21"/>
                <w:szCs w:val="21"/>
              </w:rPr>
            </w:pPr>
            <w:r>
              <w:rPr>
                <w:rFonts w:ascii="宋体" w:eastAsia="宋体" w:hAnsi="宋体" w:cs="宋体" w:hint="eastAsia"/>
                <w:sz w:val="21"/>
                <w:szCs w:val="21"/>
              </w:rPr>
              <w:t>202</w:t>
            </w:r>
            <w:r>
              <w:rPr>
                <w:rFonts w:ascii="宋体" w:eastAsia="宋体" w:hAnsi="宋体" w:cs="宋体" w:hint="eastAsia"/>
                <w:sz w:val="21"/>
                <w:szCs w:val="21"/>
                <w:lang w:val="en-US"/>
              </w:rPr>
              <w:t>6</w:t>
            </w:r>
            <w:r>
              <w:rPr>
                <w:rFonts w:ascii="宋体" w:eastAsia="宋体" w:hAnsi="宋体" w:cs="宋体" w:hint="eastAsia"/>
                <w:sz w:val="21"/>
                <w:szCs w:val="21"/>
              </w:rPr>
              <w:t>年</w:t>
            </w:r>
            <w:r>
              <w:rPr>
                <w:rFonts w:ascii="宋体" w:eastAsia="宋体" w:hAnsi="宋体" w:cs="宋体" w:hint="eastAsia"/>
                <w:sz w:val="21"/>
                <w:szCs w:val="21"/>
                <w:lang w:val="en-US"/>
              </w:rPr>
              <w:t>3</w:t>
            </w:r>
            <w:r>
              <w:rPr>
                <w:rFonts w:ascii="宋体" w:eastAsia="宋体" w:hAnsi="宋体" w:cs="宋体" w:hint="eastAsia"/>
                <w:sz w:val="21"/>
                <w:szCs w:val="21"/>
              </w:rPr>
              <w:t>月</w:t>
            </w:r>
            <w:r>
              <w:rPr>
                <w:rFonts w:ascii="宋体" w:eastAsia="宋体" w:hAnsi="宋体" w:cs="宋体" w:hint="eastAsia"/>
                <w:sz w:val="21"/>
                <w:szCs w:val="21"/>
                <w:lang w:val="en-US"/>
              </w:rPr>
              <w:t>20</w:t>
            </w:r>
            <w:r>
              <w:rPr>
                <w:rFonts w:ascii="宋体" w:eastAsia="宋体" w:hAnsi="宋体" w:cs="宋体" w:hint="eastAsia"/>
                <w:sz w:val="21"/>
                <w:szCs w:val="21"/>
              </w:rPr>
              <w:t>日</w:t>
            </w:r>
          </w:p>
        </w:tc>
      </w:tr>
    </w:tbl>
    <w:p w14:paraId="764604AF" w14:textId="77777777" w:rsidR="000D3476" w:rsidRDefault="000D3476" w:rsidP="004116FA">
      <w:pPr>
        <w:rPr>
          <w:rFonts w:ascii="宋体" w:eastAsia="宋体" w:hAnsi="宋体" w:cs="宋体"/>
        </w:rPr>
      </w:pPr>
    </w:p>
    <w:sectPr w:rsidR="000D3476">
      <w:type w:val="continuous"/>
      <w:pgSz w:w="1191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llen Qiu">
    <w15:presenceInfo w15:providerId="None" w15:userId="Allen Q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revisionView w:markup="0"/>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476"/>
    <w:rsid w:val="000D3476"/>
    <w:rsid w:val="003B3BB4"/>
    <w:rsid w:val="004116FA"/>
    <w:rsid w:val="00FA58AC"/>
    <w:rsid w:val="3DD2077A"/>
    <w:rsid w:val="40A35A86"/>
    <w:rsid w:val="68336285"/>
    <w:rsid w:val="73813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Body Text" w:semiHidden="0" w:uiPriority="1"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nhideWhenUsed/>
    <w:qFormat/>
  </w:style>
  <w:style w:type="paragraph" w:styleId="a4">
    <w:name w:val="Body Text"/>
    <w:basedOn w:val="a"/>
    <w:uiPriority w:val="1"/>
    <w:qFormat/>
    <w:pPr>
      <w:ind w:left="220"/>
    </w:pPr>
    <w:rPr>
      <w:sz w:val="32"/>
      <w:szCs w:val="32"/>
    </w:rPr>
  </w:style>
  <w:style w:type="paragraph" w:styleId="a5">
    <w:name w:val="footer"/>
    <w:basedOn w:val="a"/>
    <w:link w:val="Char"/>
    <w:qFormat/>
    <w:pPr>
      <w:tabs>
        <w:tab w:val="center" w:pos="4153"/>
        <w:tab w:val="right" w:pos="8306"/>
      </w:tabs>
      <w:snapToGrid w:val="0"/>
    </w:pPr>
    <w:rPr>
      <w:sz w:val="18"/>
      <w:szCs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customStyle="1" w:styleId="TableParagraph">
    <w:name w:val="Table Paragraph"/>
    <w:basedOn w:val="a"/>
    <w:uiPriority w:val="1"/>
    <w:qFormat/>
  </w:style>
  <w:style w:type="character" w:customStyle="1" w:styleId="Char0">
    <w:name w:val="页眉 Char"/>
    <w:basedOn w:val="a0"/>
    <w:link w:val="a6"/>
    <w:qFormat/>
    <w:rPr>
      <w:rFonts w:ascii="仿宋" w:eastAsia="仿宋" w:hAnsi="仿宋" w:cs="仿宋"/>
      <w:sz w:val="18"/>
      <w:szCs w:val="18"/>
      <w:lang w:val="zh-CN" w:bidi="zh-CN"/>
    </w:rPr>
  </w:style>
  <w:style w:type="character" w:customStyle="1" w:styleId="Char">
    <w:name w:val="页脚 Char"/>
    <w:basedOn w:val="a0"/>
    <w:link w:val="a5"/>
    <w:qFormat/>
    <w:rPr>
      <w:rFonts w:ascii="仿宋" w:eastAsia="仿宋" w:hAnsi="仿宋" w:cs="仿宋"/>
      <w:sz w:val="18"/>
      <w:szCs w:val="18"/>
      <w:lang w:val="zh-CN" w:bidi="zh-CN"/>
    </w:rPr>
  </w:style>
  <w:style w:type="paragraph" w:styleId="a7">
    <w:name w:val="Balloon Text"/>
    <w:basedOn w:val="a"/>
    <w:link w:val="Char1"/>
    <w:semiHidden/>
    <w:unhideWhenUsed/>
    <w:rsid w:val="003B3BB4"/>
    <w:rPr>
      <w:sz w:val="18"/>
      <w:szCs w:val="18"/>
    </w:rPr>
  </w:style>
  <w:style w:type="character" w:customStyle="1" w:styleId="Char1">
    <w:name w:val="批注框文本 Char"/>
    <w:basedOn w:val="a0"/>
    <w:link w:val="a7"/>
    <w:semiHidden/>
    <w:rsid w:val="003B3BB4"/>
    <w:rPr>
      <w:rFonts w:ascii="仿宋" w:eastAsia="仿宋" w:hAnsi="仿宋" w:cs="仿宋"/>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Body Text" w:semiHidden="0" w:uiPriority="1"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nhideWhenUsed/>
    <w:qFormat/>
  </w:style>
  <w:style w:type="paragraph" w:styleId="a4">
    <w:name w:val="Body Text"/>
    <w:basedOn w:val="a"/>
    <w:uiPriority w:val="1"/>
    <w:qFormat/>
    <w:pPr>
      <w:ind w:left="220"/>
    </w:pPr>
    <w:rPr>
      <w:sz w:val="32"/>
      <w:szCs w:val="32"/>
    </w:rPr>
  </w:style>
  <w:style w:type="paragraph" w:styleId="a5">
    <w:name w:val="footer"/>
    <w:basedOn w:val="a"/>
    <w:link w:val="Char"/>
    <w:qFormat/>
    <w:pPr>
      <w:tabs>
        <w:tab w:val="center" w:pos="4153"/>
        <w:tab w:val="right" w:pos="8306"/>
      </w:tabs>
      <w:snapToGrid w:val="0"/>
    </w:pPr>
    <w:rPr>
      <w:sz w:val="18"/>
      <w:szCs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customStyle="1" w:styleId="TableParagraph">
    <w:name w:val="Table Paragraph"/>
    <w:basedOn w:val="a"/>
    <w:uiPriority w:val="1"/>
    <w:qFormat/>
  </w:style>
  <w:style w:type="character" w:customStyle="1" w:styleId="Char0">
    <w:name w:val="页眉 Char"/>
    <w:basedOn w:val="a0"/>
    <w:link w:val="a6"/>
    <w:qFormat/>
    <w:rPr>
      <w:rFonts w:ascii="仿宋" w:eastAsia="仿宋" w:hAnsi="仿宋" w:cs="仿宋"/>
      <w:sz w:val="18"/>
      <w:szCs w:val="18"/>
      <w:lang w:val="zh-CN" w:bidi="zh-CN"/>
    </w:rPr>
  </w:style>
  <w:style w:type="character" w:customStyle="1" w:styleId="Char">
    <w:name w:val="页脚 Char"/>
    <w:basedOn w:val="a0"/>
    <w:link w:val="a5"/>
    <w:qFormat/>
    <w:rPr>
      <w:rFonts w:ascii="仿宋" w:eastAsia="仿宋" w:hAnsi="仿宋" w:cs="仿宋"/>
      <w:sz w:val="18"/>
      <w:szCs w:val="18"/>
      <w:lang w:val="zh-CN" w:bidi="zh-CN"/>
    </w:rPr>
  </w:style>
  <w:style w:type="paragraph" w:styleId="a7">
    <w:name w:val="Balloon Text"/>
    <w:basedOn w:val="a"/>
    <w:link w:val="Char1"/>
    <w:semiHidden/>
    <w:unhideWhenUsed/>
    <w:rsid w:val="003B3BB4"/>
    <w:rPr>
      <w:sz w:val="18"/>
      <w:szCs w:val="18"/>
    </w:rPr>
  </w:style>
  <w:style w:type="character" w:customStyle="1" w:styleId="Char1">
    <w:name w:val="批注框文本 Char"/>
    <w:basedOn w:val="a0"/>
    <w:link w:val="a7"/>
    <w:semiHidden/>
    <w:rsid w:val="003B3BB4"/>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15</Pages>
  <Words>1421</Words>
  <Characters>8101</Characters>
  <Application>Microsoft Office Word</Application>
  <DocSecurity>0</DocSecurity>
  <Lines>67</Lines>
  <Paragraphs>19</Paragraphs>
  <ScaleCrop>false</ScaleCrop>
  <Company/>
  <LinksUpToDate>false</LinksUpToDate>
  <CharactersWithSpaces>9503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menovo</dc:creator>
  <cp:lastModifiedBy>menovo</cp:lastModifiedBy>
  <cp:revision>7</cp:revision>
  <cp:lastPrinted>2023-04-06T10:45:00Z</cp:lastPrinted>
  <dcterms:created xsi:type="dcterms:W3CDTF">2025-04-21T13:14:00Z</dcterms:created>
  <dcterms:modified xsi:type="dcterms:W3CDTF">2026-03-22T12:10:00Z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eyJoZGlkIjoiOGI0NGQwZGFhY2E3N2QwZjkzOTI4NThhODM1ZGZjY2EiLCJ1c2VySWQiOiIyMTkyMzQ2MzEifQ==</vt:lpwstr>
  </property>
  <property fmtid="{D5CDD505-2E9C-101B-9397-08002B2CF9AE}" pid="4" name="ICV">
    <vt:lpwstr>A577E56DEADB4CDFAFF6ED1D0897ABC3_13</vt:lpwstr>
  </property>
</Properties>
</file>