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5BDF">
      <w:pPr>
        <w:pStyle w:val="2"/>
        <w:jc w:val="center"/>
      </w:pPr>
      <w:r>
        <w:rPr>
          <w:rFonts w:hint="eastAsia"/>
        </w:rPr>
        <w:t>重庆望变电气（集团）股份有限公司</w:t>
      </w:r>
    </w:p>
    <w:p w14:paraId="213CC53A">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14:paraId="4B75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14:paraId="5453F87E">
            <w:pPr>
              <w:spacing w:line="360" w:lineRule="auto"/>
              <w:jc w:val="center"/>
              <w:rPr>
                <w:b/>
                <w:bCs/>
                <w:sz w:val="24"/>
                <w:szCs w:val="32"/>
                <w:highlight w:val="none"/>
              </w:rPr>
            </w:pPr>
          </w:p>
          <w:p w14:paraId="3C5759EE">
            <w:pPr>
              <w:spacing w:line="360" w:lineRule="auto"/>
              <w:jc w:val="center"/>
              <w:rPr>
                <w:b/>
                <w:bCs/>
                <w:sz w:val="24"/>
                <w:szCs w:val="32"/>
                <w:highlight w:val="none"/>
              </w:rPr>
            </w:pPr>
          </w:p>
          <w:p w14:paraId="6E3A647D">
            <w:pPr>
              <w:spacing w:line="360" w:lineRule="auto"/>
              <w:jc w:val="center"/>
              <w:rPr>
                <w:b/>
                <w:bCs/>
                <w:sz w:val="24"/>
                <w:szCs w:val="32"/>
                <w:highlight w:val="none"/>
              </w:rPr>
            </w:pPr>
          </w:p>
          <w:p w14:paraId="33A35F1C">
            <w:pPr>
              <w:spacing w:line="360" w:lineRule="auto"/>
              <w:jc w:val="center"/>
              <w:rPr>
                <w:b/>
                <w:bCs/>
                <w:sz w:val="24"/>
                <w:szCs w:val="32"/>
                <w:highlight w:val="none"/>
              </w:rPr>
            </w:pPr>
          </w:p>
          <w:p w14:paraId="2C51F00F">
            <w:pPr>
              <w:spacing w:line="360" w:lineRule="auto"/>
              <w:jc w:val="center"/>
              <w:rPr>
                <w:b/>
                <w:bCs/>
                <w:sz w:val="24"/>
                <w:szCs w:val="32"/>
                <w:highlight w:val="none"/>
              </w:rPr>
            </w:pPr>
          </w:p>
          <w:p w14:paraId="28585E2D">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投资者关系</w:t>
            </w:r>
          </w:p>
          <w:p w14:paraId="6E7CC438">
            <w:pPr>
              <w:spacing w:line="360" w:lineRule="auto"/>
              <w:jc w:val="center"/>
              <w:rPr>
                <w:b/>
                <w:bCs/>
                <w:sz w:val="24"/>
                <w:szCs w:val="32"/>
                <w:highlight w:val="none"/>
              </w:rPr>
            </w:pPr>
            <w:r>
              <w:rPr>
                <w:rFonts w:hint="eastAsia" w:ascii="仿宋" w:hAnsi="仿宋" w:eastAsia="仿宋" w:cs="仿宋"/>
                <w:b/>
                <w:bCs/>
                <w:spacing w:val="-2"/>
                <w:sz w:val="28"/>
                <w:szCs w:val="28"/>
                <w:highlight w:val="none"/>
              </w:rPr>
              <w:t>活动类别</w:t>
            </w:r>
          </w:p>
        </w:tc>
        <w:tc>
          <w:tcPr>
            <w:tcW w:w="2910" w:type="dxa"/>
            <w:tcBorders>
              <w:top w:val="single" w:color="auto" w:sz="4" w:space="0"/>
              <w:left w:val="single" w:color="auto" w:sz="4" w:space="0"/>
              <w:bottom w:val="single" w:color="auto" w:sz="4" w:space="0"/>
              <w:right w:val="nil"/>
            </w:tcBorders>
          </w:tcPr>
          <w:p w14:paraId="472B611F">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6"/>
                <w:position w:val="7"/>
                <w:sz w:val="28"/>
                <w:szCs w:val="28"/>
                <w:highlight w:val="none"/>
              </w:rPr>
              <w:t>特定对象调</w:t>
            </w:r>
            <w:r>
              <w:rPr>
                <w:rFonts w:hint="eastAsia" w:ascii="仿宋" w:hAnsi="仿宋" w:eastAsia="仿宋" w:cs="仿宋"/>
                <w:spacing w:val="5"/>
                <w:position w:val="7"/>
                <w:sz w:val="28"/>
                <w:szCs w:val="28"/>
                <w:highlight w:val="none"/>
              </w:rPr>
              <w:t>研</w:t>
            </w:r>
          </w:p>
          <w:p w14:paraId="5F64B230">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4"/>
                <w:sz w:val="28"/>
                <w:szCs w:val="28"/>
                <w:highlight w:val="none"/>
              </w:rPr>
              <w:t>媒体采访</w:t>
            </w:r>
          </w:p>
          <w:p w14:paraId="71D770AD">
            <w:pPr>
              <w:spacing w:before="66"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新闻发布会</w:t>
            </w:r>
          </w:p>
          <w:p w14:paraId="7E3BB962">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现场参观</w:t>
            </w:r>
          </w:p>
          <w:p w14:paraId="1CD1B058">
            <w:pPr>
              <w:spacing w:before="69" w:line="360" w:lineRule="auto"/>
              <w:jc w:val="left"/>
              <w:rPr>
                <w:rFonts w:eastAsia="仿宋"/>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其他</w:t>
            </w:r>
          </w:p>
        </w:tc>
        <w:tc>
          <w:tcPr>
            <w:tcW w:w="3307" w:type="dxa"/>
            <w:tcBorders>
              <w:top w:val="single" w:color="auto" w:sz="4" w:space="0"/>
              <w:left w:val="nil"/>
              <w:bottom w:val="single" w:color="auto" w:sz="4" w:space="0"/>
              <w:right w:val="single" w:color="auto" w:sz="4" w:space="0"/>
            </w:tcBorders>
          </w:tcPr>
          <w:p w14:paraId="2597400C">
            <w:pPr>
              <w:spacing w:before="57"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position w:val="7"/>
                <w:sz w:val="28"/>
                <w:szCs w:val="28"/>
                <w:highlight w:val="none"/>
              </w:rPr>
              <w:t>分析师会议</w:t>
            </w:r>
          </w:p>
          <w:p w14:paraId="312244A5">
            <w:pPr>
              <w:spacing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业绩说明会</w:t>
            </w:r>
          </w:p>
          <w:p w14:paraId="1884BF93">
            <w:pPr>
              <w:spacing w:before="69" w:line="360" w:lineRule="auto"/>
              <w:jc w:val="left"/>
              <w:rPr>
                <w:rFonts w:ascii="仿宋" w:hAnsi="仿宋" w:eastAsia="仿宋" w:cs="仿宋"/>
                <w:sz w:val="28"/>
                <w:szCs w:val="28"/>
                <w:highlight w:val="none"/>
              </w:rPr>
            </w:pPr>
            <w:r>
              <w:rPr>
                <w:rFonts w:hint="eastAsia" w:ascii="仿宋" w:hAnsi="仿宋" w:eastAsia="仿宋" w:cs="仿宋"/>
                <w:spacing w:val="5"/>
                <w:sz w:val="28"/>
                <w:szCs w:val="28"/>
                <w:highlight w:val="none"/>
              </w:rPr>
              <w:sym w:font="Wingdings 2" w:char="0052"/>
            </w:r>
            <w:r>
              <w:rPr>
                <w:rFonts w:hint="eastAsia" w:ascii="仿宋" w:hAnsi="仿宋" w:eastAsia="仿宋" w:cs="仿宋"/>
                <w:spacing w:val="4"/>
                <w:sz w:val="28"/>
                <w:szCs w:val="28"/>
                <w:highlight w:val="none"/>
              </w:rPr>
              <w:t>路演活动</w:t>
            </w:r>
          </w:p>
          <w:p w14:paraId="52E59CEB">
            <w:pPr>
              <w:spacing w:line="360" w:lineRule="auto"/>
              <w:jc w:val="left"/>
              <w:rPr>
                <w:highlight w:val="none"/>
              </w:rPr>
            </w:pPr>
            <w:r>
              <w:rPr>
                <w:rFonts w:hint="eastAsia" w:ascii="仿宋" w:hAnsi="仿宋" w:eastAsia="仿宋" w:cs="仿宋"/>
                <w:spacing w:val="5"/>
                <w:sz w:val="28"/>
                <w:szCs w:val="28"/>
                <w:highlight w:val="none"/>
              </w:rPr>
              <w:sym w:font="Wingdings 2" w:char="00A3"/>
            </w:r>
            <w:r>
              <w:rPr>
                <w:rFonts w:hint="eastAsia" w:ascii="仿宋" w:hAnsi="仿宋" w:eastAsia="仿宋" w:cs="仿宋"/>
                <w:spacing w:val="5"/>
                <w:sz w:val="28"/>
                <w:szCs w:val="28"/>
                <w:highlight w:val="none"/>
              </w:rPr>
              <w:t>电话调研</w:t>
            </w:r>
          </w:p>
        </w:tc>
      </w:tr>
      <w:tr w14:paraId="2615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14:paraId="503C1C71">
            <w:pPr>
              <w:spacing w:line="360" w:lineRule="auto"/>
              <w:jc w:val="center"/>
              <w:rPr>
                <w:rFonts w:ascii="仿宋" w:hAnsi="仿宋" w:eastAsia="仿宋" w:cs="仿宋"/>
                <w:sz w:val="28"/>
                <w:szCs w:val="28"/>
                <w:highlight w:val="none"/>
              </w:rPr>
            </w:pPr>
            <w:r>
              <w:rPr>
                <w:rFonts w:hint="eastAsia" w:ascii="仿宋" w:hAnsi="仿宋" w:eastAsia="仿宋" w:cs="仿宋"/>
                <w:b/>
                <w:bCs/>
                <w:sz w:val="28"/>
                <w:szCs w:val="28"/>
                <w:highlight w:val="none"/>
              </w:rPr>
              <w:t>调研人员（单位）</w:t>
            </w:r>
          </w:p>
        </w:tc>
        <w:tc>
          <w:tcPr>
            <w:tcW w:w="6217" w:type="dxa"/>
            <w:gridSpan w:val="2"/>
            <w:tcBorders>
              <w:top w:val="single" w:color="auto" w:sz="4" w:space="0"/>
            </w:tcBorders>
            <w:vAlign w:val="center"/>
          </w:tcPr>
          <w:p w14:paraId="7272CE81">
            <w:pPr>
              <w:widowControl/>
              <w:jc w:val="left"/>
              <w:textAlignment w:val="center"/>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kern w:val="0"/>
                <w:sz w:val="28"/>
                <w:szCs w:val="28"/>
                <w:highlight w:val="none"/>
                <w:lang w:val="en-US" w:eastAsia="zh-CN" w:bidi="ar"/>
              </w:rPr>
              <w:t xml:space="preserve">长江证券 东吴证券 兴业证券 国金证券 东北证券 </w:t>
            </w:r>
            <w:r>
              <w:rPr>
                <w:rFonts w:hint="eastAsia" w:ascii="宋体" w:hAnsi="宋体" w:eastAsia="宋体" w:cs="宋体"/>
                <w:color w:val="000000"/>
                <w:kern w:val="0"/>
                <w:sz w:val="28"/>
                <w:szCs w:val="28"/>
                <w:highlight w:val="none"/>
                <w:lang w:bidi="ar"/>
              </w:rPr>
              <w:t>太平洋证券</w:t>
            </w:r>
            <w:r>
              <w:rPr>
                <w:rFonts w:hint="eastAsia" w:ascii="宋体" w:hAnsi="宋体" w:eastAsia="宋体" w:cs="宋体"/>
                <w:color w:val="000000"/>
                <w:kern w:val="0"/>
                <w:sz w:val="28"/>
                <w:szCs w:val="28"/>
                <w:highlight w:val="none"/>
                <w:lang w:val="en-US" w:eastAsia="zh-CN" w:bidi="ar"/>
              </w:rPr>
              <w:t xml:space="preserve"> 华创证券 </w:t>
            </w:r>
            <w:r>
              <w:rPr>
                <w:rFonts w:hint="eastAsia" w:ascii="宋体" w:hAnsi="宋体" w:eastAsia="宋体" w:cs="宋体"/>
                <w:color w:val="000000"/>
                <w:kern w:val="0"/>
                <w:sz w:val="28"/>
                <w:szCs w:val="28"/>
                <w:highlight w:val="none"/>
                <w:lang w:bidi="ar"/>
              </w:rPr>
              <w:t>江海证券</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西部利得基金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永嬴基金 浦银安盛基金 景顺长城基金 海富通基金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银华基金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广发基金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金信基金 光大保德信</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厦门中略投资 乾行资产 金箔投资</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新华资产</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平安基金 国投瑞银 上海合远私募</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广发自营 信达澳亚  前海联合基金 上海云富投资 Marshall Wave  长城基金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新华基金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国寿安基</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瑞天基金  万马控股 冠达泰泽基金 博永基金 华富基金 璟诚基金 摩根基金 汇添富基金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诺安</w:t>
            </w:r>
            <w:r>
              <w:rPr>
                <w:rFonts w:hint="eastAsia" w:ascii="宋体" w:hAnsi="宋体" w:eastAsia="宋体" w:cs="宋体"/>
                <w:color w:val="000000"/>
                <w:kern w:val="0"/>
                <w:sz w:val="28"/>
                <w:szCs w:val="28"/>
                <w:highlight w:val="none"/>
                <w:lang w:val="en-US" w:eastAsia="zh-CN" w:bidi="ar"/>
              </w:rPr>
              <w:t>基</w:t>
            </w:r>
            <w:r>
              <w:rPr>
                <w:rFonts w:hint="eastAsia" w:ascii="宋体" w:hAnsi="宋体" w:eastAsia="宋体" w:cs="宋体"/>
                <w:color w:val="000000"/>
                <w:kern w:val="0"/>
                <w:sz w:val="28"/>
                <w:szCs w:val="28"/>
                <w:highlight w:val="none"/>
                <w:lang w:bidi="ar"/>
              </w:rPr>
              <w:t>金</w:t>
            </w:r>
            <w:r>
              <w:rPr>
                <w:rFonts w:hint="eastAsia" w:ascii="宋体" w:hAnsi="宋体" w:eastAsia="宋体" w:cs="宋体"/>
                <w:color w:val="000000"/>
                <w:kern w:val="0"/>
                <w:sz w:val="28"/>
                <w:szCs w:val="28"/>
                <w:highlight w:val="none"/>
                <w:lang w:val="en-US" w:eastAsia="zh-CN" w:bidi="ar"/>
              </w:rPr>
              <w:t xml:space="preserve"> </w:t>
            </w:r>
            <w:r>
              <w:rPr>
                <w:rFonts w:hint="eastAsia" w:ascii="宋体" w:hAnsi="宋体" w:eastAsia="宋体" w:cs="宋体"/>
                <w:color w:val="000000"/>
                <w:kern w:val="0"/>
                <w:sz w:val="28"/>
                <w:szCs w:val="28"/>
                <w:highlight w:val="none"/>
                <w:lang w:bidi="ar"/>
              </w:rPr>
              <w:t>广发基金</w:t>
            </w:r>
            <w:r>
              <w:rPr>
                <w:rFonts w:hint="eastAsia" w:ascii="宋体" w:hAnsi="宋体" w:eastAsia="宋体" w:cs="宋体"/>
                <w:color w:val="000000"/>
                <w:kern w:val="0"/>
                <w:sz w:val="28"/>
                <w:szCs w:val="28"/>
                <w:highlight w:val="none"/>
                <w:lang w:val="en-US" w:eastAsia="zh-CN" w:bidi="ar"/>
              </w:rPr>
              <w:t xml:space="preserve"> 淳厚基金 中金重鑫 华泰柏瑞基金 博道基金 国联安基金 平安资产   </w:t>
            </w:r>
          </w:p>
        </w:tc>
      </w:tr>
      <w:tr w14:paraId="71D5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14:paraId="5F3716AF">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调研时间</w:t>
            </w:r>
          </w:p>
        </w:tc>
        <w:tc>
          <w:tcPr>
            <w:tcW w:w="6217" w:type="dxa"/>
            <w:gridSpan w:val="2"/>
          </w:tcPr>
          <w:p w14:paraId="16E2B030">
            <w:pPr>
              <w:spacing w:line="360" w:lineRule="auto"/>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rPr>
              <w:t>202</w:t>
            </w:r>
            <w:r>
              <w:rPr>
                <w:rFonts w:hint="eastAsia" w:ascii="仿宋" w:hAnsi="仿宋" w:eastAsia="仿宋" w:cs="仿宋"/>
                <w:spacing w:val="-2"/>
                <w:sz w:val="28"/>
                <w:szCs w:val="28"/>
                <w:highlight w:val="none"/>
                <w:lang w:val="en-US" w:eastAsia="zh-CN"/>
              </w:rPr>
              <w:t>6</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lang w:val="en-US" w:eastAsia="zh-CN"/>
              </w:rPr>
              <w:t>2</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10</w:t>
            </w:r>
            <w:r>
              <w:rPr>
                <w:rFonts w:hint="eastAsia" w:ascii="仿宋" w:hAnsi="仿宋" w:eastAsia="仿宋" w:cs="仿宋"/>
                <w:spacing w:val="-2"/>
                <w:sz w:val="28"/>
                <w:szCs w:val="28"/>
                <w:highlight w:val="none"/>
              </w:rPr>
              <w:t>日-202</w:t>
            </w:r>
            <w:r>
              <w:rPr>
                <w:rFonts w:hint="eastAsia" w:ascii="仿宋" w:hAnsi="仿宋" w:eastAsia="仿宋" w:cs="仿宋"/>
                <w:spacing w:val="-2"/>
                <w:sz w:val="28"/>
                <w:szCs w:val="28"/>
                <w:highlight w:val="none"/>
                <w:lang w:val="en-US" w:eastAsia="zh-CN"/>
              </w:rPr>
              <w:t>6</w:t>
            </w:r>
            <w:r>
              <w:rPr>
                <w:rFonts w:hint="eastAsia" w:ascii="仿宋" w:hAnsi="仿宋" w:eastAsia="仿宋" w:cs="仿宋"/>
                <w:spacing w:val="-2"/>
                <w:sz w:val="28"/>
                <w:szCs w:val="28"/>
                <w:highlight w:val="none"/>
              </w:rPr>
              <w:t>年</w:t>
            </w:r>
            <w:r>
              <w:rPr>
                <w:rFonts w:hint="eastAsia" w:ascii="仿宋" w:hAnsi="仿宋" w:eastAsia="仿宋" w:cs="仿宋"/>
                <w:spacing w:val="-2"/>
                <w:sz w:val="28"/>
                <w:szCs w:val="28"/>
                <w:highlight w:val="none"/>
                <w:lang w:val="en-US" w:eastAsia="zh-CN"/>
              </w:rPr>
              <w:t>3</w:t>
            </w:r>
            <w:r>
              <w:rPr>
                <w:rFonts w:hint="eastAsia"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20</w:t>
            </w:r>
            <w:r>
              <w:rPr>
                <w:rFonts w:hint="eastAsia" w:ascii="仿宋" w:hAnsi="仿宋" w:eastAsia="仿宋" w:cs="仿宋"/>
                <w:spacing w:val="-2"/>
                <w:sz w:val="28"/>
                <w:szCs w:val="28"/>
                <w:highlight w:val="none"/>
              </w:rPr>
              <w:t>日</w:t>
            </w:r>
          </w:p>
        </w:tc>
      </w:tr>
      <w:tr w14:paraId="0960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14:paraId="161DAE1B">
            <w:pPr>
              <w:spacing w:line="360" w:lineRule="auto"/>
              <w:jc w:val="center"/>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调研地点</w:t>
            </w:r>
          </w:p>
        </w:tc>
        <w:tc>
          <w:tcPr>
            <w:tcW w:w="6217" w:type="dxa"/>
            <w:gridSpan w:val="2"/>
          </w:tcPr>
          <w:p w14:paraId="46D14C76">
            <w:pPr>
              <w:spacing w:line="360" w:lineRule="auto"/>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长江证券反路演 、东吴证券深圳策略会、兴业厦门策略会、国金成都策略会、</w:t>
            </w:r>
            <w:r>
              <w:rPr>
                <w:rFonts w:hint="eastAsia" w:ascii="仿宋" w:hAnsi="仿宋" w:eastAsia="仿宋" w:cs="仿宋"/>
                <w:spacing w:val="-2"/>
                <w:sz w:val="28"/>
                <w:szCs w:val="28"/>
                <w:highlight w:val="none"/>
              </w:rPr>
              <w:t>线上</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江北嘴</w:t>
            </w:r>
          </w:p>
        </w:tc>
      </w:tr>
      <w:tr w14:paraId="3DEB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14:paraId="1656C3B4">
            <w:pPr>
              <w:spacing w:line="360" w:lineRule="auto"/>
              <w:rPr>
                <w:b/>
                <w:bCs/>
                <w:sz w:val="24"/>
                <w:szCs w:val="32"/>
                <w:highlight w:val="none"/>
              </w:rPr>
            </w:pPr>
            <w:r>
              <w:rPr>
                <w:rFonts w:hint="eastAsia" w:ascii="仿宋" w:hAnsi="仿宋" w:eastAsia="仿宋" w:cs="仿宋"/>
                <w:b/>
                <w:bCs/>
                <w:spacing w:val="-2"/>
                <w:sz w:val="28"/>
                <w:szCs w:val="28"/>
                <w:highlight w:val="none"/>
              </w:rPr>
              <w:t>上市公司接待人员</w:t>
            </w:r>
          </w:p>
        </w:tc>
        <w:tc>
          <w:tcPr>
            <w:tcW w:w="6217" w:type="dxa"/>
            <w:gridSpan w:val="2"/>
          </w:tcPr>
          <w:p w14:paraId="76E81F2F">
            <w:pPr>
              <w:spacing w:line="360" w:lineRule="auto"/>
              <w:jc w:val="left"/>
              <w:rPr>
                <w:rFonts w:ascii="仿宋" w:hAnsi="仿宋" w:eastAsia="仿宋" w:cs="仿宋"/>
                <w:spacing w:val="-2"/>
                <w:sz w:val="28"/>
                <w:szCs w:val="28"/>
                <w:highlight w:val="none"/>
              </w:rPr>
            </w:pPr>
            <w:r>
              <w:rPr>
                <w:rFonts w:hint="eastAsia" w:ascii="仿宋" w:hAnsi="仿宋" w:eastAsia="仿宋" w:cs="仿宋"/>
                <w:spacing w:val="-2"/>
                <w:sz w:val="28"/>
                <w:szCs w:val="28"/>
                <w:highlight w:val="none"/>
              </w:rPr>
              <w:t>董秘、证券部相关人员</w:t>
            </w:r>
          </w:p>
        </w:tc>
      </w:tr>
      <w:tr w14:paraId="51EC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2" w:hRule="atLeast"/>
          <w:jc w:val="center"/>
        </w:trPr>
        <w:tc>
          <w:tcPr>
            <w:tcW w:w="2533" w:type="dxa"/>
          </w:tcPr>
          <w:p w14:paraId="70C8D520">
            <w:pPr>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投资者关系活动主要内容</w:t>
            </w:r>
          </w:p>
        </w:tc>
        <w:tc>
          <w:tcPr>
            <w:tcW w:w="6217" w:type="dxa"/>
            <w:gridSpan w:val="2"/>
          </w:tcPr>
          <w:p w14:paraId="20FB8335">
            <w:pPr>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rPr>
              <w:t>1、</w:t>
            </w:r>
            <w:bookmarkStart w:id="0" w:name="OLE_LINK2"/>
            <w:r>
              <w:rPr>
                <w:rFonts w:hint="eastAsia" w:ascii="仿宋" w:hAnsi="仿宋" w:eastAsia="仿宋" w:cs="仿宋"/>
                <w:b/>
                <w:bCs/>
                <w:sz w:val="28"/>
                <w:szCs w:val="28"/>
                <w:highlight w:val="none"/>
              </w:rPr>
              <w:t>2025年</w:t>
            </w:r>
            <w:bookmarkEnd w:id="0"/>
            <w:r>
              <w:rPr>
                <w:rFonts w:hint="eastAsia" w:ascii="仿宋" w:hAnsi="仿宋" w:eastAsia="仿宋" w:cs="仿宋"/>
                <w:b/>
                <w:bCs/>
                <w:sz w:val="28"/>
                <w:szCs w:val="28"/>
                <w:highlight w:val="none"/>
                <w:lang w:val="en-US" w:eastAsia="zh-CN"/>
              </w:rPr>
              <w:t>第四季度</w:t>
            </w:r>
            <w:r>
              <w:rPr>
                <w:rFonts w:hint="eastAsia" w:ascii="仿宋" w:hAnsi="仿宋" w:eastAsia="仿宋" w:cs="仿宋"/>
                <w:b/>
                <w:bCs/>
                <w:sz w:val="28"/>
                <w:szCs w:val="28"/>
                <w:highlight w:val="none"/>
              </w:rPr>
              <w:t>公司主营业务经营情况？</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w:t>
            </w:r>
            <w:r>
              <w:rPr>
                <w:rFonts w:hint="eastAsia" w:ascii="仿宋" w:hAnsi="仿宋" w:eastAsia="仿宋" w:cs="仿宋"/>
                <w:b w:val="0"/>
                <w:bCs w:val="0"/>
                <w:sz w:val="28"/>
                <w:szCs w:val="28"/>
                <w:highlight w:val="none"/>
              </w:rPr>
              <w:t>2025年</w:t>
            </w:r>
            <w:r>
              <w:rPr>
                <w:rFonts w:hint="eastAsia" w:ascii="仿宋" w:hAnsi="仿宋" w:eastAsia="仿宋" w:cs="仿宋"/>
                <w:b w:val="0"/>
                <w:bCs w:val="0"/>
                <w:sz w:val="28"/>
                <w:szCs w:val="28"/>
                <w:highlight w:val="none"/>
                <w:lang w:val="en-US" w:eastAsia="zh-CN"/>
              </w:rPr>
              <w:t>第四季度</w:t>
            </w:r>
            <w:r>
              <w:rPr>
                <w:rFonts w:hint="eastAsia" w:ascii="仿宋" w:hAnsi="仿宋" w:eastAsia="仿宋" w:cs="仿宋"/>
                <w:b w:val="0"/>
                <w:bCs w:val="0"/>
                <w:sz w:val="28"/>
                <w:szCs w:val="28"/>
                <w:highlight w:val="none"/>
              </w:rPr>
              <w:t>，</w:t>
            </w:r>
            <w:r>
              <w:rPr>
                <w:rFonts w:hint="eastAsia" w:ascii="仿宋" w:hAnsi="仿宋" w:eastAsia="仿宋" w:cs="仿宋"/>
                <w:sz w:val="28"/>
                <w:szCs w:val="28"/>
                <w:highlight w:val="none"/>
              </w:rPr>
              <w:t>公司输配电及控制设备业务总体呈稳定态势；取向硅钢业务在三季度末出现价格下滑，</w:t>
            </w:r>
            <w:r>
              <w:rPr>
                <w:rFonts w:hint="eastAsia" w:ascii="仿宋" w:hAnsi="仿宋" w:eastAsia="仿宋" w:cs="仿宋"/>
                <w:sz w:val="28"/>
                <w:szCs w:val="28"/>
                <w:highlight w:val="none"/>
                <w:lang w:val="en-US" w:eastAsia="zh-CN"/>
              </w:rPr>
              <w:t>预计</w:t>
            </w:r>
            <w:r>
              <w:rPr>
                <w:rFonts w:hint="eastAsia" w:ascii="仿宋" w:hAnsi="仿宋" w:eastAsia="仿宋" w:cs="仿宋"/>
                <w:sz w:val="28"/>
                <w:szCs w:val="28"/>
                <w:highlight w:val="none"/>
              </w:rPr>
              <w:t>对公司利润有一定影响，但公司八万吨高端磁性新材料项目高牌号产出占比的提升一定程度上缓解了部分利润压力。具体数据以公告为准。</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、请问</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海外业务的营收占比及同比增速具体是多少？海外订单的毛利率水平与国内业务相比是否更高，汇率波动对海外业务盈利的影响有多大？</w:t>
            </w:r>
          </w:p>
          <w:p w14:paraId="42428B21">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答：基于效益最大化原则，公司取向硅钢出口同比约有缩减，变压器出</w:t>
            </w:r>
            <w:r>
              <w:rPr>
                <w:rFonts w:hint="eastAsia" w:ascii="仿宋" w:hAnsi="仿宋" w:eastAsia="仿宋" w:cs="仿宋"/>
                <w:sz w:val="28"/>
                <w:szCs w:val="28"/>
                <w:highlight w:val="none"/>
                <w:lang w:val="en-US" w:eastAsia="zh-CN"/>
              </w:rPr>
              <w:t>口订单同比有较大增幅</w:t>
            </w:r>
            <w:r>
              <w:rPr>
                <w:rFonts w:hint="eastAsia" w:ascii="仿宋" w:hAnsi="仿宋" w:eastAsia="仿宋" w:cs="仿宋"/>
                <w:sz w:val="28"/>
                <w:szCs w:val="28"/>
                <w:highlight w:val="none"/>
              </w:rPr>
              <w:t>。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近期针对变压器</w:t>
            </w:r>
            <w:r>
              <w:rPr>
                <w:rFonts w:hint="eastAsia" w:ascii="仿宋" w:hAnsi="仿宋" w:eastAsia="仿宋" w:cs="仿宋"/>
                <w:b/>
                <w:bCs/>
                <w:sz w:val="28"/>
                <w:szCs w:val="28"/>
                <w:highlight w:val="none"/>
                <w:lang w:eastAsia="zh-CN"/>
              </w:rPr>
              <w:t>板块</w:t>
            </w:r>
            <w:r>
              <w:rPr>
                <w:rFonts w:hint="eastAsia" w:ascii="仿宋" w:hAnsi="仿宋" w:eastAsia="仿宋" w:cs="仿宋"/>
                <w:b/>
                <w:bCs/>
                <w:sz w:val="28"/>
                <w:szCs w:val="28"/>
                <w:highlight w:val="none"/>
              </w:rPr>
              <w:t>海外热潮，公司的取向硅钢业务海外订单是否有暴涨体现？</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答：公司取向硅钢出口受海外价格、运费、政策等综合因素影响较多，公司实时调整出口策略。据公司国际贸易部在欧美拜访情况反馈，客户订单较同期有增长，后期需要持续关注海外价格和需求。</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公司输配电及控制设备业务是否有海外新订单？</w:t>
            </w:r>
            <w:r>
              <w:rPr>
                <w:rFonts w:hint="eastAsia" w:ascii="仿宋" w:hAnsi="仿宋" w:eastAsia="仿宋" w:cs="仿宋"/>
                <w:b/>
                <w:bCs/>
                <w:sz w:val="28"/>
                <w:szCs w:val="28"/>
                <w:highlight w:val="none"/>
                <w:lang w:val="en-US" w:eastAsia="zh-CN"/>
              </w:rPr>
              <w:t>2026年变压器出口订单预期是多少？</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答：公司产品订单运用区域已经覆盖南美洲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美国德克萨斯州</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阿曼</w:t>
            </w:r>
            <w:r>
              <w:rPr>
                <w:rFonts w:hint="eastAsia" w:ascii="仿宋" w:hAnsi="仿宋" w:eastAsia="仿宋" w:cs="仿宋"/>
                <w:sz w:val="28"/>
                <w:szCs w:val="28"/>
                <w:highlight w:val="none"/>
                <w:lang w:eastAsia="zh-CN"/>
              </w:rPr>
              <w:t>等地，</w:t>
            </w:r>
            <w:r>
              <w:rPr>
                <w:rFonts w:hint="eastAsia" w:ascii="仿宋" w:hAnsi="仿宋" w:eastAsia="仿宋" w:cs="仿宋"/>
                <w:sz w:val="28"/>
                <w:szCs w:val="28"/>
                <w:highlight w:val="none"/>
                <w:lang w:val="en-US" w:eastAsia="zh-CN"/>
              </w:rPr>
              <w:t>以上订单参与</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均为数据中心项目。基于以前东南亚、中东、南亚的市场基础，以及现有欧洲市场的突破，结合订单的可持续性，公司输配电及控制设备出口业绩有一定业绩想象空间，</w:t>
            </w:r>
            <w:r>
              <w:rPr>
                <w:rFonts w:hint="eastAsia" w:ascii="仿宋" w:hAnsi="仿宋" w:eastAsia="仿宋" w:cs="仿宋"/>
                <w:sz w:val="28"/>
                <w:szCs w:val="28"/>
                <w:highlight w:val="none"/>
              </w:rPr>
              <w:t>公司会持续积极拓展国际市场，后期将持续关注海外优质项目。</w:t>
            </w:r>
          </w:p>
          <w:p w14:paraId="7F5E9741">
            <w:pPr>
              <w:numPr>
                <w:ilvl w:val="-1"/>
                <w:numId w:val="0"/>
              </w:numPr>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现目前八万吨高端磁性新材料项目的产出情况？目前，高牌号取向硅钢净利润大概是多少个点?</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答：八万吨高端磁性新材料项目已于2024年6月全线投产。截至目前项目生产稳定，满产满销，在技术团队、供应商等各方协同下，高牌号产出占比在</w:t>
            </w:r>
            <w:r>
              <w:rPr>
                <w:rFonts w:hint="eastAsia" w:ascii="仿宋" w:hAnsi="仿宋" w:eastAsia="仿宋" w:cs="仿宋"/>
                <w:sz w:val="28"/>
                <w:szCs w:val="28"/>
                <w:highlight w:val="none"/>
                <w:lang w:val="en-US" w:eastAsia="zh-CN"/>
              </w:rPr>
              <w:t>2025年三季度</w:t>
            </w:r>
            <w:r>
              <w:rPr>
                <w:rFonts w:hint="eastAsia" w:ascii="仿宋" w:hAnsi="仿宋" w:eastAsia="仿宋" w:cs="仿宋"/>
                <w:sz w:val="28"/>
                <w:szCs w:val="28"/>
                <w:highlight w:val="none"/>
              </w:rPr>
              <w:t>有了一定程度地提升，现目前090/095为主流牌号，牌号结构显示截止目前，085及以上牌号产出占比因每月市场需求实时调整投料规划而变化，整体工艺生产水平最高可占约60%，具体数据以实际产出为准。</w:t>
            </w:r>
            <w:r>
              <w:rPr>
                <w:rFonts w:hint="eastAsia" w:ascii="仿宋" w:hAnsi="仿宋" w:eastAsia="仿宋" w:cs="仿宋"/>
                <w:sz w:val="28"/>
                <w:szCs w:val="28"/>
                <w:highlight w:val="none"/>
              </w:rPr>
              <w:br w:type="textWrapping"/>
            </w:r>
            <w:bookmarkStart w:id="1" w:name="OLE_LINK4"/>
            <w:r>
              <w:rPr>
                <w:rFonts w:hint="eastAsia" w:ascii="仿宋" w:hAnsi="仿宋" w:eastAsia="仿宋" w:cs="仿宋"/>
                <w:sz w:val="28"/>
                <w:szCs w:val="28"/>
                <w:highlight w:val="none"/>
                <w:lang w:val="en-US" w:eastAsia="zh-CN"/>
              </w:rPr>
              <w:t>6、</w:t>
            </w:r>
            <w:r>
              <w:rPr>
                <w:rFonts w:hint="eastAsia" w:ascii="仿宋" w:hAnsi="仿宋" w:eastAsia="仿宋" w:cs="仿宋"/>
                <w:b/>
                <w:bCs/>
                <w:sz w:val="28"/>
                <w:szCs w:val="28"/>
                <w:highlight w:val="none"/>
              </w:rPr>
              <w:t>公司原有的CGO生产产线</w:t>
            </w:r>
            <w:bookmarkEnd w:id="1"/>
            <w:r>
              <w:rPr>
                <w:rFonts w:hint="eastAsia" w:ascii="仿宋" w:hAnsi="仿宋" w:eastAsia="仿宋" w:cs="仿宋"/>
                <w:b/>
                <w:bCs/>
                <w:sz w:val="28"/>
                <w:szCs w:val="28"/>
                <w:highlight w:val="none"/>
              </w:rPr>
              <w:t>是否有改造计划？</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答：公司将综合取向硅钢全球产能布局同时结合公司自身的财务规划综合评估技改计划和启动时机；公司重大投资请以公告为准。</w:t>
            </w:r>
          </w:p>
          <w:p w14:paraId="674EC285">
            <w:p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2026年取向硅钢的</w:t>
            </w:r>
            <w:r>
              <w:rPr>
                <w:rFonts w:hint="eastAsia" w:ascii="仿宋" w:hAnsi="仿宋" w:eastAsia="仿宋" w:cs="仿宋"/>
                <w:b/>
                <w:bCs/>
                <w:sz w:val="28"/>
                <w:szCs w:val="28"/>
                <w:highlight w:val="none"/>
              </w:rPr>
              <w:t>价格展望？</w:t>
            </w:r>
          </w:p>
          <w:p w14:paraId="32D8C497">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答：历年取向硅钢价格走势看，价格涨跌基本形成了3至5年一次波动的规律。</w:t>
            </w:r>
            <w:r>
              <w:rPr>
                <w:rFonts w:hint="eastAsia" w:ascii="仿宋" w:hAnsi="仿宋" w:eastAsia="仿宋" w:cs="仿宋"/>
                <w:sz w:val="28"/>
                <w:szCs w:val="28"/>
                <w:highlight w:val="none"/>
                <w:lang w:val="en-US" w:eastAsia="zh-CN"/>
              </w:rPr>
              <w:t>2025年</w:t>
            </w:r>
            <w:r>
              <w:rPr>
                <w:rFonts w:hint="eastAsia" w:ascii="仿宋" w:hAnsi="仿宋" w:eastAsia="仿宋" w:cs="仿宋"/>
                <w:sz w:val="28"/>
                <w:szCs w:val="28"/>
                <w:highlight w:val="none"/>
              </w:rPr>
              <w:t>12月10日宝武</w:t>
            </w:r>
            <w:r>
              <w:rPr>
                <w:rFonts w:hint="eastAsia" w:ascii="仿宋" w:hAnsi="仿宋" w:eastAsia="仿宋" w:cs="仿宋"/>
                <w:sz w:val="28"/>
                <w:szCs w:val="28"/>
                <w:highlight w:val="none"/>
                <w:lang w:val="en-US" w:eastAsia="zh-CN"/>
              </w:rPr>
              <w:t>宣布</w:t>
            </w:r>
            <w:r>
              <w:rPr>
                <w:rFonts w:hint="eastAsia" w:ascii="仿宋" w:hAnsi="仿宋" w:eastAsia="仿宋" w:cs="仿宋"/>
                <w:sz w:val="28"/>
                <w:szCs w:val="28"/>
                <w:highlight w:val="none"/>
              </w:rPr>
              <w:t>取向硅钢</w:t>
            </w:r>
            <w:r>
              <w:rPr>
                <w:rFonts w:hint="eastAsia" w:ascii="仿宋" w:hAnsi="仿宋" w:eastAsia="仿宋" w:cs="仿宋"/>
                <w:sz w:val="28"/>
                <w:szCs w:val="28"/>
                <w:highlight w:val="none"/>
                <w:lang w:val="en-US" w:eastAsia="zh-CN"/>
              </w:rPr>
              <w:t>从2026年1月10日起基价上调100元/吨，我们认为</w:t>
            </w:r>
            <w:r>
              <w:rPr>
                <w:rFonts w:hint="eastAsia" w:ascii="仿宋" w:hAnsi="仿宋" w:eastAsia="仿宋" w:cs="仿宋"/>
                <w:i w:val="0"/>
                <w:iCs w:val="0"/>
                <w:caps w:val="0"/>
                <w:color w:val="auto"/>
                <w:spacing w:val="0"/>
                <w:sz w:val="28"/>
                <w:szCs w:val="28"/>
                <w:highlight w:val="none"/>
                <w:shd w:val="clear" w:fill="auto"/>
              </w:rPr>
              <w:t>这100元</w:t>
            </w:r>
            <w:r>
              <w:rPr>
                <w:rFonts w:hint="eastAsia" w:ascii="仿宋" w:hAnsi="仿宋" w:eastAsia="仿宋" w:cs="仿宋"/>
                <w:i w:val="0"/>
                <w:iCs w:val="0"/>
                <w:caps w:val="0"/>
                <w:spacing w:val="0"/>
                <w:sz w:val="28"/>
                <w:szCs w:val="28"/>
                <w:highlight w:val="none"/>
                <w:shd w:val="clear"/>
                <w:lang w:val="en-US" w:eastAsia="zh-CN"/>
              </w:rPr>
              <w:t>/吨</w:t>
            </w:r>
            <w:r>
              <w:rPr>
                <w:rFonts w:hint="eastAsia" w:ascii="仿宋" w:hAnsi="仿宋" w:eastAsia="仿宋" w:cs="仿宋"/>
                <w:i w:val="0"/>
                <w:iCs w:val="0"/>
                <w:caps w:val="0"/>
                <w:color w:val="auto"/>
                <w:spacing w:val="0"/>
                <w:sz w:val="28"/>
                <w:szCs w:val="28"/>
                <w:highlight w:val="none"/>
                <w:shd w:val="clear" w:fill="auto"/>
              </w:rPr>
              <w:t>的涨幅</w:t>
            </w:r>
            <w:r>
              <w:rPr>
                <w:rFonts w:hint="eastAsia" w:ascii="仿宋" w:hAnsi="仿宋" w:eastAsia="仿宋" w:cs="仿宋"/>
                <w:i w:val="0"/>
                <w:iCs w:val="0"/>
                <w:caps w:val="0"/>
                <w:spacing w:val="0"/>
                <w:sz w:val="28"/>
                <w:szCs w:val="28"/>
                <w:highlight w:val="none"/>
                <w:shd w:val="clear"/>
                <w:lang w:val="en-US" w:eastAsia="zh-CN"/>
              </w:rPr>
              <w:t>是一个由下跌向上升的拐点，对取向硅钢行业是一个较大的利好</w:t>
            </w:r>
            <w:r>
              <w:rPr>
                <w:rFonts w:hint="eastAsia" w:ascii="仿宋" w:hAnsi="仿宋" w:eastAsia="仿宋" w:cs="仿宋"/>
                <w:sz w:val="28"/>
                <w:szCs w:val="28"/>
                <w:highlight w:val="none"/>
              </w:rPr>
              <w:t xml:space="preserve">。   </w:t>
            </w:r>
          </w:p>
          <w:p w14:paraId="7F5E9741">
            <w:pPr>
              <w:spacing w:line="240" w:lineRule="auto"/>
              <w:ind w:firstLine="0" w:firstLineChars="0"/>
              <w:jc w:val="left"/>
              <w:rPr>
                <w:rFonts w:hint="eastAsia" w:ascii="仿宋" w:hAnsi="仿宋" w:eastAsia="仿宋" w:cs="仿宋"/>
                <w:b/>
                <w:bCs/>
                <w:sz w:val="28"/>
                <w:szCs w:val="28"/>
                <w:highlight w:val="none"/>
              </w:rPr>
            </w:pPr>
            <w:r>
              <w:rPr>
                <w:rFonts w:hint="eastAsia" w:ascii="仿宋" w:hAnsi="仿宋" w:eastAsia="仿宋" w:cs="仿宋"/>
                <w:sz w:val="28"/>
                <w:szCs w:val="28"/>
                <w:highlight w:val="none"/>
              </w:rPr>
              <w:t>我们认为在</w:t>
            </w:r>
            <w:r>
              <w:rPr>
                <w:rFonts w:hint="eastAsia" w:ascii="仿宋" w:hAnsi="仿宋" w:eastAsia="仿宋" w:cs="仿宋"/>
                <w:sz w:val="28"/>
                <w:szCs w:val="28"/>
                <w:highlight w:val="none"/>
                <w:lang w:val="en-US" w:eastAsia="zh-CN"/>
              </w:rPr>
              <w:t>全球电力设备市场热潮、国家十五五</w:t>
            </w:r>
            <w:r>
              <w:rPr>
                <w:rFonts w:hint="eastAsia" w:ascii="仿宋" w:hAnsi="仿宋" w:eastAsia="仿宋" w:cs="仿宋"/>
                <w:sz w:val="28"/>
                <w:szCs w:val="28"/>
                <w:highlight w:val="none"/>
              </w:rPr>
              <w:t>在网高损耗电力变压器的大规模升级改造和批量更换</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逐步趋向稳定。</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公司是否研发了固态变压器产品？</w:t>
            </w:r>
          </w:p>
          <w:p w14:paraId="59BCA054">
            <w:pPr>
              <w:ind w:firstLine="0" w:firstLineChars="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答：公司高度重视前沿产品的发展情况，有关注到固态变压器的相关市场信息；同时，公司也高度重视相关市场标准制定出台等政策。公司会持续致力于技术提升，以丰富公司产品相关运用领域，具体研发进展请以公告为准。</w:t>
            </w:r>
          </w:p>
          <w:p w14:paraId="03BB908F">
            <w:pPr>
              <w:ind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公司海外布局新进展？是否有在海外建设工厂的规划？</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公司输配电及控制设备领域积极推进"一带一路"业务布局，主要依托国家走出去战略，高度关注我们自身客户中如中铁、中交、电建等相关大型央企的海外项目，并积极获取深度参与出口机会；公司取向硅钢材料依托现有区域及客户体系，做大做深服务，扩大市场规模。重大投资战略请以公告为准。</w:t>
            </w:r>
          </w:p>
          <w:p w14:paraId="53E39AE5">
            <w:pPr>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海外变压器订单的毛利率与国内相比毛利率差异？未来毛利率是否稳定？</w:t>
            </w:r>
          </w:p>
          <w:p w14:paraId="2A4D5593">
            <w:pPr>
              <w:ind w:firstLine="0" w:firstLineChars="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答：</w:t>
            </w:r>
            <w:r>
              <w:rPr>
                <w:rFonts w:hint="eastAsia" w:ascii="仿宋" w:hAnsi="仿宋" w:eastAsia="仿宋" w:cs="仿宋"/>
                <w:sz w:val="28"/>
                <w:szCs w:val="28"/>
                <w:highlight w:val="none"/>
              </w:rPr>
              <w:t>海外变压器毛利率</w:t>
            </w:r>
            <w:r>
              <w:rPr>
                <w:rFonts w:hint="eastAsia" w:ascii="仿宋" w:hAnsi="仿宋" w:eastAsia="仿宋" w:cs="仿宋"/>
                <w:sz w:val="28"/>
                <w:szCs w:val="28"/>
                <w:highlight w:val="none"/>
                <w:lang w:val="en-US" w:eastAsia="zh-CN"/>
              </w:rPr>
              <w:t>因海外市场不同而不同，</w:t>
            </w:r>
            <w:r>
              <w:rPr>
                <w:rFonts w:hint="eastAsia" w:ascii="仿宋" w:hAnsi="仿宋" w:eastAsia="仿宋" w:cs="仿宋"/>
                <w:sz w:val="28"/>
                <w:szCs w:val="28"/>
                <w:highlight w:val="none"/>
              </w:rPr>
              <w:t>扣除海外人工等成本后优势有限。公司认为未来海外变压器因海外需求持续增长</w:t>
            </w:r>
            <w:r>
              <w:rPr>
                <w:rFonts w:hint="eastAsia" w:ascii="仿宋" w:hAnsi="仿宋" w:eastAsia="仿宋" w:cs="仿宋"/>
                <w:sz w:val="28"/>
                <w:szCs w:val="28"/>
                <w:highlight w:val="none"/>
                <w:lang w:val="en-US" w:eastAsia="zh-CN"/>
              </w:rPr>
              <w:t>及能参与海外竞争的企业较少而导致</w:t>
            </w:r>
            <w:r>
              <w:rPr>
                <w:rFonts w:hint="eastAsia" w:ascii="仿宋" w:hAnsi="仿宋" w:eastAsia="仿宋" w:cs="仿宋"/>
                <w:sz w:val="28"/>
                <w:szCs w:val="28"/>
                <w:highlight w:val="none"/>
              </w:rPr>
              <w:t>毛利率会</w:t>
            </w:r>
            <w:r>
              <w:rPr>
                <w:rFonts w:hint="eastAsia" w:ascii="仿宋" w:hAnsi="仿宋" w:eastAsia="仿宋" w:cs="仿宋"/>
                <w:b w:val="0"/>
                <w:bCs w:val="0"/>
                <w:sz w:val="28"/>
                <w:szCs w:val="28"/>
                <w:highlight w:val="none"/>
              </w:rPr>
              <w:t>相对稳定且往上</w:t>
            </w:r>
            <w:r>
              <w:rPr>
                <w:rFonts w:hint="eastAsia" w:ascii="仿宋" w:hAnsi="仿宋" w:eastAsia="仿宋" w:cs="仿宋"/>
                <w:b w:val="0"/>
                <w:bCs w:val="0"/>
                <w:sz w:val="28"/>
                <w:szCs w:val="28"/>
                <w:highlight w:val="none"/>
                <w:lang w:val="en-US" w:eastAsia="zh-CN"/>
              </w:rPr>
              <w:t>提升。</w:t>
            </w:r>
          </w:p>
          <w:p w14:paraId="55BAC692">
            <w:pPr>
              <w:ind w:firstLine="0" w:firstLineChars="0"/>
              <w:jc w:val="left"/>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11、公司提到十五五期间，重点是高压和出口业务的拓展，请问</w:t>
            </w:r>
            <w:r>
              <w:rPr>
                <w:rFonts w:hint="eastAsia" w:ascii="仿宋" w:hAnsi="仿宋" w:eastAsia="仿宋" w:cs="仿宋"/>
                <w:b/>
                <w:bCs/>
                <w:sz w:val="28"/>
                <w:szCs w:val="28"/>
                <w:highlight w:val="none"/>
              </w:rPr>
              <w:t>公司高电压等级的发展规划？</w:t>
            </w:r>
            <w:r>
              <w:rPr>
                <w:rFonts w:hint="eastAsia" w:ascii="仿宋" w:hAnsi="仿宋" w:eastAsia="仿宋" w:cs="仿宋"/>
                <w:b w:val="0"/>
                <w:bCs w:val="0"/>
                <w:sz w:val="28"/>
                <w:szCs w:val="28"/>
                <w:highlight w:val="none"/>
              </w:rPr>
              <w:t xml:space="preserve"> </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公司于2024年成功收购云变电气后，标志着公司在输配电设备的供应可覆盖500kV及以下电压等级范围。公司持续提升研发能力和加大对前沿产品的研发，强化技术突破、聚焦高电压等级核心设备研发，深化市场渗透，精准对接客户需求，力争在全球高压电力建设中获取批量订单，驱动公司持续增长。</w:t>
            </w:r>
          </w:p>
          <w:p w14:paraId="7DBCDEB8">
            <w:pPr>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 xml:space="preserve">12、公司220kV订单可见度是多少？ </w:t>
            </w:r>
            <w:r>
              <w:rPr>
                <w:rFonts w:hint="eastAsia" w:ascii="仿宋" w:hAnsi="仿宋" w:eastAsia="仿宋" w:cs="仿宋"/>
                <w:b/>
                <w:bCs/>
                <w:sz w:val="28"/>
                <w:szCs w:val="28"/>
                <w:highlight w:val="none"/>
                <w:lang w:val="en-US" w:eastAsia="zh-CN"/>
              </w:rPr>
              <w:br w:type="textWrapping"/>
            </w:r>
            <w:r>
              <w:rPr>
                <w:rFonts w:hint="eastAsia" w:ascii="仿宋" w:hAnsi="仿宋" w:eastAsia="仿宋" w:cs="仿宋"/>
                <w:sz w:val="28"/>
                <w:szCs w:val="28"/>
                <w:highlight w:val="none"/>
                <w:lang w:val="en-US" w:eastAsia="zh-CN"/>
              </w:rPr>
              <w:t>答：公司</w:t>
            </w:r>
            <w:r>
              <w:rPr>
                <w:rFonts w:hint="eastAsia" w:ascii="仿宋" w:hAnsi="仿宋" w:eastAsia="仿宋" w:cs="仿宋"/>
                <w:sz w:val="28"/>
                <w:szCs w:val="28"/>
                <w:highlight w:val="none"/>
              </w:rPr>
              <w:t>220</w:t>
            </w:r>
            <w:r>
              <w:rPr>
                <w:rFonts w:hint="eastAsia" w:ascii="仿宋" w:hAnsi="仿宋" w:eastAsia="仿宋" w:cs="仿宋"/>
                <w:sz w:val="28"/>
                <w:szCs w:val="28"/>
                <w:highlight w:val="none"/>
                <w:lang w:val="en-US" w:eastAsia="zh-CN"/>
              </w:rPr>
              <w:t>kV</w:t>
            </w:r>
            <w:r>
              <w:rPr>
                <w:rFonts w:hint="eastAsia" w:ascii="仿宋" w:hAnsi="仿宋" w:eastAsia="仿宋" w:cs="仿宋"/>
                <w:sz w:val="28"/>
                <w:szCs w:val="28"/>
                <w:highlight w:val="none"/>
              </w:rPr>
              <w:t>及以下（35</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220千伏</w:t>
            </w:r>
            <w:r>
              <w:rPr>
                <w:rFonts w:hint="eastAsia" w:ascii="仿宋" w:hAnsi="仿宋" w:eastAsia="仿宋" w:cs="仿宋"/>
                <w:sz w:val="28"/>
                <w:szCs w:val="28"/>
                <w:highlight w:val="none"/>
                <w:lang w:val="en-US" w:eastAsia="zh-CN"/>
              </w:rPr>
              <w:t>kV</w:t>
            </w:r>
            <w:r>
              <w:rPr>
                <w:rFonts w:hint="eastAsia" w:ascii="仿宋" w:hAnsi="仿宋" w:eastAsia="仿宋" w:cs="仿宋"/>
                <w:sz w:val="28"/>
                <w:szCs w:val="28"/>
                <w:highlight w:val="none"/>
              </w:rPr>
              <w:t>）变压器订单饱和，</w:t>
            </w:r>
            <w:r>
              <w:rPr>
                <w:rFonts w:hint="eastAsia" w:ascii="仿宋" w:hAnsi="仿宋" w:eastAsia="仿宋" w:cs="仿宋"/>
                <w:sz w:val="28"/>
                <w:szCs w:val="28"/>
                <w:highlight w:val="none"/>
                <w:lang w:val="en-US" w:eastAsia="zh-CN"/>
              </w:rPr>
              <w:t>储备订单已有6个月。</w:t>
            </w:r>
            <w:r>
              <w:rPr>
                <w:rFonts w:hint="eastAsia" w:ascii="仿宋" w:hAnsi="仿宋" w:eastAsia="仿宋" w:cs="仿宋"/>
                <w:sz w:val="28"/>
                <w:szCs w:val="28"/>
                <w:highlight w:val="none"/>
                <w:lang w:val="en-US" w:eastAsia="zh-CN"/>
              </w:rPr>
              <w:br w:type="textWrapping"/>
            </w:r>
            <w:r>
              <w:rPr>
                <w:rFonts w:hint="eastAsia" w:ascii="仿宋" w:hAnsi="仿宋" w:eastAsia="仿宋" w:cs="仿宋"/>
                <w:b/>
                <w:bCs/>
                <w:sz w:val="28"/>
                <w:szCs w:val="28"/>
                <w:highlight w:val="none"/>
                <w:lang w:val="en-US" w:eastAsia="zh-CN"/>
              </w:rPr>
              <w:t>13、高原变压器的产品特点？</w:t>
            </w:r>
            <w:r>
              <w:rPr>
                <w:rFonts w:hint="eastAsia" w:ascii="仿宋" w:hAnsi="仿宋" w:eastAsia="仿宋" w:cs="仿宋"/>
                <w:b/>
                <w:bCs/>
                <w:sz w:val="28"/>
                <w:szCs w:val="28"/>
                <w:highlight w:val="none"/>
                <w:lang w:val="en-US" w:eastAsia="zh-CN"/>
              </w:rPr>
              <w:br w:type="textWrapping"/>
            </w:r>
            <w:r>
              <w:rPr>
                <w:rFonts w:hint="eastAsia" w:ascii="仿宋" w:hAnsi="仿宋" w:eastAsia="仿宋" w:cs="仿宋"/>
                <w:b w:val="0"/>
                <w:bCs w:val="0"/>
                <w:sz w:val="28"/>
                <w:szCs w:val="28"/>
                <w:highlight w:val="none"/>
                <w:lang w:val="en-US" w:eastAsia="zh-CN"/>
              </w:rPr>
              <w:t>答：高原变压器具有低损耗、低噪音、低局放；绝缘程度高；抗短路能力强；过负荷能力强；免吊芯、低维护的特点。</w:t>
            </w:r>
            <w:r>
              <w:rPr>
                <w:rFonts w:hint="eastAsia" w:ascii="仿宋" w:hAnsi="仿宋" w:eastAsia="仿宋" w:cs="仿宋"/>
                <w:b w:val="0"/>
                <w:bCs w:val="0"/>
                <w:sz w:val="28"/>
                <w:szCs w:val="28"/>
                <w:highlight w:val="none"/>
                <w:lang w:val="en-US" w:eastAsia="zh-CN"/>
              </w:rPr>
              <w:br w:type="textWrapping"/>
            </w:r>
            <w:r>
              <w:rPr>
                <w:rFonts w:hint="eastAsia" w:ascii="仿宋" w:hAnsi="仿宋" w:eastAsia="仿宋" w:cs="仿宋"/>
                <w:b/>
                <w:bCs/>
                <w:sz w:val="28"/>
                <w:szCs w:val="28"/>
                <w:highlight w:val="none"/>
                <w:lang w:val="en-US" w:eastAsia="zh-CN"/>
              </w:rPr>
              <w:t>14、云变电气的下游市场是哪些？</w:t>
            </w:r>
          </w:p>
          <w:p w14:paraId="0EDA6B96">
            <w:pPr>
              <w:jc w:val="left"/>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答：云变电气的下游市场主要分为四类：铁路、电网、新能源、海外。</w:t>
            </w:r>
            <w:r>
              <w:rPr>
                <w:rFonts w:hint="eastAsia" w:ascii="仿宋" w:hAnsi="仿宋" w:eastAsia="仿宋" w:cs="仿宋"/>
                <w:b w:val="0"/>
                <w:bCs w:val="0"/>
                <w:sz w:val="28"/>
                <w:szCs w:val="28"/>
                <w:highlight w:val="none"/>
                <w:lang w:val="en-US" w:eastAsia="zh-CN"/>
              </w:rPr>
              <w:br w:type="textWrapping"/>
            </w:r>
            <w:r>
              <w:rPr>
                <w:rFonts w:hint="eastAsia" w:ascii="仿宋" w:hAnsi="仿宋" w:eastAsia="仿宋" w:cs="仿宋"/>
                <w:b w:val="0"/>
                <w:bCs w:val="0"/>
                <w:sz w:val="28"/>
                <w:szCs w:val="28"/>
                <w:highlight w:val="none"/>
                <w:lang w:val="en-US" w:eastAsia="zh-CN"/>
              </w:rPr>
              <w:t>15、</w:t>
            </w:r>
            <w:r>
              <w:rPr>
                <w:rFonts w:hint="eastAsia" w:ascii="仿宋" w:hAnsi="仿宋" w:eastAsia="仿宋" w:cs="仿宋"/>
                <w:b/>
                <w:bCs/>
                <w:sz w:val="28"/>
                <w:szCs w:val="28"/>
                <w:highlight w:val="none"/>
                <w:lang w:val="en-US" w:eastAsia="zh-CN"/>
              </w:rPr>
              <w:t>云变电气的整体业绩发展规划？</w:t>
            </w:r>
            <w:r>
              <w:rPr>
                <w:rFonts w:hint="eastAsia" w:ascii="仿宋" w:hAnsi="仿宋" w:eastAsia="仿宋" w:cs="仿宋"/>
                <w:b/>
                <w:bCs/>
                <w:sz w:val="28"/>
                <w:szCs w:val="28"/>
                <w:highlight w:val="none"/>
                <w:lang w:val="en-US" w:eastAsia="zh-CN"/>
              </w:rPr>
              <w:br w:type="textWrapping"/>
            </w:r>
            <w:r>
              <w:rPr>
                <w:rFonts w:hint="eastAsia" w:ascii="仿宋" w:hAnsi="仿宋" w:eastAsia="仿宋" w:cs="仿宋"/>
                <w:b w:val="0"/>
                <w:bCs w:val="0"/>
                <w:sz w:val="28"/>
                <w:szCs w:val="28"/>
                <w:highlight w:val="none"/>
                <w:lang w:val="en-US" w:eastAsia="zh-CN"/>
              </w:rPr>
              <w:t>答：云变电气利用自身的品牌优势、人才优势、专精特新的技术优势已在</w:t>
            </w:r>
            <w:r>
              <w:rPr>
                <w:rFonts w:hint="eastAsia" w:ascii="仿宋" w:hAnsi="仿宋" w:eastAsia="仿宋" w:cs="仿宋"/>
                <w:kern w:val="2"/>
                <w:sz w:val="28"/>
                <w:szCs w:val="28"/>
                <w:highlight w:val="none"/>
                <w:lang w:val="en-US" w:eastAsia="zh-CN" w:bidi="ar-SA"/>
              </w:rPr>
              <w:t>2024年首次突破10亿，收入，结合公司调整海外布局，大力拓展海外市场，预期2026年目标突破20亿收入。另外，云变电气会积极实现330kv和500kv的拓展，有望进一步提升公司业绩。</w:t>
            </w:r>
          </w:p>
          <w:p w14:paraId="041C521C">
            <w:pPr>
              <w:jc w:val="lef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val="en-US" w:eastAsia="zh-CN"/>
              </w:rPr>
              <w:t>16、</w:t>
            </w:r>
            <w:r>
              <w:rPr>
                <w:rFonts w:hint="eastAsia" w:ascii="仿宋" w:hAnsi="仿宋" w:eastAsia="仿宋" w:cs="仿宋"/>
                <w:b/>
                <w:bCs/>
                <w:sz w:val="28"/>
                <w:szCs w:val="28"/>
                <w:highlight w:val="none"/>
              </w:rPr>
              <w:t>公司公告提及公司投资建设兆瓦级智能超充网络建设项目，现目前项目进展如何？对后期业绩贡献是否有预期？</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答：截至目前，公司该项目按计划建设中；</w:t>
            </w:r>
            <w:r>
              <w:rPr>
                <w:rStyle w:val="14"/>
                <w:rFonts w:hint="eastAsia" w:ascii="仿宋" w:hAnsi="仿宋" w:eastAsia="仿宋" w:cs="仿宋"/>
                <w:sz w:val="28"/>
                <w:szCs w:val="28"/>
                <w:highlight w:val="none"/>
                <w:lang w:val="en-US" w:eastAsia="zh-CN"/>
              </w:rPr>
              <w:t>2025年12月，</w:t>
            </w:r>
            <w:r>
              <w:rPr>
                <w:rFonts w:hint="eastAsia" w:ascii="仿宋" w:hAnsi="仿宋" w:eastAsia="仿宋" w:cs="仿宋"/>
                <w:sz w:val="28"/>
                <w:szCs w:val="28"/>
                <w:highlight w:val="none"/>
                <w:lang w:val="en-US" w:eastAsia="zh-CN"/>
              </w:rPr>
              <w:t>公司标杆站</w:t>
            </w:r>
            <w:r>
              <w:rPr>
                <w:rFonts w:hint="eastAsia" w:ascii="仿宋" w:hAnsi="仿宋" w:eastAsia="仿宋" w:cs="仿宋"/>
                <w:sz w:val="28"/>
                <w:szCs w:val="28"/>
                <w:highlight w:val="none"/>
              </w:rPr>
              <w:t>望来充重卡超充1号站</w:t>
            </w:r>
            <w:r>
              <w:rPr>
                <w:rFonts w:hint="eastAsia" w:ascii="仿宋" w:hAnsi="仿宋" w:eastAsia="仿宋" w:cs="仿宋"/>
                <w:sz w:val="28"/>
                <w:szCs w:val="28"/>
                <w:highlight w:val="none"/>
                <w:lang w:val="en-US" w:eastAsia="zh-CN"/>
              </w:rPr>
              <w:t>已经投用；</w:t>
            </w:r>
            <w:r>
              <w:rPr>
                <w:rFonts w:hint="eastAsia" w:ascii="仿宋" w:hAnsi="仿宋" w:eastAsia="仿宋" w:cs="仿宋"/>
                <w:sz w:val="28"/>
                <w:szCs w:val="28"/>
                <w:highlight w:val="none"/>
              </w:rPr>
              <w:t>本项目实施后，预计将为公司带来稳定的充电服务收入，进一步提升公司在新能源基础设施领域的市场地位和竞争力，具有良好的</w:t>
            </w:r>
            <w:r>
              <w:rPr>
                <w:rFonts w:hint="eastAsia" w:ascii="仿宋" w:hAnsi="仿宋" w:eastAsia="仿宋" w:cs="仿宋"/>
                <w:sz w:val="28"/>
                <w:szCs w:val="28"/>
                <w:highlight w:val="none"/>
                <w:lang w:val="en-US" w:eastAsia="zh-CN"/>
              </w:rPr>
              <w:t>经济效</w:t>
            </w:r>
            <w:r>
              <w:rPr>
                <w:rFonts w:hint="eastAsia" w:ascii="仿宋" w:hAnsi="仿宋" w:eastAsia="仿宋" w:cs="仿宋"/>
                <w:sz w:val="28"/>
                <w:szCs w:val="28"/>
                <w:highlight w:val="none"/>
              </w:rPr>
              <w:t>益前景。</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17、大宗期货铜价持续上涨，是否对公司利润有影响？公司是否采取了相应的对冲手段，比如外汇套期保值业务？</w:t>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lang w:val="en-US" w:eastAsia="zh-CN"/>
              </w:rPr>
              <w:t>答：铜作为输配电产品的主要原材料，其价格对公司的生产成本是有关键性影响。公司长期与客户保持良好的合作关系，具备一定的议价能力和市场竞争格局，一定程度上保障了部分成本压力转移空间；另外，公司持续提高技术创新，从技术端降本增效；此外，公司会根据市场环境评估，持续通过包括供应商锁价、优化库存等手段以应对原材料价格的剧烈波动。</w:t>
            </w:r>
            <w:r>
              <w:rPr>
                <w:rFonts w:hint="eastAsia" w:ascii="仿宋" w:hAnsi="仿宋" w:eastAsia="仿宋" w:cs="仿宋"/>
                <w:sz w:val="28"/>
                <w:szCs w:val="28"/>
                <w:highlight w:val="none"/>
              </w:rPr>
              <w:br w:type="textWrapping"/>
            </w:r>
            <w:r>
              <w:rPr>
                <w:rFonts w:hint="eastAsia" w:ascii="仿宋" w:hAnsi="仿宋" w:eastAsia="仿宋" w:cs="仿宋"/>
                <w:b/>
                <w:bCs/>
                <w:sz w:val="28"/>
                <w:szCs w:val="28"/>
                <w:highlight w:val="none"/>
                <w:lang w:val="en-US" w:eastAsia="zh-CN"/>
              </w:rPr>
              <w:t>18、公司是否还有其他新的降本措施？</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答：公司持续致力于技术革新实现降本；同时深挖内部潜力，通过“人机料法环”各环节的全面提升精细化管理水平，努力实现“节能降耗”“效率提升”双向奔赴的效果；积极为股东创造更大价值。</w:t>
            </w:r>
          </w:p>
          <w:p w14:paraId="1BCB4203">
            <w:pPr>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19、公司未来是否有</w:t>
            </w:r>
            <w:r>
              <w:rPr>
                <w:rFonts w:hint="eastAsia" w:ascii="仿宋" w:hAnsi="仿宋" w:eastAsia="仿宋" w:cs="仿宋"/>
                <w:b/>
                <w:bCs/>
                <w:sz w:val="28"/>
                <w:szCs w:val="28"/>
                <w:highlight w:val="none"/>
              </w:rPr>
              <w:t>其他</w:t>
            </w:r>
            <w:r>
              <w:rPr>
                <w:rFonts w:hint="eastAsia" w:ascii="仿宋" w:hAnsi="仿宋" w:eastAsia="仿宋" w:cs="仿宋"/>
                <w:b/>
                <w:bCs/>
                <w:sz w:val="28"/>
                <w:szCs w:val="28"/>
                <w:highlight w:val="none"/>
                <w:lang w:val="en-US" w:eastAsia="zh-CN"/>
              </w:rPr>
              <w:t>战略投资</w:t>
            </w:r>
            <w:r>
              <w:rPr>
                <w:rFonts w:hint="eastAsia" w:ascii="仿宋" w:hAnsi="仿宋" w:eastAsia="仿宋" w:cs="仿宋"/>
                <w:b/>
                <w:bCs/>
                <w:sz w:val="28"/>
                <w:szCs w:val="28"/>
                <w:highlight w:val="none"/>
              </w:rPr>
              <w:t>规划</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比如产业链其他板块的收并购，或者参与投资产业基金？</w:t>
            </w:r>
            <w:r>
              <w:rPr>
                <w:rFonts w:hint="eastAsia" w:ascii="仿宋" w:hAnsi="仿宋" w:eastAsia="仿宋" w:cs="仿宋"/>
                <w:b w:val="0"/>
                <w:bCs w:val="0"/>
                <w:sz w:val="28"/>
                <w:szCs w:val="28"/>
                <w:highlight w:val="none"/>
                <w:lang w:eastAsia="zh-CN"/>
              </w:rPr>
              <w:br w:type="textWrapping"/>
            </w:r>
            <w:r>
              <w:rPr>
                <w:rFonts w:hint="eastAsia" w:ascii="仿宋" w:hAnsi="仿宋" w:eastAsia="仿宋" w:cs="仿宋"/>
                <w:b w:val="0"/>
                <w:bCs w:val="0"/>
                <w:sz w:val="28"/>
                <w:szCs w:val="28"/>
                <w:highlight w:val="none"/>
                <w:lang w:val="en-US" w:eastAsia="zh-CN"/>
              </w:rPr>
              <w:t>答；公司重大投资规划以公告为准。</w:t>
            </w:r>
            <w:r>
              <w:rPr>
                <w:rFonts w:hint="eastAsia" w:ascii="仿宋" w:hAnsi="仿宋" w:eastAsia="仿宋" w:cs="仿宋"/>
                <w:sz w:val="28"/>
                <w:szCs w:val="28"/>
                <w:highlight w:val="none"/>
                <w:lang w:val="en-US" w:eastAsia="zh-CN"/>
              </w:rPr>
              <w:br w:type="textWrapping"/>
            </w:r>
            <w:r>
              <w:rPr>
                <w:rFonts w:hint="eastAsia" w:ascii="仿宋" w:hAnsi="仿宋" w:eastAsia="仿宋" w:cs="仿宋"/>
                <w:b/>
                <w:bCs/>
                <w:sz w:val="28"/>
                <w:szCs w:val="28"/>
                <w:highlight w:val="none"/>
                <w:lang w:val="en-US" w:eastAsia="zh-CN"/>
              </w:rPr>
              <w:t>20、输配电及控制设备业务存在账期问题，避免应收账款坏账风险，公司是否有完善的风险统筹管理体系，包括市面上相关保险产品作为风险对冲？</w:t>
            </w:r>
          </w:p>
          <w:p w14:paraId="393B05ED">
            <w:pPr>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答：公司清楚认识到建立一个完善且与之高度匹配的风险管理系统是战略升级成功的先决条件，公司会根据实际经营发展实时综合调整提升相关风险控制系统。公司认为市面上相关保险工具纳入应收账款风险管理体系是构建成熟、稳健的“全生命周期综合解决”商业模式的关键一环；这不仅是一种风险对冲，更是一种战略性的财务和业务赋能工具，公司考虑折机选择合适产品。</w:t>
            </w:r>
            <w:r>
              <w:rPr>
                <w:rFonts w:hint="eastAsia" w:ascii="仿宋" w:hAnsi="仿宋" w:eastAsia="仿宋" w:cs="仿宋"/>
                <w:sz w:val="28"/>
                <w:szCs w:val="28"/>
                <w:highlight w:val="none"/>
                <w:lang w:val="en-US" w:eastAsia="zh-CN"/>
              </w:rPr>
              <w:br w:type="textWrapping"/>
            </w:r>
            <w:r>
              <w:rPr>
                <w:rFonts w:hint="eastAsia" w:ascii="仿宋" w:hAnsi="仿宋" w:eastAsia="仿宋" w:cs="仿宋"/>
                <w:b/>
                <w:bCs/>
                <w:sz w:val="28"/>
                <w:szCs w:val="28"/>
                <w:highlight w:val="none"/>
                <w:lang w:val="en-US" w:eastAsia="zh-CN"/>
              </w:rPr>
              <w:t>21、公司本次向特定对象发行股票，出发点是什么？</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答：首先，本次向特定对象通过认购发行股票可巩固控股股东的控制地位，此举将提升公司控股股东的持股比例，有助于进一步增强公司控制权的稳定性。</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xml:space="preserve">  同时，公司控股股东之一的杨泽民先生或其控制的企业全额认购此次发行的股票，彰显其对上市公司未来发展前景的坚定信心，有利于向市场以及中小股东传递积极信号。</w:t>
            </w:r>
            <w:r>
              <w:rPr>
                <w:rFonts w:hint="eastAsia" w:ascii="仿宋" w:hAnsi="仿宋" w:eastAsia="仿宋" w:cs="仿宋"/>
                <w:sz w:val="28"/>
                <w:szCs w:val="28"/>
                <w:highlight w:val="none"/>
                <w:lang w:val="en-US" w:eastAsia="zh-CN"/>
              </w:rPr>
              <w:br w:type="textWrapping"/>
            </w:r>
            <w:r>
              <w:rPr>
                <w:rFonts w:hint="eastAsia" w:ascii="仿宋" w:hAnsi="仿宋" w:eastAsia="仿宋" w:cs="仿宋"/>
                <w:sz w:val="28"/>
                <w:szCs w:val="28"/>
                <w:highlight w:val="none"/>
                <w:lang w:val="en-US" w:eastAsia="zh-CN"/>
              </w:rPr>
              <w:t xml:space="preserve">  另外，随着公司业务规模的扩张以及公司发展战略的实施，公司资金需求逐步增加。本次向特定对象发行股票募集资金扣除发行费用后拟用于补充流动资金，此举可优化公司资本结构，提高公司抗风险能力，有效提升公司的资金实力，可以为公司业务发展提供资金支持，实现战略发展目标。</w:t>
            </w:r>
          </w:p>
        </w:tc>
      </w:tr>
      <w:tr w14:paraId="3DDF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14:paraId="6DC63E8E">
            <w:pPr>
              <w:spacing w:line="360" w:lineRule="auto"/>
              <w:jc w:val="center"/>
              <w:rPr>
                <w:b/>
                <w:bCs/>
                <w:sz w:val="24"/>
                <w:szCs w:val="32"/>
                <w:highlight w:val="none"/>
              </w:rPr>
            </w:pPr>
            <w:r>
              <w:rPr>
                <w:rFonts w:hint="eastAsia" w:ascii="仿宋" w:hAnsi="仿宋" w:eastAsia="仿宋" w:cs="仿宋"/>
                <w:b/>
                <w:bCs/>
                <w:spacing w:val="-2"/>
                <w:sz w:val="28"/>
                <w:szCs w:val="28"/>
                <w:highlight w:val="none"/>
              </w:rPr>
              <w:t xml:space="preserve"> 附件清单 (如有)</w:t>
            </w:r>
          </w:p>
        </w:tc>
        <w:tc>
          <w:tcPr>
            <w:tcW w:w="6217" w:type="dxa"/>
            <w:gridSpan w:val="2"/>
          </w:tcPr>
          <w:p w14:paraId="16A0D96D">
            <w:pPr>
              <w:spacing w:line="360" w:lineRule="auto"/>
              <w:jc w:val="center"/>
              <w:rPr>
                <w:highlight w:val="none"/>
              </w:rPr>
            </w:pPr>
          </w:p>
        </w:tc>
      </w:tr>
      <w:tr w14:paraId="3D78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14:paraId="19F92AB6">
            <w:pPr>
              <w:spacing w:line="360" w:lineRule="auto"/>
              <w:ind w:firstLine="277" w:firstLineChars="100"/>
              <w:jc w:val="left"/>
              <w:rPr>
                <w:rFonts w:ascii="仿宋" w:hAnsi="仿宋" w:eastAsia="仿宋" w:cs="仿宋"/>
                <w:b/>
                <w:bCs/>
                <w:spacing w:val="-2"/>
                <w:sz w:val="28"/>
                <w:szCs w:val="28"/>
                <w:highlight w:val="none"/>
              </w:rPr>
            </w:pPr>
            <w:r>
              <w:rPr>
                <w:rFonts w:hint="eastAsia" w:ascii="仿宋" w:hAnsi="仿宋" w:eastAsia="仿宋" w:cs="仿宋"/>
                <w:b/>
                <w:bCs/>
                <w:spacing w:val="-2"/>
                <w:sz w:val="28"/>
                <w:szCs w:val="28"/>
                <w:highlight w:val="none"/>
              </w:rPr>
              <w:t>相关提示</w:t>
            </w:r>
          </w:p>
        </w:tc>
        <w:tc>
          <w:tcPr>
            <w:tcW w:w="6217" w:type="dxa"/>
            <w:gridSpan w:val="2"/>
          </w:tcPr>
          <w:p w14:paraId="648CC058">
            <w:pPr>
              <w:widowControl/>
              <w:spacing w:line="360" w:lineRule="auto"/>
              <w:jc w:val="left"/>
              <w:rPr>
                <w:highlight w:val="none"/>
              </w:rPr>
            </w:pPr>
            <w:r>
              <w:rPr>
                <w:rFonts w:hint="eastAsia" w:ascii="仿宋" w:hAnsi="仿宋" w:eastAsia="仿宋" w:cs="仿宋"/>
                <w:sz w:val="28"/>
                <w:szCs w:val="28"/>
                <w:highlight w:val="none"/>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14:paraId="3C4725F6"/>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86FF0"/>
    <w:rsid w:val="00097FFB"/>
    <w:rsid w:val="000D4D80"/>
    <w:rsid w:val="000F3D26"/>
    <w:rsid w:val="00126AED"/>
    <w:rsid w:val="00142881"/>
    <w:rsid w:val="00172A27"/>
    <w:rsid w:val="00174AF0"/>
    <w:rsid w:val="00180DE1"/>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4BE7"/>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2D17"/>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14B4"/>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1C20073"/>
    <w:rsid w:val="020060F9"/>
    <w:rsid w:val="02134CB8"/>
    <w:rsid w:val="02E96BCD"/>
    <w:rsid w:val="02EE5EC8"/>
    <w:rsid w:val="02F32E0C"/>
    <w:rsid w:val="02F47D1B"/>
    <w:rsid w:val="03237D85"/>
    <w:rsid w:val="03986CEB"/>
    <w:rsid w:val="03BE368D"/>
    <w:rsid w:val="03C74BB5"/>
    <w:rsid w:val="042B21AE"/>
    <w:rsid w:val="04574920"/>
    <w:rsid w:val="04775F12"/>
    <w:rsid w:val="04E173D1"/>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694E0E"/>
    <w:rsid w:val="08A95EF6"/>
    <w:rsid w:val="08B13535"/>
    <w:rsid w:val="08BD0334"/>
    <w:rsid w:val="09873FB3"/>
    <w:rsid w:val="09950955"/>
    <w:rsid w:val="09C676BC"/>
    <w:rsid w:val="0A2911E1"/>
    <w:rsid w:val="0AA52A4B"/>
    <w:rsid w:val="0B416CC0"/>
    <w:rsid w:val="0B482792"/>
    <w:rsid w:val="0B7C0033"/>
    <w:rsid w:val="0B8B40BA"/>
    <w:rsid w:val="0B9A2D2D"/>
    <w:rsid w:val="0BBC492E"/>
    <w:rsid w:val="0BE53059"/>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0FF54B8C"/>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557603"/>
    <w:rsid w:val="127C6B6A"/>
    <w:rsid w:val="12B117A1"/>
    <w:rsid w:val="13566077"/>
    <w:rsid w:val="136046DE"/>
    <w:rsid w:val="13DC7C8A"/>
    <w:rsid w:val="13E23345"/>
    <w:rsid w:val="13FE2086"/>
    <w:rsid w:val="14A800EA"/>
    <w:rsid w:val="157D5ACE"/>
    <w:rsid w:val="157E1EF2"/>
    <w:rsid w:val="15CB6F31"/>
    <w:rsid w:val="16302145"/>
    <w:rsid w:val="16665CBB"/>
    <w:rsid w:val="16791831"/>
    <w:rsid w:val="17271DF9"/>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6C418B"/>
    <w:rsid w:val="1DBD4D7F"/>
    <w:rsid w:val="1E102EF7"/>
    <w:rsid w:val="1E5438BD"/>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62649A"/>
    <w:rsid w:val="24D05488"/>
    <w:rsid w:val="251807D0"/>
    <w:rsid w:val="253D070B"/>
    <w:rsid w:val="255363D8"/>
    <w:rsid w:val="259B1AA7"/>
    <w:rsid w:val="259B44F8"/>
    <w:rsid w:val="259E5319"/>
    <w:rsid w:val="26924584"/>
    <w:rsid w:val="26A42BA9"/>
    <w:rsid w:val="276A122F"/>
    <w:rsid w:val="27714256"/>
    <w:rsid w:val="277574DF"/>
    <w:rsid w:val="27C96CC8"/>
    <w:rsid w:val="27D259A3"/>
    <w:rsid w:val="27E9286C"/>
    <w:rsid w:val="285A7228"/>
    <w:rsid w:val="289E62C6"/>
    <w:rsid w:val="28BB5582"/>
    <w:rsid w:val="28D61962"/>
    <w:rsid w:val="29B50E26"/>
    <w:rsid w:val="2A3B763C"/>
    <w:rsid w:val="2A6F1301"/>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24536D"/>
    <w:rsid w:val="30385986"/>
    <w:rsid w:val="304C7546"/>
    <w:rsid w:val="30BE5A67"/>
    <w:rsid w:val="30C955DC"/>
    <w:rsid w:val="30DE58EA"/>
    <w:rsid w:val="3115045E"/>
    <w:rsid w:val="31200E47"/>
    <w:rsid w:val="314B2DA7"/>
    <w:rsid w:val="31B77767"/>
    <w:rsid w:val="31CB61DD"/>
    <w:rsid w:val="31D86852"/>
    <w:rsid w:val="322375EB"/>
    <w:rsid w:val="325A1988"/>
    <w:rsid w:val="325B4961"/>
    <w:rsid w:val="32843012"/>
    <w:rsid w:val="32AA07AD"/>
    <w:rsid w:val="32AB26B5"/>
    <w:rsid w:val="32B7761C"/>
    <w:rsid w:val="32D63C1D"/>
    <w:rsid w:val="32F347CF"/>
    <w:rsid w:val="33015C82"/>
    <w:rsid w:val="337D071D"/>
    <w:rsid w:val="337D72C7"/>
    <w:rsid w:val="33F97BC3"/>
    <w:rsid w:val="342D2050"/>
    <w:rsid w:val="349B1368"/>
    <w:rsid w:val="34A05977"/>
    <w:rsid w:val="34D32B0A"/>
    <w:rsid w:val="350543B6"/>
    <w:rsid w:val="354107BC"/>
    <w:rsid w:val="35501E23"/>
    <w:rsid w:val="35672E55"/>
    <w:rsid w:val="35675E3D"/>
    <w:rsid w:val="35934A0F"/>
    <w:rsid w:val="35AD18B2"/>
    <w:rsid w:val="35D07322"/>
    <w:rsid w:val="36071C0F"/>
    <w:rsid w:val="361A78AC"/>
    <w:rsid w:val="36366780"/>
    <w:rsid w:val="36A52284"/>
    <w:rsid w:val="36C53729"/>
    <w:rsid w:val="370E17C2"/>
    <w:rsid w:val="372806CC"/>
    <w:rsid w:val="376D444E"/>
    <w:rsid w:val="37751BCC"/>
    <w:rsid w:val="37B620E2"/>
    <w:rsid w:val="37CA5DC3"/>
    <w:rsid w:val="37FA6FA7"/>
    <w:rsid w:val="380E7807"/>
    <w:rsid w:val="3811361D"/>
    <w:rsid w:val="38336ACB"/>
    <w:rsid w:val="385C3FDB"/>
    <w:rsid w:val="388F0AF6"/>
    <w:rsid w:val="38AE38A9"/>
    <w:rsid w:val="38AF62FB"/>
    <w:rsid w:val="38BC1488"/>
    <w:rsid w:val="39333B77"/>
    <w:rsid w:val="398E0301"/>
    <w:rsid w:val="39BE02CB"/>
    <w:rsid w:val="39D82F9C"/>
    <w:rsid w:val="3A3F2259"/>
    <w:rsid w:val="3A4C28FB"/>
    <w:rsid w:val="3A7B6A9F"/>
    <w:rsid w:val="3AA30888"/>
    <w:rsid w:val="3B235B76"/>
    <w:rsid w:val="3B275D45"/>
    <w:rsid w:val="3B331C0C"/>
    <w:rsid w:val="3B653F56"/>
    <w:rsid w:val="3B9A1C8B"/>
    <w:rsid w:val="3BFF3EE8"/>
    <w:rsid w:val="3C487939"/>
    <w:rsid w:val="3C506111"/>
    <w:rsid w:val="3CA04076"/>
    <w:rsid w:val="3CDE390D"/>
    <w:rsid w:val="3CE5188C"/>
    <w:rsid w:val="3CF63A53"/>
    <w:rsid w:val="3D6C377B"/>
    <w:rsid w:val="3D724579"/>
    <w:rsid w:val="3DB42DAD"/>
    <w:rsid w:val="3DE607E1"/>
    <w:rsid w:val="3DE9412E"/>
    <w:rsid w:val="3DF169B0"/>
    <w:rsid w:val="3DFD2205"/>
    <w:rsid w:val="3E170F3B"/>
    <w:rsid w:val="3E1D6BA4"/>
    <w:rsid w:val="3E4A58E8"/>
    <w:rsid w:val="3E8E421E"/>
    <w:rsid w:val="3E9660B6"/>
    <w:rsid w:val="3EAE2E24"/>
    <w:rsid w:val="3EB27BA5"/>
    <w:rsid w:val="3F141D55"/>
    <w:rsid w:val="3F244CC1"/>
    <w:rsid w:val="3F530871"/>
    <w:rsid w:val="3F6708E2"/>
    <w:rsid w:val="3FA253C9"/>
    <w:rsid w:val="40403448"/>
    <w:rsid w:val="41105DF3"/>
    <w:rsid w:val="411E4B7E"/>
    <w:rsid w:val="41486274"/>
    <w:rsid w:val="41D62EBD"/>
    <w:rsid w:val="4272634B"/>
    <w:rsid w:val="427F3FDA"/>
    <w:rsid w:val="42BC2416"/>
    <w:rsid w:val="42E42BC9"/>
    <w:rsid w:val="431762B8"/>
    <w:rsid w:val="435C0B63"/>
    <w:rsid w:val="438049FB"/>
    <w:rsid w:val="438F11EC"/>
    <w:rsid w:val="43C628AC"/>
    <w:rsid w:val="43EE4CC7"/>
    <w:rsid w:val="449A6D4F"/>
    <w:rsid w:val="44A1445C"/>
    <w:rsid w:val="44B65017"/>
    <w:rsid w:val="44CA3141"/>
    <w:rsid w:val="44CB61A9"/>
    <w:rsid w:val="44DA7E8F"/>
    <w:rsid w:val="44DE5295"/>
    <w:rsid w:val="450F48DF"/>
    <w:rsid w:val="4527524F"/>
    <w:rsid w:val="454F3AE7"/>
    <w:rsid w:val="456D3C36"/>
    <w:rsid w:val="457101E2"/>
    <w:rsid w:val="458B74A6"/>
    <w:rsid w:val="45ED7D4D"/>
    <w:rsid w:val="461B65AA"/>
    <w:rsid w:val="462705C0"/>
    <w:rsid w:val="46393B5F"/>
    <w:rsid w:val="46655F66"/>
    <w:rsid w:val="46DB13AA"/>
    <w:rsid w:val="477F3EB0"/>
    <w:rsid w:val="47D013F3"/>
    <w:rsid w:val="47D33A8B"/>
    <w:rsid w:val="47DE6C76"/>
    <w:rsid w:val="47E17BFB"/>
    <w:rsid w:val="47F42887"/>
    <w:rsid w:val="48140987"/>
    <w:rsid w:val="48512FD1"/>
    <w:rsid w:val="488E4926"/>
    <w:rsid w:val="489A7C6C"/>
    <w:rsid w:val="4929619B"/>
    <w:rsid w:val="492D57AE"/>
    <w:rsid w:val="492E4EFC"/>
    <w:rsid w:val="49A64064"/>
    <w:rsid w:val="49BB3561"/>
    <w:rsid w:val="49BC3603"/>
    <w:rsid w:val="49C600F0"/>
    <w:rsid w:val="4A0E0038"/>
    <w:rsid w:val="4A147191"/>
    <w:rsid w:val="4A6F2AC4"/>
    <w:rsid w:val="4ACB30BA"/>
    <w:rsid w:val="4AEB6431"/>
    <w:rsid w:val="4B021694"/>
    <w:rsid w:val="4B1D4687"/>
    <w:rsid w:val="4B553E21"/>
    <w:rsid w:val="4B6E7038"/>
    <w:rsid w:val="4B7F5B7B"/>
    <w:rsid w:val="4BB96A04"/>
    <w:rsid w:val="4BC41C91"/>
    <w:rsid w:val="4C3C26CF"/>
    <w:rsid w:val="4C4A7997"/>
    <w:rsid w:val="4C4F2E23"/>
    <w:rsid w:val="4D072F6F"/>
    <w:rsid w:val="4D0E77BC"/>
    <w:rsid w:val="4D4001B9"/>
    <w:rsid w:val="4D774051"/>
    <w:rsid w:val="4D8D73BE"/>
    <w:rsid w:val="4DA11701"/>
    <w:rsid w:val="4DA51E86"/>
    <w:rsid w:val="4DAC62CE"/>
    <w:rsid w:val="4DD40B5B"/>
    <w:rsid w:val="4E5715CC"/>
    <w:rsid w:val="4ED478D5"/>
    <w:rsid w:val="4EE96D5A"/>
    <w:rsid w:val="4F6A0636"/>
    <w:rsid w:val="4FDD5DBB"/>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2807EF"/>
    <w:rsid w:val="55772575"/>
    <w:rsid w:val="557D4CE3"/>
    <w:rsid w:val="55985C34"/>
    <w:rsid w:val="55D21A3E"/>
    <w:rsid w:val="562A186C"/>
    <w:rsid w:val="571A1A7B"/>
    <w:rsid w:val="574D22F3"/>
    <w:rsid w:val="57723FD4"/>
    <w:rsid w:val="57B57EBE"/>
    <w:rsid w:val="57B92425"/>
    <w:rsid w:val="57BB500C"/>
    <w:rsid w:val="57CE581F"/>
    <w:rsid w:val="57D66975"/>
    <w:rsid w:val="57DC2701"/>
    <w:rsid w:val="58134E48"/>
    <w:rsid w:val="58A843C6"/>
    <w:rsid w:val="592301E1"/>
    <w:rsid w:val="59554E3B"/>
    <w:rsid w:val="596D1838"/>
    <w:rsid w:val="597C4D04"/>
    <w:rsid w:val="59A10231"/>
    <w:rsid w:val="5A1E7263"/>
    <w:rsid w:val="5A4F7C8D"/>
    <w:rsid w:val="5A561049"/>
    <w:rsid w:val="5A7F55EC"/>
    <w:rsid w:val="5ADD3AB9"/>
    <w:rsid w:val="5B1C014C"/>
    <w:rsid w:val="5B673C31"/>
    <w:rsid w:val="5B765CFE"/>
    <w:rsid w:val="5C2D2CA7"/>
    <w:rsid w:val="5C472799"/>
    <w:rsid w:val="5C7A734A"/>
    <w:rsid w:val="5CA87D85"/>
    <w:rsid w:val="5CCC76A3"/>
    <w:rsid w:val="5CD61BD7"/>
    <w:rsid w:val="5CDD1CAA"/>
    <w:rsid w:val="5CFF1C77"/>
    <w:rsid w:val="5D156F6C"/>
    <w:rsid w:val="5D2A4E86"/>
    <w:rsid w:val="5D2C2FFF"/>
    <w:rsid w:val="5D5C2BD8"/>
    <w:rsid w:val="5DB161AF"/>
    <w:rsid w:val="5E1E4AD4"/>
    <w:rsid w:val="5E467271"/>
    <w:rsid w:val="5E745CD6"/>
    <w:rsid w:val="5E754F3D"/>
    <w:rsid w:val="5EA17BBA"/>
    <w:rsid w:val="5EC30CE3"/>
    <w:rsid w:val="5EFE4B3A"/>
    <w:rsid w:val="5F237F75"/>
    <w:rsid w:val="5F8B0BDC"/>
    <w:rsid w:val="5F9D130A"/>
    <w:rsid w:val="5FF55C85"/>
    <w:rsid w:val="603E5D79"/>
    <w:rsid w:val="606C06C2"/>
    <w:rsid w:val="60EC5EF2"/>
    <w:rsid w:val="60F5274C"/>
    <w:rsid w:val="614D033F"/>
    <w:rsid w:val="622938BA"/>
    <w:rsid w:val="622946BC"/>
    <w:rsid w:val="624928CA"/>
    <w:rsid w:val="629D2A1F"/>
    <w:rsid w:val="62ED61DB"/>
    <w:rsid w:val="62FD6687"/>
    <w:rsid w:val="63076D99"/>
    <w:rsid w:val="6360392C"/>
    <w:rsid w:val="63860BC4"/>
    <w:rsid w:val="63A64A02"/>
    <w:rsid w:val="63A92E44"/>
    <w:rsid w:val="63CA23DA"/>
    <w:rsid w:val="63FE402F"/>
    <w:rsid w:val="643636A3"/>
    <w:rsid w:val="64587300"/>
    <w:rsid w:val="646D40E8"/>
    <w:rsid w:val="64757877"/>
    <w:rsid w:val="648512ED"/>
    <w:rsid w:val="64E66515"/>
    <w:rsid w:val="659A151F"/>
    <w:rsid w:val="65C11893"/>
    <w:rsid w:val="65D442A0"/>
    <w:rsid w:val="65FF3F09"/>
    <w:rsid w:val="660D737A"/>
    <w:rsid w:val="660F6630"/>
    <w:rsid w:val="66E77804"/>
    <w:rsid w:val="66EC0AF7"/>
    <w:rsid w:val="67873875"/>
    <w:rsid w:val="680D6EB2"/>
    <w:rsid w:val="68353326"/>
    <w:rsid w:val="687E75D9"/>
    <w:rsid w:val="68D53F0D"/>
    <w:rsid w:val="68D5791B"/>
    <w:rsid w:val="68DA4C11"/>
    <w:rsid w:val="68E90A30"/>
    <w:rsid w:val="691F0A55"/>
    <w:rsid w:val="69232A11"/>
    <w:rsid w:val="69304D10"/>
    <w:rsid w:val="69677714"/>
    <w:rsid w:val="69855FE9"/>
    <w:rsid w:val="69877951"/>
    <w:rsid w:val="69F22D5A"/>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9F0B20"/>
    <w:rsid w:val="6DCF6E1E"/>
    <w:rsid w:val="6E950837"/>
    <w:rsid w:val="6F2F2727"/>
    <w:rsid w:val="6F6A3147"/>
    <w:rsid w:val="6F7D7EAF"/>
    <w:rsid w:val="6F83464F"/>
    <w:rsid w:val="6FC40824"/>
    <w:rsid w:val="6FE52CEE"/>
    <w:rsid w:val="6FF66AA9"/>
    <w:rsid w:val="703B4EA9"/>
    <w:rsid w:val="70C920F0"/>
    <w:rsid w:val="70DE6F6B"/>
    <w:rsid w:val="70E51CD3"/>
    <w:rsid w:val="71655E64"/>
    <w:rsid w:val="71B457F4"/>
    <w:rsid w:val="71CA4040"/>
    <w:rsid w:val="72D679F5"/>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A80CB1"/>
    <w:rsid w:val="77C1619A"/>
    <w:rsid w:val="77C31E96"/>
    <w:rsid w:val="78273E7E"/>
    <w:rsid w:val="78793C5B"/>
    <w:rsid w:val="78CC2A74"/>
    <w:rsid w:val="78F60B5A"/>
    <w:rsid w:val="790330FE"/>
    <w:rsid w:val="79554276"/>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3338</Words>
  <Characters>3453</Characters>
  <Lines>22</Lines>
  <Paragraphs>6</Paragraphs>
  <TotalTime>1178</TotalTime>
  <ScaleCrop>false</ScaleCrop>
  <LinksUpToDate>false</LinksUpToDate>
  <CharactersWithSpaces>3511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2026-03-20T03:34:00Z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76DB85D09CA745E78237C6C711C9E31A_13</vt:lpwstr>
  </property>
  <property fmtid="{D5CDD505-2E9C-101B-9397-08002B2CF9AE}" pid="4" name="KSOTemplateDocerSaveRecord">
    <vt:lpwstr>eyJoZGlkIjoiZTQzZmRmZDMxMjkwMDE2NTk0ZWQ1ZWYwMzRmYjVhNmUiLCJ1c2VySWQiOiI2NDQwNzQxNTQifQ==</vt:lpwstr>
  </property>
</Properties>
</file>