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1A77AA">
      <w:pPr>
        <w:spacing w:line="420" w:lineRule="exact"/>
        <w:rPr>
          <w:rFonts w:hint="eastAsia" w:ascii="宋体" w:hAnsi="宋体"/>
          <w:b/>
          <w:iCs/>
          <w:szCs w:val="21"/>
        </w:rPr>
      </w:pPr>
      <w:r>
        <w:rPr>
          <w:rFonts w:ascii="宋体" w:hAnsi="宋体"/>
          <w:b/>
          <w:iCs/>
          <w:szCs w:val="21"/>
        </w:rPr>
        <w:t>证券代码：688100                                            证券简称：</w:t>
      </w:r>
      <w:r>
        <w:rPr>
          <w:rFonts w:hint="eastAsia" w:ascii="宋体" w:hAnsi="宋体"/>
          <w:b/>
          <w:iCs/>
          <w:szCs w:val="21"/>
        </w:rPr>
        <w:t>威胜信息</w:t>
      </w:r>
    </w:p>
    <w:p w14:paraId="17E39041">
      <w:pPr>
        <w:spacing w:before="468" w:beforeLines="150" w:after="156" w:afterLines="50" w:line="420" w:lineRule="exact"/>
        <w:jc w:val="center"/>
        <w:rPr>
          <w:rFonts w:hint="eastAsia" w:ascii="宋体" w:hAnsi="宋体"/>
          <w:b/>
          <w:bCs/>
          <w:iCs/>
          <w:sz w:val="32"/>
          <w:szCs w:val="32"/>
        </w:rPr>
      </w:pPr>
      <w:r>
        <w:rPr>
          <w:rFonts w:hint="eastAsia" w:ascii="宋体" w:hAnsi="宋体"/>
          <w:b/>
          <w:bCs/>
          <w:iCs/>
          <w:sz w:val="32"/>
          <w:szCs w:val="32"/>
        </w:rPr>
        <w:t>威胜信息技术股份有限公司</w:t>
      </w:r>
    </w:p>
    <w:p w14:paraId="63F56565">
      <w:pPr>
        <w:spacing w:before="156" w:beforeLines="50" w:after="468" w:afterLines="150" w:line="420" w:lineRule="exact"/>
        <w:jc w:val="center"/>
        <w:rPr>
          <w:rFonts w:hint="eastAsia" w:ascii="宋体" w:hAnsi="宋体"/>
          <w:b/>
          <w:bCs/>
          <w:iCs/>
          <w:sz w:val="32"/>
          <w:szCs w:val="32"/>
        </w:rPr>
      </w:pPr>
      <w:r>
        <w:rPr>
          <w:rFonts w:hint="eastAsia" w:ascii="宋体" w:hAnsi="宋体"/>
          <w:b/>
          <w:bCs/>
          <w:iCs/>
          <w:sz w:val="32"/>
          <w:szCs w:val="32"/>
        </w:rPr>
        <w:t>2026年3月25日投资者交流会会议记录</w:t>
      </w:r>
    </w:p>
    <w:p w14:paraId="52270567">
      <w:pPr>
        <w:spacing w:line="420" w:lineRule="exact"/>
        <w:ind w:firstLine="424" w:firstLineChars="177"/>
        <w:rPr>
          <w:rFonts w:hint="eastAsia" w:ascii="宋体" w:hAnsi="宋体"/>
          <w:sz w:val="24"/>
        </w:rPr>
      </w:pPr>
      <w:r>
        <w:rPr>
          <w:rFonts w:hint="eastAsia" w:ascii="宋体" w:hAnsi="宋体"/>
          <w:sz w:val="24"/>
        </w:rPr>
        <w:t>威胜信息技术股份有限公司（以下简称“公司”）2</w:t>
      </w:r>
      <w:r>
        <w:rPr>
          <w:rFonts w:ascii="宋体" w:hAnsi="宋体"/>
          <w:sz w:val="24"/>
        </w:rPr>
        <w:t>02</w:t>
      </w:r>
      <w:r>
        <w:rPr>
          <w:rFonts w:hint="eastAsia" w:ascii="宋体" w:hAnsi="宋体"/>
          <w:sz w:val="24"/>
        </w:rPr>
        <w:t>6年3月25</w:t>
      </w:r>
      <w:r>
        <w:rPr>
          <w:rFonts w:ascii="宋体" w:hAnsi="宋体"/>
          <w:sz w:val="24"/>
        </w:rPr>
        <w:t>日</w:t>
      </w:r>
      <w:r>
        <w:rPr>
          <w:rFonts w:hint="eastAsia" w:ascii="宋体" w:hAnsi="宋体"/>
          <w:sz w:val="24"/>
        </w:rPr>
        <w:t>交流情况如下</w:t>
      </w:r>
    </w:p>
    <w:p w14:paraId="38C4A617">
      <w:pPr>
        <w:pStyle w:val="21"/>
        <w:numPr>
          <w:ilvl w:val="0"/>
          <w:numId w:val="0"/>
        </w:numPr>
        <w:spacing w:line="420" w:lineRule="exact"/>
        <w:ind w:left="-11" w:leftChars="0"/>
        <w:rPr>
          <w:rFonts w:hint="eastAsia" w:ascii="宋体" w:hAnsi="宋体"/>
          <w:b/>
          <w:bCs/>
          <w:sz w:val="24"/>
        </w:rPr>
      </w:pPr>
      <w:r>
        <w:rPr>
          <w:rFonts w:hint="eastAsia" w:ascii="宋体" w:hAnsi="宋体"/>
          <w:b/>
          <w:bCs/>
          <w:sz w:val="24"/>
          <w:lang w:val="en-US" w:eastAsia="zh-CN"/>
        </w:rPr>
        <w:t>一、</w:t>
      </w:r>
      <w:r>
        <w:rPr>
          <w:rFonts w:hint="eastAsia" w:ascii="宋体" w:hAnsi="宋体"/>
          <w:b/>
          <w:bCs/>
          <w:sz w:val="24"/>
        </w:rPr>
        <w:t>参会人员</w:t>
      </w:r>
    </w:p>
    <w:p w14:paraId="48526BBA">
      <w:pPr>
        <w:pStyle w:val="9"/>
        <w:spacing w:line="420" w:lineRule="exact"/>
        <w:ind w:firstLine="480" w:firstLineChars="200"/>
        <w:rPr>
          <w:rFonts w:hint="eastAsia" w:hAnsi="宋体"/>
          <w:sz w:val="24"/>
        </w:rPr>
      </w:pPr>
      <w:bookmarkStart w:id="0" w:name="OLE_LINK14"/>
      <w:bookmarkStart w:id="1" w:name="OLE_LINK15"/>
      <w:bookmarkStart w:id="2" w:name="OLE_LINK2"/>
      <w:r>
        <w:rPr>
          <w:rFonts w:hint="eastAsia" w:hAnsi="宋体"/>
          <w:sz w:val="24"/>
        </w:rPr>
        <w:t>董事会秘书兼财务总监：钟喜玉女士</w:t>
      </w:r>
    </w:p>
    <w:p w14:paraId="005E51C4">
      <w:pPr>
        <w:pStyle w:val="9"/>
        <w:spacing w:line="420" w:lineRule="exact"/>
        <w:ind w:firstLine="480" w:firstLineChars="200"/>
        <w:rPr>
          <w:rFonts w:hAnsi="宋体"/>
          <w:sz w:val="24"/>
        </w:rPr>
      </w:pPr>
      <w:r>
        <w:rPr>
          <w:rFonts w:hint="eastAsia" w:hAnsi="宋体"/>
          <w:sz w:val="24"/>
        </w:rPr>
        <w:t>战略投资总监：吴浩先生</w:t>
      </w:r>
    </w:p>
    <w:p w14:paraId="08B0258D">
      <w:pPr>
        <w:pStyle w:val="9"/>
        <w:spacing w:line="420" w:lineRule="exact"/>
        <w:ind w:firstLine="480" w:firstLineChars="200"/>
        <w:rPr>
          <w:rFonts w:hint="eastAsia" w:hAnsi="宋体"/>
          <w:sz w:val="24"/>
        </w:rPr>
      </w:pPr>
      <w:r>
        <w:rPr>
          <w:rFonts w:hint="eastAsia" w:hAnsi="宋体"/>
          <w:sz w:val="24"/>
        </w:rPr>
        <w:t>证券事务代表：余萱女士</w:t>
      </w:r>
    </w:p>
    <w:bookmarkEnd w:id="0"/>
    <w:bookmarkEnd w:id="1"/>
    <w:p w14:paraId="74D7D8E9">
      <w:pPr>
        <w:pStyle w:val="9"/>
        <w:spacing w:line="420" w:lineRule="exact"/>
        <w:ind w:firstLine="480" w:firstLineChars="200"/>
        <w:rPr>
          <w:rFonts w:hint="eastAsia" w:hAnsi="宋体"/>
          <w:sz w:val="24"/>
        </w:rPr>
      </w:pPr>
      <w:r>
        <w:rPr>
          <w:rFonts w:hint="eastAsia" w:hAnsi="宋体"/>
          <w:sz w:val="24"/>
        </w:rPr>
        <w:t>投资者关系经理：张乐维先生</w:t>
      </w:r>
    </w:p>
    <w:bookmarkEnd w:id="2"/>
    <w:p w14:paraId="07E846BA">
      <w:pPr>
        <w:pStyle w:val="9"/>
        <w:spacing w:line="420" w:lineRule="exact"/>
        <w:ind w:firstLine="480" w:firstLineChars="200"/>
        <w:rPr>
          <w:rFonts w:hint="eastAsia" w:hAnsi="宋体"/>
          <w:sz w:val="24"/>
        </w:rPr>
      </w:pPr>
    </w:p>
    <w:p w14:paraId="6452350F">
      <w:pPr>
        <w:pStyle w:val="9"/>
        <w:spacing w:line="420" w:lineRule="exact"/>
        <w:ind w:firstLine="480" w:firstLineChars="200"/>
        <w:rPr>
          <w:rFonts w:hint="eastAsia" w:hAnsi="宋体"/>
          <w:sz w:val="24"/>
        </w:rPr>
      </w:pPr>
      <w:r>
        <w:rPr>
          <w:rFonts w:hint="eastAsia" w:hAnsi="宋体"/>
          <w:sz w:val="24"/>
        </w:rPr>
        <w:t>机构参会：</w:t>
      </w:r>
    </w:p>
    <w:p w14:paraId="2777C2E1">
      <w:pPr>
        <w:spacing w:line="42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2026年3月24日 第一财经广播组织投资者现场调研</w:t>
      </w:r>
    </w:p>
    <w:p w14:paraId="49668108">
      <w:pPr>
        <w:spacing w:line="420" w:lineRule="exact"/>
        <w:ind w:firstLine="480" w:firstLineChars="200"/>
        <w:rPr>
          <w:rFonts w:hint="eastAsia" w:ascii="宋体" w:hAnsi="宋体"/>
          <w:b/>
          <w:bCs/>
          <w:sz w:val="24"/>
        </w:rPr>
      </w:pPr>
      <w:r>
        <w:rPr>
          <w:rFonts w:hint="eastAsia" w:asciiTheme="minorEastAsia" w:hAnsiTheme="minorEastAsia" w:eastAsiaTheme="minorEastAsia"/>
          <w:sz w:val="24"/>
        </w:rPr>
        <w:t>2026年3月25日 华商基金、朱雀基金、国投基金、云富投资、海富通基金、泰合基金、中信资管、泰合基金、民生理财、中信证券、国盛证券、国泰海通</w:t>
      </w:r>
    </w:p>
    <w:p w14:paraId="4F5992C0">
      <w:pPr>
        <w:pStyle w:val="21"/>
        <w:numPr>
          <w:ilvl w:val="0"/>
          <w:numId w:val="0"/>
        </w:numPr>
        <w:spacing w:line="420" w:lineRule="exact"/>
        <w:ind w:left="496" w:leftChars="0"/>
        <w:rPr>
          <w:rFonts w:ascii="宋体" w:hAnsi="宋体"/>
          <w:b/>
          <w:bCs/>
          <w:sz w:val="24"/>
        </w:rPr>
      </w:pPr>
    </w:p>
    <w:p w14:paraId="1973D70C">
      <w:pPr>
        <w:pStyle w:val="21"/>
        <w:numPr>
          <w:ilvl w:val="0"/>
          <w:numId w:val="0"/>
        </w:numPr>
        <w:spacing w:line="420" w:lineRule="exact"/>
        <w:rPr>
          <w:rFonts w:hint="eastAsia" w:ascii="宋体" w:hAnsi="宋体"/>
          <w:b/>
          <w:bCs/>
          <w:sz w:val="24"/>
        </w:rPr>
      </w:pPr>
      <w:r>
        <w:rPr>
          <w:rFonts w:hint="eastAsia" w:ascii="宋体" w:hAnsi="宋体"/>
          <w:b/>
          <w:bCs/>
          <w:sz w:val="24"/>
          <w:lang w:val="en-US" w:eastAsia="zh-CN"/>
        </w:rPr>
        <w:t>二、</w:t>
      </w:r>
      <w:r>
        <w:rPr>
          <w:rFonts w:hint="eastAsia" w:ascii="宋体" w:hAnsi="宋体"/>
          <w:b/>
          <w:bCs/>
          <w:sz w:val="24"/>
        </w:rPr>
        <w:t>202</w:t>
      </w:r>
      <w:r>
        <w:rPr>
          <w:rFonts w:ascii="宋体" w:hAnsi="宋体"/>
          <w:b/>
          <w:bCs/>
          <w:sz w:val="24"/>
        </w:rPr>
        <w:t>5年</w:t>
      </w:r>
      <w:r>
        <w:rPr>
          <w:rFonts w:hint="eastAsia" w:ascii="宋体" w:hAnsi="宋体"/>
          <w:b/>
          <w:bCs/>
          <w:sz w:val="24"/>
        </w:rPr>
        <w:t>年报主要情况介绍</w:t>
      </w:r>
    </w:p>
    <w:p w14:paraId="43005C32">
      <w:pPr>
        <w:spacing w:line="420" w:lineRule="exact"/>
        <w:ind w:left="-11" w:firstLine="480" w:firstLineChars="200"/>
        <w:rPr>
          <w:rFonts w:hint="eastAsia" w:ascii="宋体" w:hAnsi="宋体" w:cs="宋体"/>
          <w:sz w:val="24"/>
        </w:rPr>
      </w:pPr>
      <w:r>
        <w:rPr>
          <w:rFonts w:ascii="宋体" w:hAnsi="宋体" w:cs="宋体"/>
          <w:sz w:val="24"/>
        </w:rPr>
        <w:t>营收与利润：2025年实现营业收入29.78亿元，同比增长8.48%；实现归母净利润6.66亿元，同比增长5.64%。</w:t>
      </w:r>
    </w:p>
    <w:p w14:paraId="6FFBB9D9">
      <w:pPr>
        <w:spacing w:line="420" w:lineRule="exact"/>
        <w:ind w:left="-11" w:firstLine="480" w:firstLineChars="200"/>
        <w:rPr>
          <w:rFonts w:hint="eastAsia" w:ascii="宋体" w:hAnsi="宋体" w:cs="宋体"/>
          <w:sz w:val="24"/>
        </w:rPr>
      </w:pPr>
      <w:r>
        <w:rPr>
          <w:rFonts w:ascii="宋体" w:hAnsi="宋体" w:cs="宋体"/>
          <w:sz w:val="24"/>
        </w:rPr>
        <w:t>经营质量：净资产收益率（ROE）为19.7</w:t>
      </w:r>
      <w:r>
        <w:rPr>
          <w:rFonts w:hint="eastAsia" w:ascii="宋体" w:hAnsi="宋体" w:cs="宋体"/>
          <w:sz w:val="24"/>
        </w:rPr>
        <w:t>1</w:t>
      </w:r>
      <w:r>
        <w:rPr>
          <w:rFonts w:ascii="宋体" w:hAnsi="宋体" w:cs="宋体"/>
          <w:sz w:val="24"/>
        </w:rPr>
        <w:t>%；资产负债率保持在37.79%的低水平；经营活动产生的现金流量净额为5.16亿元，同比增长8</w:t>
      </w:r>
      <w:r>
        <w:rPr>
          <w:rFonts w:hint="eastAsia" w:ascii="宋体" w:hAnsi="宋体" w:cs="宋体"/>
          <w:sz w:val="24"/>
        </w:rPr>
        <w:t>.91</w:t>
      </w:r>
      <w:r>
        <w:rPr>
          <w:rFonts w:ascii="宋体" w:hAnsi="宋体" w:cs="宋体"/>
          <w:sz w:val="24"/>
        </w:rPr>
        <w:t>%，现金流状况健康。</w:t>
      </w:r>
    </w:p>
    <w:p w14:paraId="1AE19DC8">
      <w:pPr>
        <w:spacing w:line="420" w:lineRule="exact"/>
        <w:ind w:firstLine="480" w:firstLineChars="200"/>
        <w:rPr>
          <w:rFonts w:ascii="宋体" w:hAnsi="宋体" w:cs="宋体"/>
          <w:sz w:val="24"/>
        </w:rPr>
      </w:pPr>
      <w:r>
        <w:rPr>
          <w:rFonts w:hint="eastAsia" w:ascii="宋体" w:hAnsi="宋体" w:cs="宋体"/>
          <w:sz w:val="24"/>
        </w:rPr>
        <w:t>新签合同及在手订单</w:t>
      </w:r>
      <w:r>
        <w:rPr>
          <w:rFonts w:ascii="宋体" w:hAnsi="宋体" w:cs="宋体"/>
          <w:sz w:val="24"/>
        </w:rPr>
        <w:t>：2025年新签合同额37</w:t>
      </w:r>
      <w:r>
        <w:rPr>
          <w:rFonts w:hint="eastAsia" w:ascii="宋体" w:hAnsi="宋体" w:cs="宋体"/>
          <w:sz w:val="24"/>
        </w:rPr>
        <w:t>.08</w:t>
      </w:r>
      <w:r>
        <w:rPr>
          <w:rFonts w:ascii="宋体" w:hAnsi="宋体" w:cs="宋体"/>
          <w:sz w:val="24"/>
        </w:rPr>
        <w:t>亿元，截至年底在手订单达40.59亿元。</w:t>
      </w:r>
      <w:r>
        <w:rPr>
          <w:rFonts w:ascii="宋体" w:hAnsi="宋体" w:cs="宋体"/>
          <w:sz w:val="24"/>
        </w:rPr>
        <w:cr/>
      </w:r>
      <w:r>
        <w:rPr>
          <w:rFonts w:ascii="宋体" w:hAnsi="宋体" w:cs="宋体"/>
          <w:sz w:val="24"/>
        </w:rPr>
        <w:t xml:space="preserve">    AI业务：相关应用带来收入7.3</w:t>
      </w:r>
      <w:r>
        <w:rPr>
          <w:rFonts w:hint="eastAsia" w:ascii="宋体" w:hAnsi="宋体"/>
          <w:sz w:val="24"/>
        </w:rPr>
        <w:t>7</w:t>
      </w:r>
      <w:r>
        <w:rPr>
          <w:rFonts w:ascii="宋体" w:hAnsi="宋体" w:cs="宋体"/>
          <w:sz w:val="24"/>
        </w:rPr>
        <w:t>亿元，占总营收比重24%。</w:t>
      </w:r>
    </w:p>
    <w:p w14:paraId="65BD4A12">
      <w:pPr>
        <w:spacing w:line="420" w:lineRule="exact"/>
        <w:ind w:firstLine="480" w:firstLineChars="200"/>
        <w:rPr>
          <w:rFonts w:hint="eastAsia" w:ascii="宋体" w:hAnsi="宋体"/>
          <w:sz w:val="24"/>
        </w:rPr>
      </w:pPr>
      <w:r>
        <w:rPr>
          <w:rFonts w:ascii="宋体" w:hAnsi="宋体" w:cs="宋体"/>
          <w:sz w:val="24"/>
        </w:rPr>
        <w:t>海外业务：境外收入达5.64亿元，同比增长33.98%，占总营收比重为19%。过去五年海外收入累计达17</w:t>
      </w:r>
      <w:r>
        <w:rPr>
          <w:rFonts w:hint="eastAsia" w:ascii="宋体" w:hAnsi="宋体" w:cs="宋体"/>
          <w:sz w:val="24"/>
        </w:rPr>
        <w:t>.34</w:t>
      </w:r>
      <w:r>
        <w:rPr>
          <w:rFonts w:ascii="宋体" w:hAnsi="宋体" w:cs="宋体"/>
          <w:sz w:val="24"/>
        </w:rPr>
        <w:t>亿元，较“十三五”期间增长4.5倍。</w:t>
      </w:r>
    </w:p>
    <w:p w14:paraId="04A56BB3">
      <w:pPr>
        <w:spacing w:line="420" w:lineRule="exact"/>
        <w:ind w:firstLine="480" w:firstLineChars="200"/>
        <w:rPr>
          <w:rFonts w:ascii="宋体" w:hAnsi="宋体" w:cs="宋体"/>
          <w:sz w:val="24"/>
        </w:rPr>
      </w:pPr>
      <w:r>
        <w:rPr>
          <w:rFonts w:ascii="宋体" w:hAnsi="宋体" w:cs="宋体"/>
          <w:sz w:val="24"/>
        </w:rPr>
        <w:t>新品迭代：2025年共落地49款新产品，产品线持续丰富。</w:t>
      </w:r>
      <w:r>
        <w:rPr>
          <w:rFonts w:ascii="宋体" w:hAnsi="宋体" w:cs="宋体"/>
          <w:sz w:val="24"/>
        </w:rPr>
        <w:cr/>
      </w:r>
      <w:r>
        <w:rPr>
          <w:rFonts w:hint="eastAsia" w:ascii="宋体" w:hAnsi="宋体" w:cs="宋体"/>
          <w:sz w:val="24"/>
        </w:rPr>
        <w:t xml:space="preserve">  </w:t>
      </w:r>
      <w:r>
        <w:rPr>
          <w:rFonts w:ascii="宋体" w:hAnsi="宋体" w:cs="宋体"/>
          <w:sz w:val="24"/>
        </w:rPr>
        <w:t>股东回报：2025年全年分红预案为每10股派发现金红利5.5元（含中期已派发的现金红利），年度现金分红比例达40.24%。年内回购股份耗资1.5亿元。分红与回购金额合计占2025年净利润比重达62</w:t>
      </w:r>
      <w:r>
        <w:rPr>
          <w:rFonts w:hint="eastAsia" w:ascii="宋体" w:hAnsi="宋体" w:cs="宋体"/>
          <w:sz w:val="24"/>
        </w:rPr>
        <w:t>.</w:t>
      </w:r>
      <w:r>
        <w:rPr>
          <w:rFonts w:ascii="宋体" w:hAnsi="宋体" w:cs="宋体"/>
          <w:sz w:val="24"/>
        </w:rPr>
        <w:t>75%。公司上市以来累计派现10.8亿元、回购耗资4.5亿元，合计金额为IPO募集资金净额的2.5倍，总股东回报率（TSR）达203%。</w:t>
      </w:r>
    </w:p>
    <w:p w14:paraId="10AE1DF9">
      <w:pPr>
        <w:spacing w:line="420" w:lineRule="exact"/>
        <w:ind w:firstLine="480" w:firstLineChars="200"/>
        <w:rPr>
          <w:rFonts w:hint="eastAsia" w:ascii="宋体" w:hAnsi="宋体" w:cs="宋体"/>
          <w:sz w:val="24"/>
        </w:rPr>
      </w:pPr>
      <w:r>
        <w:rPr>
          <w:rFonts w:ascii="宋体" w:hAnsi="宋体" w:cs="宋体"/>
          <w:sz w:val="24"/>
        </w:rPr>
        <w:t>未来回报承诺：根据公司拟定的提质增效行动方案，计划自2025年起未来五年，继续保持40%的基准分红率。</w:t>
      </w:r>
    </w:p>
    <w:p w14:paraId="6E24AD46">
      <w:pPr>
        <w:spacing w:line="420" w:lineRule="exact"/>
        <w:ind w:left="-11" w:firstLine="480" w:firstLineChars="200"/>
        <w:rPr>
          <w:rFonts w:hint="eastAsia" w:ascii="宋体" w:hAnsi="宋体" w:cs="宋体"/>
          <w:sz w:val="24"/>
        </w:rPr>
      </w:pPr>
    </w:p>
    <w:p w14:paraId="3B878B15">
      <w:pPr>
        <w:spacing w:line="420" w:lineRule="exact"/>
        <w:ind w:left="-11"/>
        <w:rPr>
          <w:rFonts w:hint="eastAsia" w:ascii="宋体" w:hAnsi="宋体"/>
          <w:bCs/>
          <w:sz w:val="24"/>
        </w:rPr>
      </w:pPr>
      <w:r>
        <w:rPr>
          <w:rFonts w:hint="eastAsia" w:ascii="宋体" w:hAnsi="宋体"/>
          <w:b/>
          <w:sz w:val="24"/>
        </w:rPr>
        <w:t>三、投资者问答</w:t>
      </w:r>
      <w:r>
        <w:rPr>
          <w:rFonts w:ascii="宋体" w:hAnsi="宋体"/>
          <w:bCs/>
          <w:sz w:val="24"/>
        </w:rPr>
        <w:t xml:space="preserve"> </w:t>
      </w:r>
    </w:p>
    <w:p w14:paraId="352C62D2">
      <w:pPr>
        <w:spacing w:line="420" w:lineRule="exact"/>
        <w:ind w:left="-11" w:firstLine="482" w:firstLineChars="200"/>
        <w:rPr>
          <w:rFonts w:hint="eastAsia" w:asciiTheme="minorEastAsia" w:hAnsiTheme="minorEastAsia" w:eastAsiaTheme="minorEastAsia"/>
          <w:sz w:val="24"/>
        </w:rPr>
      </w:pPr>
      <w:r>
        <w:rPr>
          <w:rFonts w:hint="eastAsia" w:asciiTheme="minorEastAsia" w:hAnsiTheme="minorEastAsia" w:eastAsiaTheme="minorEastAsia"/>
          <w:b/>
          <w:bCs/>
          <w:sz w:val="24"/>
        </w:rPr>
        <w:t>Q：电网“十五五”整体投资近5万亿，配电侧占比超40%，和公司相关业务场景市场有多大？</w:t>
      </w:r>
      <w:r>
        <w:rPr>
          <w:rFonts w:hint="eastAsia" w:asciiTheme="minorEastAsia" w:hAnsiTheme="minorEastAsia" w:eastAsiaTheme="minorEastAsia"/>
          <w:sz w:val="24"/>
        </w:rPr>
        <w:t xml:space="preserve"> </w:t>
      </w:r>
    </w:p>
    <w:p w14:paraId="23DF8866">
      <w:pPr>
        <w:spacing w:line="420" w:lineRule="exact"/>
        <w:ind w:left="-11"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A：根据国家电网、南方电网披露的相关投资规划，“十五五”期间两大电网公司合计规划投资规模约5万亿元，其中配网投资占比约40%-45%、数字化投资占比约10%-15%，配网建设与电网数字化智能化改造将成为行业核心增长方向。公司产品及业务全面覆盖配电自动化、台区自治和台区配网升级改造、电网AI平台全产品线，契合配网升级和电网数字化转型的核心市场需求，具备广阔的市场拓展空间，同时公司凭借多年的业务积累与技术沉淀，已完成相关技术储备与产业合作布局，将持续深耕相关领域，不断提升核心竞争力与市场份额，积极把握行业发展带来的市场机遇。</w:t>
      </w:r>
    </w:p>
    <w:p w14:paraId="269ED615">
      <w:pPr>
        <w:widowControl/>
        <w:wordWrap w:val="0"/>
        <w:spacing w:line="420" w:lineRule="exact"/>
        <w:rPr>
          <w:rFonts w:hint="eastAsia" w:ascii="宋体" w:hAnsi="宋体"/>
          <w:sz w:val="24"/>
        </w:rPr>
      </w:pPr>
    </w:p>
    <w:p w14:paraId="263EEDF8">
      <w:pPr>
        <w:widowControl/>
        <w:wordWrap w:val="0"/>
        <w:spacing w:line="420" w:lineRule="exact"/>
        <w:ind w:firstLine="482" w:firstLineChars="200"/>
        <w:jc w:val="left"/>
        <w:rPr>
          <w:rFonts w:hint="eastAsia" w:asciiTheme="minorEastAsia" w:hAnsiTheme="minorEastAsia" w:eastAsiaTheme="minorEastAsia"/>
          <w:bCs/>
          <w:sz w:val="24"/>
        </w:rPr>
      </w:pPr>
      <w:bookmarkStart w:id="3" w:name="_Toc163486487"/>
      <w:r>
        <w:rPr>
          <w:rFonts w:asciiTheme="minorEastAsia" w:hAnsiTheme="minorEastAsia" w:eastAsiaTheme="minorEastAsia"/>
          <w:b/>
          <w:bCs/>
          <w:sz w:val="24"/>
        </w:rPr>
        <w:t>Q:电力公司为何要把电力线载波作为本地通讯的主要模式</w:t>
      </w:r>
      <w:bookmarkEnd w:id="3"/>
      <w:r>
        <w:rPr>
          <w:rFonts w:hint="eastAsia" w:asciiTheme="minorEastAsia" w:hAnsiTheme="minorEastAsia" w:eastAsiaTheme="minorEastAsia"/>
          <w:b/>
          <w:bCs/>
          <w:sz w:val="24"/>
        </w:rPr>
        <w:t>？</w:t>
      </w:r>
      <w:r>
        <w:rPr>
          <w:rFonts w:asciiTheme="minorEastAsia" w:hAnsiTheme="minorEastAsia" w:eastAsiaTheme="minorEastAsia"/>
          <w:bCs/>
          <w:sz w:val="24"/>
        </w:rPr>
        <w:t xml:space="preserve"> </w:t>
      </w:r>
    </w:p>
    <w:p w14:paraId="43EAE26C">
      <w:pPr>
        <w:widowControl/>
        <w:wordWrap w:val="0"/>
        <w:spacing w:line="420" w:lineRule="exact"/>
        <w:ind w:firstLine="480" w:firstLineChars="200"/>
        <w:jc w:val="left"/>
        <w:rPr>
          <w:rFonts w:hint="eastAsia" w:asciiTheme="minorEastAsia" w:hAnsiTheme="minorEastAsia" w:eastAsiaTheme="minorEastAsia"/>
          <w:bCs/>
          <w:sz w:val="24"/>
        </w:rPr>
      </w:pPr>
      <w:r>
        <w:rPr>
          <w:rFonts w:hint="eastAsia" w:asciiTheme="minorEastAsia" w:hAnsiTheme="minorEastAsia" w:eastAsiaTheme="minorEastAsia"/>
          <w:bCs/>
          <w:sz w:val="24"/>
        </w:rPr>
        <w:t>A:</w:t>
      </w:r>
      <w:r>
        <w:rPr>
          <w:rFonts w:asciiTheme="minorEastAsia" w:hAnsiTheme="minorEastAsia" w:eastAsiaTheme="minorEastAsia"/>
          <w:bCs/>
          <w:sz w:val="24"/>
        </w:rPr>
        <w:t xml:space="preserve">电力线载波通信可以利用现有电力线、通过载波方式将模拟信号进行高速传输的技术，不需要重新架设网络，具有投资小、灵活性强、覆盖范围广阔等特点，在电力系统被广泛使用。目前，电力线载波是国内智能电网用电信息采集领域本地通信的最主要方式，用于实现现场设备仪表之间的数据传输。 </w:t>
      </w:r>
    </w:p>
    <w:p w14:paraId="31F88E25">
      <w:pPr>
        <w:spacing w:line="420" w:lineRule="exact"/>
        <w:rPr>
          <w:rFonts w:hint="eastAsia" w:asciiTheme="minorEastAsia" w:hAnsiTheme="minorEastAsia" w:eastAsiaTheme="minorEastAsia"/>
          <w:sz w:val="24"/>
        </w:rPr>
      </w:pPr>
    </w:p>
    <w:p w14:paraId="0364A635">
      <w:pPr>
        <w:widowControl/>
        <w:wordWrap w:val="0"/>
        <w:spacing w:line="420" w:lineRule="exact"/>
        <w:ind w:firstLine="482" w:firstLineChars="200"/>
        <w:jc w:val="left"/>
        <w:rPr>
          <w:rFonts w:hint="eastAsia" w:asciiTheme="minorEastAsia" w:hAnsiTheme="minorEastAsia" w:eastAsiaTheme="minorEastAsia"/>
          <w:b/>
          <w:bCs/>
          <w:sz w:val="24"/>
        </w:rPr>
      </w:pPr>
      <w:bookmarkStart w:id="4" w:name="_Toc163486481"/>
      <w:r>
        <w:rPr>
          <w:rFonts w:asciiTheme="minorEastAsia" w:hAnsiTheme="minorEastAsia" w:eastAsiaTheme="minorEastAsia"/>
          <w:b/>
          <w:bCs/>
          <w:sz w:val="24"/>
        </w:rPr>
        <w:t>Q:</w:t>
      </w:r>
      <w:r>
        <w:rPr>
          <w:rFonts w:hint="eastAsia" w:asciiTheme="minorEastAsia" w:hAnsiTheme="minorEastAsia" w:eastAsiaTheme="minorEastAsia"/>
          <w:b/>
          <w:bCs/>
          <w:sz w:val="24"/>
        </w:rPr>
        <w:t>公司的通信芯片在海外应用</w:t>
      </w:r>
      <w:r>
        <w:rPr>
          <w:rFonts w:asciiTheme="minorEastAsia" w:hAnsiTheme="minorEastAsia" w:eastAsiaTheme="minorEastAsia"/>
          <w:b/>
          <w:bCs/>
          <w:sz w:val="24"/>
        </w:rPr>
        <w:t>情况</w:t>
      </w:r>
      <w:r>
        <w:rPr>
          <w:rFonts w:hint="eastAsia" w:asciiTheme="minorEastAsia" w:hAnsiTheme="minorEastAsia" w:eastAsiaTheme="minorEastAsia"/>
          <w:b/>
          <w:bCs/>
          <w:sz w:val="24"/>
        </w:rPr>
        <w:t>？</w:t>
      </w:r>
      <w:bookmarkEnd w:id="4"/>
    </w:p>
    <w:p w14:paraId="15062639">
      <w:pPr>
        <w:widowControl/>
        <w:wordWrap w:val="0"/>
        <w:spacing w:line="420" w:lineRule="exact"/>
        <w:ind w:firstLine="480" w:firstLineChars="200"/>
        <w:jc w:val="left"/>
        <w:rPr>
          <w:rFonts w:hint="eastAsia" w:asciiTheme="minorEastAsia" w:hAnsiTheme="minorEastAsia" w:eastAsiaTheme="minorEastAsia"/>
          <w:bCs/>
          <w:sz w:val="24"/>
        </w:rPr>
      </w:pPr>
      <w:r>
        <w:rPr>
          <w:rFonts w:hint="eastAsia" w:asciiTheme="minorEastAsia" w:hAnsiTheme="minorEastAsia" w:eastAsiaTheme="minorEastAsia"/>
          <w:bCs/>
          <w:sz w:val="24"/>
        </w:rPr>
        <w:t>A：在海外市场，</w:t>
      </w:r>
      <w:r>
        <w:rPr>
          <w:rFonts w:asciiTheme="minorEastAsia" w:hAnsiTheme="minorEastAsia" w:eastAsiaTheme="minorEastAsia"/>
          <w:bCs/>
          <w:sz w:val="24"/>
        </w:rPr>
        <w:t>B</w:t>
      </w:r>
      <w:r>
        <w:rPr>
          <w:rFonts w:hint="eastAsia" w:asciiTheme="minorEastAsia" w:hAnsiTheme="minorEastAsia" w:eastAsiaTheme="minorEastAsia"/>
          <w:bCs/>
          <w:sz w:val="24"/>
        </w:rPr>
        <w:t>PLC芯片的通信模组已批量交付与现场运行，主要在孟加拉等东南亚国家。此外，公司推出了基于Wi-SUN国际标准的通信芯片与模组，也实现了海外批量交付，目前公司的自研通信芯片可覆盖全球70%以上国家电力AMI通信方案。</w:t>
      </w:r>
    </w:p>
    <w:p w14:paraId="78FFDDCD">
      <w:pPr>
        <w:widowControl/>
        <w:wordWrap w:val="0"/>
        <w:spacing w:line="420" w:lineRule="exact"/>
        <w:rPr>
          <w:rFonts w:ascii="宋体" w:hAnsi="宋体"/>
          <w:sz w:val="24"/>
        </w:rPr>
      </w:pPr>
    </w:p>
    <w:p w14:paraId="264BADBE">
      <w:pPr>
        <w:spacing w:line="420" w:lineRule="exact"/>
        <w:rPr>
          <w:rFonts w:hint="eastAsia" w:asciiTheme="minorEastAsia" w:hAnsiTheme="minorEastAsia" w:eastAsiaTheme="minorEastAsia"/>
          <w:b/>
          <w:bCs/>
          <w:sz w:val="24"/>
        </w:rPr>
      </w:pPr>
      <w:r>
        <w:rPr>
          <w:rFonts w:hint="eastAsia" w:ascii="宋体" w:hAnsi="宋体"/>
          <w:sz w:val="24"/>
        </w:rPr>
        <w:t xml:space="preserve">   </w:t>
      </w:r>
      <w:r>
        <w:rPr>
          <w:rFonts w:hint="eastAsia" w:ascii="宋体" w:hAnsi="宋体"/>
          <w:sz w:val="24"/>
          <w:lang w:val="en-US" w:eastAsia="zh-CN"/>
        </w:rPr>
        <w:t xml:space="preserve"> </w:t>
      </w:r>
      <w:r>
        <w:rPr>
          <w:rFonts w:hint="eastAsia" w:asciiTheme="minorEastAsia" w:hAnsiTheme="minorEastAsia" w:eastAsiaTheme="minorEastAsia"/>
          <w:b/>
          <w:bCs/>
          <w:sz w:val="24"/>
        </w:rPr>
        <w:t>Q:近期国家有提到“十五五”期间力争建成100个左右国家级零碳园区，公司在零碳园区有哪些产品和方案</w:t>
      </w:r>
    </w:p>
    <w:p w14:paraId="7B92AD70">
      <w:pPr>
        <w:spacing w:line="42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rPr>
        <w:t>A：为积极稳妥推进"双碳"战略落地，国家持续加快新型电力系统建设，行业测算显示相关领域全产业链市场空间“十五五”期间有望达到12万亿元。2026年3月全国两会期间，国家发展改革委明确将统筹推进水网、电网、算力网、新型通信网等“六张网”建设，全年相关投资规模超过7万亿元，其中电网领域的智能化、低碳化升级，将为能源数字化企业带来持续的市场增量。同时，国家发展改革委等三部门于2025年6月联合发布《关于开展零碳园区建设的通知》，明确“十五五”期间力争建成100个左右国家级零碳园区；园区作为产业发展与能源消费的重要载体，其零碳转型涉及源网荷储协同管控、能碳全流程数字化管理等核心需求，相关市场空间持续释放，为公司相关业务发展带来了良好的市场机遇。</w:t>
      </w:r>
      <w:r>
        <w:rPr>
          <w:rFonts w:hint="eastAsia" w:asciiTheme="minorEastAsia" w:hAnsiTheme="minorEastAsia" w:eastAsiaTheme="minorEastAsia"/>
          <w:sz w:val="24"/>
        </w:rPr>
        <w:cr/>
      </w:r>
      <w:r>
        <w:rPr>
          <w:rFonts w:hint="eastAsia" w:asciiTheme="minorEastAsia" w:hAnsiTheme="minorEastAsia" w:eastAsiaTheme="minorEastAsia"/>
          <w:sz w:val="24"/>
        </w:rPr>
        <w:t xml:space="preserve">   </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公司深耕能源物联网领域二十余年，以“物联网+芯片+</w:t>
      </w:r>
      <w:r>
        <w:rPr>
          <w:rFonts w:hint="eastAsia" w:asciiTheme="minorEastAsia" w:hAnsiTheme="minorEastAsia" w:eastAsiaTheme="minorEastAsia"/>
          <w:sz w:val="24"/>
          <w:lang w:val="en-US" w:eastAsia="zh-CN"/>
        </w:rPr>
        <w:t>AI</w:t>
      </w:r>
      <w:r>
        <w:rPr>
          <w:rFonts w:hint="eastAsia" w:asciiTheme="minorEastAsia" w:hAnsiTheme="minorEastAsia" w:eastAsiaTheme="minorEastAsia"/>
          <w:sz w:val="24"/>
        </w:rPr>
        <w:t>”为核心竞争力，依托在智慧电网领域的深厚积累，公司具备“终端感知-边缘计算-通信组网-软件平台-场景应用”的全栈技术能力，研发了覆盖源网荷储全环节的智能终端、通信网关、通信模块、虚拟电厂解决方案等核心产品及方案，可支撑零碳园区能源与碳排放的数字化管理、多能源协同优化的需求。公司作为国家电网、南方电网的核心供应商，2025年在国网、南网集采招标中，智能终端和通信模块中标金额均排名前列，具备行业头部优势。</w:t>
      </w:r>
      <w:r>
        <w:rPr>
          <w:rFonts w:hint="eastAsia" w:asciiTheme="minorEastAsia" w:hAnsiTheme="minorEastAsia" w:eastAsiaTheme="minorEastAsia"/>
          <w:sz w:val="24"/>
        </w:rPr>
        <w:cr/>
      </w:r>
      <w:r>
        <w:rPr>
          <w:rFonts w:hint="eastAsia" w:asciiTheme="minorEastAsia" w:hAnsiTheme="minorEastAsia" w:eastAsiaTheme="minorEastAsia"/>
          <w:sz w:val="24"/>
        </w:rPr>
        <w:t xml:space="preserve">   </w:t>
      </w:r>
      <w:r>
        <w:rPr>
          <w:rFonts w:hint="eastAsia" w:asciiTheme="minorEastAsia" w:hAnsiTheme="minorEastAsia" w:eastAsiaTheme="minorEastAsia"/>
          <w:sz w:val="24"/>
          <w:lang w:val="en-US" w:eastAsia="zh-CN"/>
        </w:rPr>
        <w:t xml:space="preserve"> </w:t>
      </w:r>
      <w:r>
        <w:rPr>
          <w:rFonts w:hint="eastAsia" w:asciiTheme="minorEastAsia" w:hAnsiTheme="minorEastAsia" w:eastAsiaTheme="minorEastAsia"/>
          <w:sz w:val="24"/>
        </w:rPr>
        <w:t>与此同时，公司持续深化技术创新与行业协同，近期联合华北电力大学校友会新型电力系统安全专委会正式发布《2026透明化台区侧储能技术方案》，进一步完善了公司在新型电力系统末端与虚拟电厂领域的技术布局。该方案聚焦分布式光伏规模化装机、电动汽车充电负荷快速攀升带来的配电网末端“单向供电”向“源网荷储双向互动”转型的行业挑战。方案核心为"透明化感知+智慧储能"融合创新架构，为配电台区提供全链路、可落地的系统化解决方案。可覆盖电动汽车充电配套、农村高渗透光伏场景、老旧小区改造等多元应用场景，与公司现有的面向零碳园区、虚拟电厂等核心方案形成协同，进一步强化了公司全场景解决方案的核心竞争力与市场适配能力。</w:t>
      </w:r>
    </w:p>
    <w:p w14:paraId="4A2E1057">
      <w:pPr>
        <w:spacing w:line="420" w:lineRule="exact"/>
        <w:ind w:firstLine="480" w:firstLineChars="200"/>
        <w:rPr>
          <w:rFonts w:hint="eastAsia" w:asciiTheme="minorEastAsia" w:hAnsiTheme="minorEastAsia" w:eastAsiaTheme="minorEastAsia"/>
          <w:sz w:val="24"/>
        </w:rPr>
      </w:pPr>
    </w:p>
    <w:p w14:paraId="305587F9">
      <w:pPr>
        <w:widowControl/>
        <w:wordWrap w:val="0"/>
        <w:spacing w:line="420" w:lineRule="exact"/>
        <w:ind w:firstLine="482" w:firstLineChars="200"/>
        <w:jc w:val="left"/>
        <w:rPr>
          <w:rFonts w:hint="eastAsia" w:asciiTheme="minorEastAsia" w:hAnsiTheme="minorEastAsia" w:eastAsiaTheme="minorEastAsia"/>
          <w:b/>
          <w:bCs/>
          <w:sz w:val="24"/>
        </w:rPr>
      </w:pPr>
      <w:r>
        <w:rPr>
          <w:rFonts w:hint="eastAsia" w:asciiTheme="minorEastAsia" w:hAnsiTheme="minorEastAsia" w:eastAsiaTheme="minorEastAsia"/>
          <w:b/>
          <w:bCs/>
          <w:sz w:val="24"/>
        </w:rPr>
        <w:t>Q</w:t>
      </w:r>
      <w:r>
        <w:rPr>
          <w:rFonts w:asciiTheme="minorEastAsia" w:hAnsiTheme="minorEastAsia" w:eastAsiaTheme="minorEastAsia"/>
          <w:b/>
          <w:bCs/>
          <w:sz w:val="24"/>
        </w:rPr>
        <w:t>:公司的分红情况以及未来的分红规划？</w:t>
      </w:r>
    </w:p>
    <w:p w14:paraId="03E465C7">
      <w:pPr>
        <w:widowControl/>
        <w:wordWrap w:val="0"/>
        <w:spacing w:line="420" w:lineRule="exact"/>
        <w:ind w:firstLine="480" w:firstLineChars="200"/>
        <w:rPr>
          <w:rFonts w:hint="eastAsia" w:ascii="宋体" w:hAnsi="宋体"/>
          <w:sz w:val="24"/>
        </w:rPr>
      </w:pPr>
      <w:r>
        <w:rPr>
          <w:rFonts w:hint="eastAsia" w:asciiTheme="minorEastAsia" w:hAnsiTheme="minorEastAsia" w:eastAsiaTheme="minorEastAsia"/>
          <w:sz w:val="24"/>
        </w:rPr>
        <w:t>A:2025年全年分红预案为每10股派发现金红利5.5元（含中期已派发的现金红利），年度现金分红比例达40.24%。年内回购股份耗资1.5亿元。分红与回购金额合计占2025年净利润比重达62.75%。公司上市以来累计派现10.8亿元、回购耗资4.5亿元，合计金额15.3亿元，为IPO募集资金净额的2.5倍。公司拟定的提质增效行动方案，计划自2025年起未来五年，继续保持40%的基准分红率</w:t>
      </w:r>
    </w:p>
    <w:p w14:paraId="5BE2F2DB">
      <w:pPr>
        <w:widowControl/>
        <w:wordWrap w:val="0"/>
        <w:spacing w:line="420" w:lineRule="exact"/>
        <w:ind w:firstLine="480" w:firstLineChars="200"/>
        <w:rPr>
          <w:rFonts w:hint="eastAsia" w:ascii="宋体" w:hAnsi="宋体"/>
          <w:sz w:val="24"/>
        </w:rPr>
      </w:pPr>
      <w:bookmarkStart w:id="5" w:name="_GoBack"/>
      <w:bookmarkEnd w:id="5"/>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9FEDA">
    <w:pPr>
      <w:pStyle w:val="11"/>
      <w:jc w:val="center"/>
    </w:pPr>
    <w:r>
      <w:fldChar w:fldCharType="begin"/>
    </w:r>
    <w:r>
      <w:instrText xml:space="preserve"> PAGE   \* MERGEFORMAT </w:instrText>
    </w:r>
    <w:r>
      <w:fldChar w:fldCharType="separate"/>
    </w:r>
    <w:r>
      <w:rPr>
        <w:lang w:val="zh-CN"/>
      </w:rPr>
      <w:t>5</w:t>
    </w:r>
    <w:r>
      <w:rPr>
        <w:lang w:val="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7B2"/>
    <w:rsid w:val="003E057F"/>
    <w:rsid w:val="005D4DAC"/>
    <w:rsid w:val="00697559"/>
    <w:rsid w:val="00710F0A"/>
    <w:rsid w:val="009857C1"/>
    <w:rsid w:val="009903D8"/>
    <w:rsid w:val="009D4A4B"/>
    <w:rsid w:val="00AE5B67"/>
    <w:rsid w:val="00C6552C"/>
    <w:rsid w:val="00CC57B2"/>
    <w:rsid w:val="00E564EA"/>
    <w:rsid w:val="02BB2B5E"/>
    <w:rsid w:val="345D576A"/>
    <w:rsid w:val="662B6D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9"/>
    <w:pPr>
      <w:keepNext/>
      <w:keepLines/>
      <w:spacing w:before="340" w:after="330" w:line="578" w:lineRule="auto"/>
      <w:outlineLvl w:val="0"/>
    </w:pPr>
    <w:rPr>
      <w:rFonts w:ascii="等线" w:hAnsi="等线" w:eastAsia="等线" w:cs="宋体"/>
      <w:b/>
      <w:bCs/>
      <w:kern w:val="44"/>
      <w:sz w:val="44"/>
      <w:szCs w:val="44"/>
    </w:rPr>
  </w:style>
  <w:style w:type="paragraph" w:styleId="3">
    <w:name w:val="heading 2"/>
    <w:basedOn w:val="1"/>
    <w:next w:val="1"/>
    <w:link w:val="29"/>
    <w:semiHidden/>
    <w:unhideWhenUsed/>
    <w:qFormat/>
    <w:uiPriority w:val="9"/>
    <w:pPr>
      <w:keepNext/>
      <w:keepLines/>
      <w:spacing w:before="260" w:after="260" w:line="416" w:lineRule="auto"/>
      <w:outlineLvl w:val="1"/>
    </w:pPr>
    <w:rPr>
      <w:rFonts w:ascii="等线 Light" w:hAnsi="等线 Light" w:eastAsia="等线 Light" w:cs="宋体"/>
      <w:b/>
      <w:bCs/>
      <w:sz w:val="32"/>
      <w:szCs w:val="32"/>
    </w:rPr>
  </w:style>
  <w:style w:type="paragraph" w:styleId="4">
    <w:name w:val="heading 3"/>
    <w:basedOn w:val="1"/>
    <w:next w:val="1"/>
    <w:link w:val="41"/>
    <w:semiHidden/>
    <w:unhideWhenUsed/>
    <w:qFormat/>
    <w:uiPriority w:val="9"/>
    <w:pPr>
      <w:keepNext/>
      <w:keepLines/>
      <w:spacing w:before="260" w:after="260" w:line="416" w:lineRule="auto"/>
      <w:outlineLvl w:val="2"/>
    </w:pPr>
    <w:rPr>
      <w:b/>
      <w:bCs/>
      <w:sz w:val="32"/>
      <w:szCs w:val="32"/>
    </w:rPr>
  </w:style>
  <w:style w:type="paragraph" w:styleId="5">
    <w:name w:val="heading 4"/>
    <w:basedOn w:val="1"/>
    <w:link w:val="35"/>
    <w:semiHidden/>
    <w:unhideWhenUsed/>
    <w:qFormat/>
    <w:uiPriority w:val="9"/>
    <w:pPr>
      <w:widowControl/>
      <w:spacing w:before="100" w:beforeAutospacing="1" w:after="100" w:afterAutospacing="1"/>
      <w:jc w:val="left"/>
      <w:outlineLvl w:val="3"/>
    </w:pPr>
    <w:rPr>
      <w:rFonts w:ascii="宋体" w:hAnsi="宋体" w:cs="宋体"/>
      <w:b/>
      <w:bCs/>
      <w:kern w:val="0"/>
      <w:sz w:val="24"/>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6"/>
    <w:qFormat/>
    <w:uiPriority w:val="99"/>
    <w:pPr>
      <w:jc w:val="left"/>
    </w:pPr>
  </w:style>
  <w:style w:type="paragraph" w:styleId="7">
    <w:name w:val="Body Text"/>
    <w:basedOn w:val="1"/>
    <w:link w:val="30"/>
    <w:qFormat/>
    <w:uiPriority w:val="1"/>
    <w:pPr>
      <w:spacing w:before="181"/>
      <w:ind w:left="141"/>
      <w:jc w:val="left"/>
    </w:pPr>
    <w:rPr>
      <w:rFonts w:ascii="宋体" w:hAnsi="宋体" w:cs="宋体"/>
      <w:kern w:val="0"/>
      <w:sz w:val="24"/>
      <w:lang w:eastAsia="en-US"/>
    </w:rPr>
  </w:style>
  <w:style w:type="paragraph" w:styleId="8">
    <w:name w:val="toc 3"/>
    <w:basedOn w:val="1"/>
    <w:next w:val="1"/>
    <w:qFormat/>
    <w:uiPriority w:val="39"/>
    <w:pPr>
      <w:ind w:left="420"/>
      <w:jc w:val="left"/>
    </w:pPr>
    <w:rPr>
      <w:rFonts w:ascii="等线" w:hAnsi="等线" w:eastAsia="等线" w:cs="宋体"/>
      <w:i/>
      <w:iCs/>
      <w:sz w:val="20"/>
      <w:szCs w:val="20"/>
    </w:rPr>
  </w:style>
  <w:style w:type="paragraph" w:styleId="9">
    <w:name w:val="Plain Text"/>
    <w:basedOn w:val="1"/>
    <w:link w:val="22"/>
    <w:qFormat/>
    <w:uiPriority w:val="0"/>
    <w:rPr>
      <w:rFonts w:ascii="宋体" w:hAnsi="Courier New"/>
    </w:rPr>
  </w:style>
  <w:style w:type="paragraph" w:styleId="10">
    <w:name w:val="Balloon Text"/>
    <w:basedOn w:val="1"/>
    <w:link w:val="25"/>
    <w:qFormat/>
    <w:uiPriority w:val="99"/>
    <w:rPr>
      <w:sz w:val="18"/>
      <w:szCs w:val="18"/>
    </w:rPr>
  </w:style>
  <w:style w:type="paragraph" w:styleId="11">
    <w:name w:val="footer"/>
    <w:basedOn w:val="1"/>
    <w:link w:val="20"/>
    <w:qFormat/>
    <w:uiPriority w:val="99"/>
    <w:pPr>
      <w:tabs>
        <w:tab w:val="center" w:pos="4153"/>
        <w:tab w:val="right" w:pos="8306"/>
      </w:tabs>
      <w:snapToGrid w:val="0"/>
      <w:jc w:val="left"/>
    </w:pPr>
    <w:rPr>
      <w:sz w:val="18"/>
      <w:szCs w:val="18"/>
    </w:rPr>
  </w:style>
  <w:style w:type="paragraph" w:styleId="12">
    <w:name w:val="header"/>
    <w:basedOn w:val="1"/>
    <w:link w:val="24"/>
    <w:qFormat/>
    <w:uiPriority w:val="99"/>
    <w:pPr>
      <w:pBdr>
        <w:bottom w:val="single" w:color="auto" w:sz="6" w:space="1"/>
      </w:pBdr>
      <w:tabs>
        <w:tab w:val="center" w:pos="4153"/>
        <w:tab w:val="right" w:pos="8306"/>
      </w:tabs>
      <w:snapToGrid w:val="0"/>
      <w:jc w:val="center"/>
    </w:pPr>
    <w:rPr>
      <w:sz w:val="18"/>
      <w:szCs w:val="18"/>
    </w:rPr>
  </w:style>
  <w:style w:type="paragraph" w:styleId="13">
    <w:name w:val="HTML Preformatted"/>
    <w:basedOn w:val="1"/>
    <w:link w:val="3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5">
    <w:name w:val="annotation subject"/>
    <w:basedOn w:val="6"/>
    <w:next w:val="6"/>
    <w:link w:val="27"/>
    <w:qFormat/>
    <w:uiPriority w:val="99"/>
    <w:rPr>
      <w:b/>
      <w:bCs/>
    </w:rPr>
  </w:style>
  <w:style w:type="character" w:styleId="18">
    <w:name w:val="Strong"/>
    <w:basedOn w:val="17"/>
    <w:qFormat/>
    <w:uiPriority w:val="22"/>
    <w:rPr>
      <w:b/>
      <w:bCs/>
    </w:rPr>
  </w:style>
  <w:style w:type="character" w:styleId="19">
    <w:name w:val="annotation reference"/>
    <w:basedOn w:val="17"/>
    <w:qFormat/>
    <w:uiPriority w:val="99"/>
    <w:rPr>
      <w:sz w:val="21"/>
      <w:szCs w:val="21"/>
    </w:rPr>
  </w:style>
  <w:style w:type="character" w:customStyle="1" w:styleId="20">
    <w:name w:val="页脚 字符"/>
    <w:basedOn w:val="17"/>
    <w:link w:val="11"/>
    <w:qFormat/>
    <w:uiPriority w:val="99"/>
    <w:rPr>
      <w:rFonts w:ascii="Times New Roman" w:hAnsi="Times New Roman" w:eastAsia="宋体" w:cs="Times New Roman"/>
      <w:sz w:val="18"/>
      <w:szCs w:val="18"/>
    </w:rPr>
  </w:style>
  <w:style w:type="paragraph" w:styleId="21">
    <w:name w:val="List Paragraph"/>
    <w:basedOn w:val="1"/>
    <w:link w:val="23"/>
    <w:qFormat/>
    <w:uiPriority w:val="99"/>
    <w:pPr>
      <w:ind w:firstLine="420" w:firstLineChars="200"/>
    </w:pPr>
  </w:style>
  <w:style w:type="character" w:customStyle="1" w:styleId="22">
    <w:name w:val="纯文本 字符"/>
    <w:basedOn w:val="17"/>
    <w:link w:val="9"/>
    <w:qFormat/>
    <w:uiPriority w:val="0"/>
    <w:rPr>
      <w:rFonts w:ascii="宋体" w:hAnsi="Courier New" w:eastAsia="宋体" w:cs="Times New Roman"/>
      <w:szCs w:val="24"/>
    </w:rPr>
  </w:style>
  <w:style w:type="character" w:customStyle="1" w:styleId="23">
    <w:name w:val="列表段落 字符"/>
    <w:basedOn w:val="17"/>
    <w:link w:val="21"/>
    <w:qFormat/>
    <w:uiPriority w:val="34"/>
    <w:rPr>
      <w:rFonts w:ascii="Times New Roman" w:hAnsi="Times New Roman" w:eastAsia="宋体" w:cs="Times New Roman"/>
      <w:szCs w:val="24"/>
    </w:rPr>
  </w:style>
  <w:style w:type="character" w:customStyle="1" w:styleId="24">
    <w:name w:val="页眉 字符"/>
    <w:basedOn w:val="17"/>
    <w:link w:val="12"/>
    <w:qFormat/>
    <w:uiPriority w:val="99"/>
    <w:rPr>
      <w:rFonts w:ascii="Times New Roman" w:hAnsi="Times New Roman" w:eastAsia="宋体" w:cs="Times New Roman"/>
      <w:sz w:val="18"/>
      <w:szCs w:val="18"/>
    </w:rPr>
  </w:style>
  <w:style w:type="character" w:customStyle="1" w:styleId="25">
    <w:name w:val="批注框文本 字符"/>
    <w:basedOn w:val="17"/>
    <w:link w:val="10"/>
    <w:qFormat/>
    <w:uiPriority w:val="99"/>
    <w:rPr>
      <w:rFonts w:ascii="Times New Roman" w:hAnsi="Times New Roman" w:eastAsia="宋体" w:cs="Times New Roman"/>
      <w:sz w:val="18"/>
      <w:szCs w:val="18"/>
    </w:rPr>
  </w:style>
  <w:style w:type="character" w:customStyle="1" w:styleId="26">
    <w:name w:val="批注文字 字符"/>
    <w:basedOn w:val="17"/>
    <w:link w:val="6"/>
    <w:qFormat/>
    <w:uiPriority w:val="99"/>
    <w:rPr>
      <w:rFonts w:ascii="Times New Roman" w:hAnsi="Times New Roman" w:eastAsia="宋体" w:cs="Times New Roman"/>
      <w:szCs w:val="24"/>
    </w:rPr>
  </w:style>
  <w:style w:type="character" w:customStyle="1" w:styleId="27">
    <w:name w:val="批注主题 字符"/>
    <w:basedOn w:val="26"/>
    <w:link w:val="15"/>
    <w:qFormat/>
    <w:uiPriority w:val="99"/>
    <w:rPr>
      <w:rFonts w:ascii="Times New Roman" w:hAnsi="Times New Roman" w:eastAsia="宋体" w:cs="Times New Roman"/>
      <w:b/>
      <w:bCs/>
      <w:szCs w:val="24"/>
    </w:rPr>
  </w:style>
  <w:style w:type="table" w:customStyle="1" w:styleId="28">
    <w:name w:val="TableGrid"/>
    <w:qFormat/>
    <w:uiPriority w:val="0"/>
    <w:tblPr>
      <w:tblCellMar>
        <w:top w:w="0" w:type="dxa"/>
        <w:left w:w="0" w:type="dxa"/>
        <w:bottom w:w="0" w:type="dxa"/>
        <w:right w:w="0" w:type="dxa"/>
      </w:tblCellMar>
    </w:tblPr>
  </w:style>
  <w:style w:type="character" w:customStyle="1" w:styleId="29">
    <w:name w:val="标题 2 字符"/>
    <w:basedOn w:val="17"/>
    <w:link w:val="3"/>
    <w:qFormat/>
    <w:uiPriority w:val="9"/>
    <w:rPr>
      <w:rFonts w:ascii="等线 Light" w:hAnsi="等线 Light" w:eastAsia="等线 Light" w:cs="宋体"/>
      <w:b/>
      <w:bCs/>
      <w:sz w:val="32"/>
      <w:szCs w:val="32"/>
    </w:rPr>
  </w:style>
  <w:style w:type="character" w:customStyle="1" w:styleId="30">
    <w:name w:val="正文文本 字符"/>
    <w:basedOn w:val="17"/>
    <w:link w:val="7"/>
    <w:qFormat/>
    <w:uiPriority w:val="1"/>
    <w:rPr>
      <w:rFonts w:ascii="宋体" w:hAnsi="宋体" w:eastAsia="宋体"/>
      <w:kern w:val="0"/>
      <w:sz w:val="24"/>
      <w:szCs w:val="24"/>
      <w:lang w:eastAsia="en-US"/>
    </w:rPr>
  </w:style>
  <w:style w:type="character" w:customStyle="1" w:styleId="31">
    <w:name w:val="标题 1 字符"/>
    <w:basedOn w:val="17"/>
    <w:link w:val="2"/>
    <w:qFormat/>
    <w:uiPriority w:val="9"/>
    <w:rPr>
      <w:b/>
      <w:bCs/>
      <w:kern w:val="44"/>
      <w:sz w:val="44"/>
      <w:szCs w:val="44"/>
    </w:rPr>
  </w:style>
  <w:style w:type="character" w:customStyle="1" w:styleId="32">
    <w:name w:val="005正文 Char"/>
    <w:link w:val="33"/>
    <w:qFormat/>
    <w:uiPriority w:val="0"/>
  </w:style>
  <w:style w:type="paragraph" w:customStyle="1" w:styleId="33">
    <w:name w:val="005正文"/>
    <w:basedOn w:val="1"/>
    <w:link w:val="32"/>
    <w:qFormat/>
    <w:uiPriority w:val="0"/>
    <w:pPr>
      <w:spacing w:beforeLines="50" w:line="360" w:lineRule="auto"/>
      <w:ind w:firstLine="200" w:firstLineChars="200"/>
    </w:pPr>
    <w:rPr>
      <w:rFonts w:ascii="等线" w:hAnsi="等线" w:eastAsia="等线" w:cs="宋体"/>
      <w:szCs w:val="22"/>
    </w:rPr>
  </w:style>
  <w:style w:type="paragraph" w:customStyle="1" w:styleId="34">
    <w:name w:val="修订1"/>
    <w:qFormat/>
    <w:uiPriority w:val="99"/>
    <w:rPr>
      <w:rFonts w:ascii="Times New Roman" w:hAnsi="Times New Roman" w:eastAsia="宋体" w:cs="Times New Roman"/>
      <w:kern w:val="2"/>
      <w:sz w:val="21"/>
      <w:szCs w:val="24"/>
      <w:lang w:val="en-US" w:eastAsia="zh-CN" w:bidi="ar-SA"/>
    </w:rPr>
  </w:style>
  <w:style w:type="character" w:customStyle="1" w:styleId="35">
    <w:name w:val="标题 4 字符"/>
    <w:basedOn w:val="17"/>
    <w:link w:val="5"/>
    <w:qFormat/>
    <w:uiPriority w:val="9"/>
    <w:rPr>
      <w:rFonts w:ascii="宋体" w:hAnsi="宋体" w:eastAsia="宋体" w:cs="宋体"/>
      <w:b/>
      <w:bCs/>
      <w:kern w:val="0"/>
      <w:sz w:val="24"/>
      <w:szCs w:val="24"/>
    </w:rPr>
  </w:style>
  <w:style w:type="character" w:customStyle="1" w:styleId="36">
    <w:name w:val="HTML 预设格式 字符"/>
    <w:basedOn w:val="17"/>
    <w:link w:val="13"/>
    <w:qFormat/>
    <w:uiPriority w:val="99"/>
    <w:rPr>
      <w:rFonts w:ascii="宋体" w:hAnsi="宋体" w:eastAsia="宋体" w:cs="宋体"/>
      <w:kern w:val="0"/>
      <w:sz w:val="24"/>
      <w:szCs w:val="24"/>
    </w:rPr>
  </w:style>
  <w:style w:type="paragraph" w:customStyle="1" w:styleId="37">
    <w:name w:val="_Style 6"/>
    <w:basedOn w:val="1"/>
    <w:qFormat/>
    <w:uiPriority w:val="34"/>
    <w:pPr>
      <w:ind w:firstLine="420" w:firstLineChars="200"/>
    </w:pPr>
    <w:rPr>
      <w:rFonts w:ascii="Calibri" w:hAnsi="Calibri"/>
      <w:szCs w:val="22"/>
    </w:rPr>
  </w:style>
  <w:style w:type="character" w:customStyle="1" w:styleId="38">
    <w:name w:val="wx_text_underline"/>
    <w:basedOn w:val="17"/>
    <w:qFormat/>
    <w:uiPriority w:val="0"/>
  </w:style>
  <w:style w:type="character" w:customStyle="1" w:styleId="39">
    <w:name w:val="wx_search_keyword_wrap"/>
    <w:basedOn w:val="17"/>
    <w:qFormat/>
    <w:uiPriority w:val="0"/>
  </w:style>
  <w:style w:type="character" w:customStyle="1" w:styleId="40">
    <w:name w:val="lb"/>
    <w:basedOn w:val="17"/>
    <w:qFormat/>
    <w:uiPriority w:val="0"/>
  </w:style>
  <w:style w:type="character" w:customStyle="1" w:styleId="41">
    <w:name w:val="标题 3 字符"/>
    <w:basedOn w:val="17"/>
    <w:link w:val="4"/>
    <w:qFormat/>
    <w:uiPriority w:val="9"/>
    <w:rPr>
      <w:rFonts w:ascii="Times New Roman" w:hAnsi="Times New Roman" w:eastAsia="宋体" w:cs="Times New Roman"/>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3D08E5-A0A2-4105-B11D-0251CD03D929}">
  <ds:schemaRefs/>
</ds:datastoreItem>
</file>

<file path=docProps/app.xml><?xml version="1.0" encoding="utf-8"?>
<Properties xmlns="http://schemas.openxmlformats.org/officeDocument/2006/extended-properties" xmlns:vt="http://schemas.openxmlformats.org/officeDocument/2006/docPropsVTypes">
  <Template>Normal</Template>
  <Pages>4</Pages>
  <Words>2291</Words>
  <Characters>2518</Characters>
  <Lines>48</Lines>
  <Paragraphs>25</Paragraphs>
  <TotalTime>242</TotalTime>
  <ScaleCrop>false</ScaleCrop>
  <LinksUpToDate>false</LinksUpToDate>
  <CharactersWithSpaces>2586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2025-11-25T06:30:00Z</dcterms:created>
  <dc:creator>Ge ch</dc:creator>
  <cp:lastModifiedBy>萱</cp:lastModifiedBy>
  <cp:lastPrinted>2024-08-21T06:15:00Z</cp:lastPrinted>
  <dcterms:modified xsi:type="dcterms:W3CDTF">2026-03-26T06:29:48Z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eyJoZGlkIjoiZjZiYjEwZWNkNDk2YWY3NTJkMDdiNTc5OThjODM5NGMiLCJ1c2VySWQiOiI1Mjg3NzY1NjIifQ==</vt:lpwstr>
  </property>
  <property fmtid="{D5CDD505-2E9C-101B-9397-08002B2CF9AE}" pid="3" name="KSOProductBuildVer">
    <vt:lpwstr>2052-12.1.0.25225</vt:lpwstr>
  </property>
  <property fmtid="{D5CDD505-2E9C-101B-9397-08002B2CF9AE}" pid="4" name="ICV">
    <vt:lpwstr>5B2FA009B6BA44C18A127676B7272B23_13</vt:lpwstr>
  </property>
</Properties>
</file>