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31CD" w14:textId="77777777" w:rsidR="00327542" w:rsidRDefault="00000000">
      <w:pPr>
        <w:pStyle w:val="a4"/>
        <w:spacing w:before="1" w:line="48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68790492" w14:textId="77777777" w:rsidR="00327542" w:rsidRDefault="00000000">
      <w:pPr>
        <w:pStyle w:val="a4"/>
        <w:spacing w:before="1" w:line="48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0FE832AB" w14:textId="77777777" w:rsidR="00327542" w:rsidRDefault="00327542">
      <w:pPr>
        <w:pStyle w:val="a4"/>
        <w:spacing w:before="1" w:line="480" w:lineRule="exact"/>
        <w:ind w:left="0" w:right="453"/>
        <w:rPr>
          <w:rFonts w:hint="eastAsia"/>
          <w:b/>
        </w:rPr>
      </w:pPr>
    </w:p>
    <w:p w14:paraId="6D8D412D" w14:textId="77777777" w:rsidR="00327542" w:rsidRDefault="00000000">
      <w:pPr>
        <w:pStyle w:val="a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14:textId="77777777" w:rsidR="00327542" w:rsidRDefault="00000000">
      <w:pPr>
        <w:pStyle w:val="a4"/>
        <w:spacing w:before="1" w:line="480" w:lineRule="exact"/>
        <w:ind w:left="0" w:right="453"/>
        <w:jc w:val="center"/>
        <w:rPr>
          <w:rFonts w:hint="eastAsia"/>
          <w:b/>
          <w:bCs/>
          <w:sz w:val="36"/>
          <w:szCs w:val="36"/>
        </w:rPr>
      </w:pPr>
      <w:r>
        <w:rPr>
          <w:b/>
          <w:bCs/>
          <w:sz w:val="36"/>
          <w:szCs w:val="36"/>
        </w:rPr>
        <w:t>投资者关系活动记录表</w:t>
      </w:r>
    </w:p>
    <w:p w14:paraId="682830B8" w14:textId="77777777" w:rsidR="00327542" w:rsidRDefault="00327542">
      <w:pPr>
        <w:tabs>
          <w:tab w:val="left" w:pos="6306"/>
        </w:tabs>
        <w:spacing w:before="74" w:line="480" w:lineRule="exact"/>
        <w:rPr>
          <w:rFonts w:eastAsia="等线" w:hint="eastAsia"/>
          <w:b/>
          <w:bCs/>
          <w:sz w:val="21"/>
          <w:szCs w:val="21"/>
        </w:rPr>
      </w:pPr>
    </w:p>
    <w:tbl>
      <w:tblPr>
        <w:tblW w:w="6738"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510"/>
        <w:gridCol w:w="2544"/>
        <w:gridCol w:w="3451"/>
        <w:gridCol w:w="2648"/>
      </w:tblGrid>
      <w:tr w:rsidR="00327542" w14:paraId="312E949A" w14:textId="77777777">
        <w:trPr>
          <w:trHeight w:val="1161"/>
          <w:jc w:val="center"/>
        </w:trPr>
        <w:tc>
          <w:tcPr>
            <w:tcW w:w="1125" w:type="pct"/>
            <w:tcBorders>
              <w:bottom w:val="single" w:sz="6" w:space="0" w:color="000000"/>
              <w:right w:val="single" w:sz="6" w:space="0" w:color="000000"/>
            </w:tcBorders>
            <w:vAlign w:val="center"/>
          </w:tcPr>
          <w:p w14:paraId="0790969D" w14:textId="77777777" w:rsidR="00327542" w:rsidRDefault="00000000">
            <w:pPr>
              <w:pStyle w:val="TableParagraph"/>
              <w:spacing w:line="380" w:lineRule="exact"/>
              <w:ind w:firstLineChars="100" w:firstLine="221"/>
              <w:rPr>
                <w:rFonts w:hint="eastAsia"/>
                <w:b/>
                <w:bCs/>
              </w:rPr>
            </w:pPr>
            <w:r>
              <w:rPr>
                <w:rFonts w:hint="eastAsia"/>
                <w:b/>
                <w:bCs/>
              </w:rPr>
              <w:t>投资者关系活动类别</w:t>
            </w:r>
          </w:p>
        </w:tc>
        <w:tc>
          <w:tcPr>
            <w:tcW w:w="1140" w:type="pct"/>
            <w:tcBorders>
              <w:left w:val="single" w:sz="6" w:space="0" w:color="000000"/>
              <w:bottom w:val="single" w:sz="6" w:space="0" w:color="000000"/>
              <w:right w:val="nil"/>
            </w:tcBorders>
          </w:tcPr>
          <w:p w14:paraId="654753DA" w14:textId="77777777" w:rsidR="00327542" w:rsidRDefault="00000000">
            <w:pPr>
              <w:pStyle w:val="TableParagraph"/>
              <w:spacing w:line="380" w:lineRule="exact"/>
              <w:rPr>
                <w:rFonts w:hint="eastAsia"/>
              </w:rPr>
            </w:pPr>
            <w:r>
              <w:t xml:space="preserve">□特定对象调研 </w:t>
            </w:r>
          </w:p>
          <w:p w14:paraId="5578A4EA" w14:textId="77777777" w:rsidR="00327542" w:rsidRDefault="00000000">
            <w:pPr>
              <w:pStyle w:val="TableParagraph"/>
              <w:spacing w:line="380" w:lineRule="exact"/>
              <w:rPr>
                <w:rFonts w:hint="eastAsia"/>
              </w:rPr>
            </w:pPr>
            <w:r>
              <w:sym w:font="Wingdings 2" w:char="00A3"/>
            </w:r>
            <w:r>
              <w:t xml:space="preserve">业绩说明会 </w:t>
            </w:r>
          </w:p>
          <w:p w14:paraId="1E70725D" w14:textId="77777777" w:rsidR="00327542" w:rsidRDefault="00000000">
            <w:pPr>
              <w:pStyle w:val="TableParagraph"/>
              <w:spacing w:line="380" w:lineRule="exact"/>
              <w:rPr>
                <w:rFonts w:hint="eastAsia"/>
              </w:rPr>
            </w:pPr>
            <w:r>
              <w:sym w:font="Wingdings 2" w:char="0052"/>
            </w:r>
            <w:r>
              <w:t xml:space="preserve">现场参观 </w:t>
            </w:r>
          </w:p>
        </w:tc>
        <w:tc>
          <w:tcPr>
            <w:tcW w:w="1547" w:type="pct"/>
            <w:tcBorders>
              <w:left w:val="nil"/>
              <w:bottom w:val="single" w:sz="6" w:space="0" w:color="000000"/>
              <w:right w:val="nil"/>
            </w:tcBorders>
          </w:tcPr>
          <w:p w14:paraId="346786E0" w14:textId="77777777" w:rsidR="00327542" w:rsidRDefault="00000000">
            <w:pPr>
              <w:pStyle w:val="TableParagraph"/>
              <w:spacing w:line="380" w:lineRule="exact"/>
              <w:rPr>
                <w:rFonts w:hint="eastAsia"/>
              </w:rPr>
            </w:pPr>
            <w:r>
              <w:sym w:font="Wingdings 2" w:char="0052"/>
            </w:r>
            <w:r>
              <w:t xml:space="preserve">分析师会议 </w:t>
            </w:r>
          </w:p>
          <w:p w14:paraId="68E71A69" w14:textId="77777777" w:rsidR="00327542" w:rsidRDefault="00000000">
            <w:pPr>
              <w:pStyle w:val="TableParagraph"/>
              <w:spacing w:line="380" w:lineRule="exact"/>
              <w:rPr>
                <w:rFonts w:hint="eastAsia"/>
              </w:rPr>
            </w:pPr>
            <w:r>
              <w:t xml:space="preserve">□新闻发布会 </w:t>
            </w:r>
          </w:p>
          <w:p w14:paraId="5DAA253D" w14:textId="77777777" w:rsidR="00327542" w:rsidRDefault="00000000">
            <w:pPr>
              <w:pStyle w:val="TableParagraph"/>
              <w:spacing w:line="380" w:lineRule="exact"/>
              <w:rPr>
                <w:rFonts w:hint="eastAsia"/>
                <w:lang w:val="en-US"/>
              </w:rPr>
            </w:pPr>
            <w:r>
              <w:sym w:font="Wingdings 2" w:char="0052"/>
            </w:r>
            <w:r>
              <w:t>其他</w:t>
            </w:r>
            <w:r>
              <w:rPr>
                <w:rFonts w:hint="eastAsia"/>
              </w:rPr>
              <w:t>（</w:t>
            </w:r>
            <w:r>
              <w:rPr>
                <w:rFonts w:hint="eastAsia"/>
                <w:lang w:val="en-US"/>
              </w:rPr>
              <w:t>券商策略会、</w:t>
            </w:r>
            <w:proofErr w:type="gramStart"/>
            <w:r>
              <w:rPr>
                <w:rFonts w:hint="eastAsia"/>
                <w:lang w:val="en-US"/>
              </w:rPr>
              <w:t>反路演</w:t>
            </w:r>
            <w:proofErr w:type="gramEnd"/>
            <w:r>
              <w:rPr>
                <w:rFonts w:hint="eastAsia"/>
                <w:lang w:val="en-US"/>
              </w:rPr>
              <w:t>活动、通讯会议</w:t>
            </w:r>
            <w:r>
              <w:rPr>
                <w:rFonts w:hint="eastAsia"/>
              </w:rPr>
              <w:t>）</w:t>
            </w:r>
            <w:r>
              <w:rPr>
                <w:rFonts w:hint="eastAsia"/>
                <w:lang w:val="en-US"/>
              </w:rPr>
              <w:t xml:space="preserve">       </w:t>
            </w:r>
          </w:p>
        </w:tc>
        <w:tc>
          <w:tcPr>
            <w:tcW w:w="1187" w:type="pct"/>
            <w:tcBorders>
              <w:left w:val="nil"/>
              <w:bottom w:val="single" w:sz="6" w:space="0" w:color="000000"/>
            </w:tcBorders>
          </w:tcPr>
          <w:p w14:paraId="6459BA76" w14:textId="77777777" w:rsidR="00327542" w:rsidRDefault="00000000">
            <w:pPr>
              <w:pStyle w:val="TableParagraph"/>
              <w:spacing w:line="380" w:lineRule="exact"/>
              <w:rPr>
                <w:rFonts w:hint="eastAsia"/>
              </w:rPr>
            </w:pPr>
            <w:r>
              <w:sym w:font="Wingdings 2" w:char="00A3"/>
            </w:r>
            <w:r>
              <w:t>媒</w:t>
            </w:r>
            <w:r>
              <w:rPr>
                <w:rFonts w:hint="eastAsia"/>
              </w:rPr>
              <w:t>体采访</w:t>
            </w:r>
          </w:p>
          <w:p w14:paraId="07BF97A9" w14:textId="77777777" w:rsidR="00327542" w:rsidRDefault="00000000">
            <w:pPr>
              <w:pStyle w:val="TableParagraph"/>
              <w:spacing w:line="380" w:lineRule="exact"/>
              <w:rPr>
                <w:rFonts w:hint="eastAsia"/>
                <w:lang w:val="en-US"/>
              </w:rPr>
            </w:pPr>
            <w:r>
              <w:sym w:font="Wingdings 2" w:char="00A3"/>
            </w:r>
            <w:r>
              <w:t>路</w:t>
            </w:r>
            <w:r>
              <w:rPr>
                <w:rFonts w:hint="eastAsia"/>
              </w:rPr>
              <w:t>演</w:t>
            </w:r>
            <w:r>
              <w:t xml:space="preserve">活动 </w:t>
            </w:r>
          </w:p>
          <w:p w14:paraId="75474706" w14:textId="77777777" w:rsidR="00327542" w:rsidRDefault="00327542">
            <w:pPr>
              <w:pStyle w:val="TableParagraph"/>
              <w:spacing w:line="380" w:lineRule="exact"/>
              <w:rPr>
                <w:rFonts w:hint="eastAsia"/>
              </w:rPr>
            </w:pPr>
          </w:p>
        </w:tc>
      </w:tr>
      <w:tr w:rsidR="00327542" w:rsidRPr="00C71F3E" w14:paraId="1B2D057F" w14:textId="77777777">
        <w:trPr>
          <w:trHeight w:val="748"/>
          <w:jc w:val="center"/>
        </w:trPr>
        <w:tc>
          <w:tcPr>
            <w:tcW w:w="1125" w:type="pct"/>
            <w:tcBorders>
              <w:top w:val="single" w:sz="6" w:space="0" w:color="000000"/>
              <w:bottom w:val="single" w:sz="6" w:space="0" w:color="000000"/>
              <w:right w:val="single" w:sz="6" w:space="0" w:color="000000"/>
            </w:tcBorders>
            <w:vAlign w:val="center"/>
          </w:tcPr>
          <w:p w14:paraId="0770B8F8" w14:textId="77777777" w:rsidR="00327542" w:rsidRDefault="00000000">
            <w:pPr>
              <w:pStyle w:val="TableParagraph"/>
              <w:spacing w:line="380" w:lineRule="exact"/>
              <w:ind w:firstLineChars="100" w:firstLine="221"/>
              <w:rPr>
                <w:rFonts w:hint="eastAsia"/>
                <w:b/>
                <w:bCs/>
              </w:rPr>
            </w:pPr>
            <w:r>
              <w:rPr>
                <w:rFonts w:hint="eastAsia"/>
                <w:b/>
                <w:bCs/>
              </w:rPr>
              <w:t>参与单位</w:t>
            </w:r>
          </w:p>
        </w:tc>
        <w:tc>
          <w:tcPr>
            <w:tcW w:w="3874" w:type="pct"/>
            <w:gridSpan w:val="3"/>
            <w:tcBorders>
              <w:top w:val="single" w:sz="6" w:space="0" w:color="000000"/>
              <w:left w:val="single" w:sz="6" w:space="0" w:color="000000"/>
              <w:bottom w:val="single" w:sz="6" w:space="0" w:color="000000"/>
            </w:tcBorders>
            <w:vAlign w:val="center"/>
          </w:tcPr>
          <w:p w14:paraId="51004186" w14:textId="77777777" w:rsidR="00327542" w:rsidRDefault="00000000">
            <w:pPr>
              <w:pStyle w:val="TableParagraph"/>
              <w:spacing w:line="380" w:lineRule="exact"/>
              <w:ind w:right="227"/>
              <w:jc w:val="both"/>
              <w:rPr>
                <w:rFonts w:hint="eastAsia"/>
                <w:lang w:val="en-US"/>
              </w:rPr>
            </w:pPr>
            <w:r>
              <w:rPr>
                <w:rFonts w:hint="eastAsia"/>
                <w:lang w:val="en-US"/>
              </w:rPr>
              <w:t>中金公司、中信证券、广发证券、长江证券、申万宏源、开源证券、兴业证券、</w:t>
            </w:r>
          </w:p>
          <w:p w14:paraId="2E3C778A" w14:textId="77777777" w:rsidR="00327542" w:rsidRDefault="00000000">
            <w:pPr>
              <w:pStyle w:val="TableParagraph"/>
              <w:spacing w:line="380" w:lineRule="exact"/>
              <w:ind w:right="227"/>
              <w:jc w:val="both"/>
              <w:rPr>
                <w:rFonts w:hint="eastAsia"/>
                <w:lang w:val="en-US"/>
              </w:rPr>
            </w:pPr>
            <w:r>
              <w:rPr>
                <w:rFonts w:hint="eastAsia"/>
                <w:lang w:val="en-US"/>
              </w:rPr>
              <w:t>国金证券、西南证券、华源证券、国泰海通、国盛证券、银河证券、国信证券、</w:t>
            </w:r>
          </w:p>
          <w:p w14:paraId="7DBC209D" w14:textId="77777777" w:rsidR="00327542" w:rsidRDefault="00000000">
            <w:pPr>
              <w:pStyle w:val="TableParagraph"/>
              <w:spacing w:line="380" w:lineRule="exact"/>
              <w:ind w:right="227"/>
              <w:jc w:val="both"/>
              <w:rPr>
                <w:rFonts w:hint="eastAsia"/>
                <w:lang w:val="en-US"/>
              </w:rPr>
            </w:pPr>
            <w:r>
              <w:rPr>
                <w:rFonts w:hint="eastAsia"/>
                <w:lang w:val="en-US"/>
              </w:rPr>
              <w:t>财信证券、中邮证券、英大证券、国新证券、中原证券、高盛公司、野村证券、</w:t>
            </w:r>
          </w:p>
          <w:p w14:paraId="6338C859" w14:textId="77777777" w:rsidR="00327542" w:rsidRDefault="00000000">
            <w:pPr>
              <w:pStyle w:val="TableParagraph"/>
              <w:spacing w:line="380" w:lineRule="exact"/>
              <w:ind w:right="227"/>
              <w:jc w:val="both"/>
              <w:rPr>
                <w:rFonts w:hint="eastAsia"/>
                <w:lang w:val="en-US"/>
              </w:rPr>
            </w:pPr>
            <w:r>
              <w:rPr>
                <w:rFonts w:hint="eastAsia"/>
                <w:lang w:val="en-US"/>
              </w:rPr>
              <w:t>第一创业证券、嘉实基金、华夏基金、平安养老、杭州附加值投资、</w:t>
            </w:r>
            <w:proofErr w:type="gramStart"/>
            <w:r>
              <w:rPr>
                <w:rFonts w:hint="eastAsia"/>
                <w:lang w:val="en-US"/>
              </w:rPr>
              <w:t>国投瑞银</w:t>
            </w:r>
            <w:proofErr w:type="gramEnd"/>
            <w:r>
              <w:rPr>
                <w:rFonts w:hint="eastAsia"/>
                <w:lang w:val="en-US"/>
              </w:rPr>
              <w:t>基金、</w:t>
            </w:r>
          </w:p>
          <w:p w14:paraId="5D233F6E" w14:textId="77777777" w:rsidR="00327542" w:rsidRDefault="00000000">
            <w:pPr>
              <w:pStyle w:val="TableParagraph"/>
              <w:spacing w:line="380" w:lineRule="exact"/>
              <w:ind w:right="227"/>
              <w:jc w:val="both"/>
              <w:rPr>
                <w:rFonts w:hint="eastAsia"/>
                <w:lang w:val="en-US"/>
              </w:rPr>
            </w:pPr>
            <w:proofErr w:type="gramStart"/>
            <w:r>
              <w:rPr>
                <w:rFonts w:hint="eastAsia"/>
                <w:lang w:val="en-US"/>
              </w:rPr>
              <w:t>万联资</w:t>
            </w:r>
            <w:proofErr w:type="gramEnd"/>
            <w:r>
              <w:rPr>
                <w:rFonts w:hint="eastAsia"/>
                <w:lang w:val="en-US"/>
              </w:rPr>
              <w:t>管、中和资本、鹏华基金、摩根基金、光大保德信、</w:t>
            </w:r>
            <w:proofErr w:type="gramStart"/>
            <w:r>
              <w:rPr>
                <w:rFonts w:hint="eastAsia"/>
                <w:lang w:val="en-US"/>
              </w:rPr>
              <w:t>永赢基金</w:t>
            </w:r>
            <w:proofErr w:type="gramEnd"/>
            <w:r>
              <w:rPr>
                <w:rFonts w:hint="eastAsia"/>
                <w:lang w:val="en-US"/>
              </w:rPr>
              <w:t>、财通基金、</w:t>
            </w:r>
          </w:p>
          <w:p w14:paraId="3F03D866" w14:textId="77777777" w:rsidR="00430D32" w:rsidRDefault="00000000">
            <w:pPr>
              <w:pStyle w:val="TableParagraph"/>
              <w:spacing w:line="380" w:lineRule="exact"/>
              <w:ind w:right="227"/>
              <w:jc w:val="both"/>
              <w:rPr>
                <w:lang w:val="en-US"/>
              </w:rPr>
            </w:pPr>
            <w:proofErr w:type="gramStart"/>
            <w:r>
              <w:rPr>
                <w:rFonts w:hint="eastAsia"/>
                <w:lang w:val="en-US"/>
              </w:rPr>
              <w:t>兴证全球</w:t>
            </w:r>
            <w:proofErr w:type="gramEnd"/>
            <w:r>
              <w:rPr>
                <w:rFonts w:hint="eastAsia"/>
                <w:lang w:val="en-US"/>
              </w:rPr>
              <w:t>基金、</w:t>
            </w:r>
            <w:proofErr w:type="gramStart"/>
            <w:r>
              <w:rPr>
                <w:rFonts w:hint="eastAsia"/>
                <w:lang w:val="en-US"/>
              </w:rPr>
              <w:t>天弘基金</w:t>
            </w:r>
            <w:proofErr w:type="gramEnd"/>
            <w:r>
              <w:rPr>
                <w:rFonts w:hint="eastAsia"/>
                <w:lang w:val="en-US"/>
              </w:rPr>
              <w:t>、银华基金、易方达基金、招商基金、华商基金、金鹰基金、</w:t>
            </w:r>
          </w:p>
          <w:p w14:paraId="16CB3914" w14:textId="77777777" w:rsidR="00430D32" w:rsidRDefault="00000000">
            <w:pPr>
              <w:pStyle w:val="TableParagraph"/>
              <w:spacing w:line="380" w:lineRule="exact"/>
              <w:ind w:right="227"/>
              <w:jc w:val="both"/>
              <w:rPr>
                <w:lang w:val="en-US"/>
              </w:rPr>
            </w:pPr>
            <w:r>
              <w:rPr>
                <w:rFonts w:hint="eastAsia"/>
                <w:lang w:val="en-US"/>
              </w:rPr>
              <w:t>国泰基金、</w:t>
            </w:r>
            <w:proofErr w:type="gramStart"/>
            <w:r>
              <w:rPr>
                <w:rFonts w:hint="eastAsia"/>
                <w:lang w:val="en-US"/>
              </w:rPr>
              <w:t>兴证资管</w:t>
            </w:r>
            <w:proofErr w:type="gramEnd"/>
            <w:r>
              <w:rPr>
                <w:rFonts w:hint="eastAsia"/>
                <w:lang w:val="en-US"/>
              </w:rPr>
              <w:t>、东方基金、汇</w:t>
            </w:r>
            <w:proofErr w:type="gramStart"/>
            <w:r>
              <w:rPr>
                <w:rFonts w:hint="eastAsia"/>
                <w:lang w:val="en-US"/>
              </w:rPr>
              <w:t>丰晋信</w:t>
            </w:r>
            <w:proofErr w:type="gramEnd"/>
            <w:r>
              <w:rPr>
                <w:rFonts w:hint="eastAsia"/>
                <w:lang w:val="en-US"/>
              </w:rPr>
              <w:t>基金、海富通基金、华安基金、</w:t>
            </w:r>
            <w:proofErr w:type="gramStart"/>
            <w:r>
              <w:rPr>
                <w:rFonts w:hint="eastAsia"/>
                <w:lang w:val="en-US"/>
              </w:rPr>
              <w:t>润晖投资</w:t>
            </w:r>
            <w:proofErr w:type="gramEnd"/>
            <w:r>
              <w:rPr>
                <w:rFonts w:hint="eastAsia"/>
                <w:lang w:val="en-US"/>
              </w:rPr>
              <w:t>、</w:t>
            </w:r>
          </w:p>
          <w:p w14:paraId="4142A84E" w14:textId="119185EB" w:rsidR="00327542" w:rsidRDefault="00000000">
            <w:pPr>
              <w:pStyle w:val="TableParagraph"/>
              <w:spacing w:line="380" w:lineRule="exact"/>
              <w:ind w:right="227"/>
              <w:jc w:val="both"/>
              <w:rPr>
                <w:rFonts w:hint="eastAsia"/>
                <w:lang w:val="en-US"/>
              </w:rPr>
            </w:pPr>
            <w:r>
              <w:rPr>
                <w:rFonts w:hint="eastAsia"/>
                <w:lang w:val="en-US"/>
              </w:rPr>
              <w:t>中</w:t>
            </w:r>
            <w:proofErr w:type="gramStart"/>
            <w:r>
              <w:rPr>
                <w:rFonts w:hint="eastAsia"/>
                <w:lang w:val="en-US"/>
              </w:rPr>
              <w:t>金资管</w:t>
            </w:r>
            <w:proofErr w:type="gramEnd"/>
            <w:r>
              <w:rPr>
                <w:rFonts w:hint="eastAsia"/>
                <w:lang w:val="en-US"/>
              </w:rPr>
              <w:t>、招商基金、农银汇理基金、</w:t>
            </w:r>
            <w:proofErr w:type="gramStart"/>
            <w:r>
              <w:rPr>
                <w:rFonts w:hint="eastAsia"/>
                <w:lang w:val="en-US"/>
              </w:rPr>
              <w:t>圆信永丰</w:t>
            </w:r>
            <w:proofErr w:type="gramEnd"/>
            <w:r>
              <w:rPr>
                <w:rFonts w:hint="eastAsia"/>
                <w:lang w:val="en-US"/>
              </w:rPr>
              <w:t>基金、民生加银基金、景顺长城基金、长城基金、华商基金、中国人保资管、</w:t>
            </w:r>
            <w:proofErr w:type="gramStart"/>
            <w:r>
              <w:rPr>
                <w:rFonts w:hint="eastAsia"/>
                <w:lang w:val="en-US"/>
              </w:rPr>
              <w:t>竹润投资</w:t>
            </w:r>
            <w:proofErr w:type="gramEnd"/>
            <w:r>
              <w:rPr>
                <w:rFonts w:hint="eastAsia"/>
                <w:lang w:val="en-US"/>
              </w:rPr>
              <w:t>、中泰安合投资、共</w:t>
            </w:r>
            <w:proofErr w:type="gramStart"/>
            <w:r>
              <w:rPr>
                <w:rFonts w:hint="eastAsia"/>
                <w:lang w:val="en-US"/>
              </w:rPr>
              <w:t>青城紫欣基金</w:t>
            </w:r>
            <w:proofErr w:type="gramEnd"/>
            <w:r>
              <w:rPr>
                <w:rFonts w:hint="eastAsia"/>
                <w:lang w:val="en-US"/>
              </w:rPr>
              <w:t>、</w:t>
            </w:r>
          </w:p>
          <w:p w14:paraId="1BE40EBB" w14:textId="77777777" w:rsidR="00327542" w:rsidRDefault="00000000">
            <w:pPr>
              <w:pStyle w:val="TableParagraph"/>
              <w:spacing w:line="380" w:lineRule="exact"/>
              <w:ind w:right="227"/>
              <w:jc w:val="both"/>
              <w:rPr>
                <w:rFonts w:hint="eastAsia"/>
                <w:lang w:val="en-US"/>
              </w:rPr>
            </w:pPr>
            <w:proofErr w:type="gramStart"/>
            <w:r>
              <w:rPr>
                <w:rFonts w:hint="eastAsia"/>
                <w:lang w:val="en-US"/>
              </w:rPr>
              <w:t>玺</w:t>
            </w:r>
            <w:proofErr w:type="gramEnd"/>
            <w:r>
              <w:rPr>
                <w:rFonts w:hint="eastAsia"/>
                <w:lang w:val="en-US"/>
              </w:rPr>
              <w:t>悦资产、华宝基金、达晨财智、</w:t>
            </w:r>
            <w:proofErr w:type="gramStart"/>
            <w:r>
              <w:rPr>
                <w:rFonts w:hint="eastAsia"/>
                <w:lang w:val="en-US"/>
              </w:rPr>
              <w:t>象屿创</w:t>
            </w:r>
            <w:proofErr w:type="gramEnd"/>
            <w:r>
              <w:rPr>
                <w:rFonts w:hint="eastAsia"/>
                <w:lang w:val="en-US"/>
              </w:rPr>
              <w:t>投、前海再保险、仁桥资产、</w:t>
            </w:r>
            <w:proofErr w:type="gramStart"/>
            <w:r>
              <w:rPr>
                <w:rFonts w:hint="eastAsia"/>
                <w:lang w:val="en-US"/>
              </w:rPr>
              <w:t>皓</w:t>
            </w:r>
            <w:proofErr w:type="gramEnd"/>
            <w:r>
              <w:rPr>
                <w:rFonts w:hint="eastAsia"/>
                <w:lang w:val="en-US"/>
              </w:rPr>
              <w:t>裕资本、</w:t>
            </w:r>
          </w:p>
          <w:p w14:paraId="26CD5D57" w14:textId="77777777" w:rsidR="00327542" w:rsidRDefault="00000000">
            <w:pPr>
              <w:pStyle w:val="TableParagraph"/>
              <w:spacing w:line="380" w:lineRule="exact"/>
              <w:ind w:right="227"/>
              <w:jc w:val="both"/>
              <w:rPr>
                <w:rFonts w:hint="eastAsia"/>
                <w:lang w:val="en-US"/>
              </w:rPr>
            </w:pPr>
            <w:r>
              <w:rPr>
                <w:rFonts w:hint="eastAsia"/>
                <w:lang w:val="en-US"/>
              </w:rPr>
              <w:t>原点资产、</w:t>
            </w:r>
            <w:proofErr w:type="gramStart"/>
            <w:r>
              <w:rPr>
                <w:rFonts w:hint="eastAsia"/>
                <w:lang w:val="en-US"/>
              </w:rPr>
              <w:t>合远基金</w:t>
            </w:r>
            <w:proofErr w:type="gramEnd"/>
            <w:r>
              <w:rPr>
                <w:rFonts w:hint="eastAsia"/>
                <w:lang w:val="en-US"/>
              </w:rPr>
              <w:t>、华泰保兴基金、泰康基金、华能贵诚信托、国联基金、基</w:t>
            </w:r>
            <w:proofErr w:type="gramStart"/>
            <w:r>
              <w:rPr>
                <w:rFonts w:hint="eastAsia"/>
                <w:lang w:val="en-US"/>
              </w:rPr>
              <w:t>明资管</w:t>
            </w:r>
            <w:proofErr w:type="gramEnd"/>
            <w:r>
              <w:rPr>
                <w:rFonts w:hint="eastAsia"/>
                <w:lang w:val="en-US"/>
              </w:rPr>
              <w:t>、平安基金、永诚保险资管、深</w:t>
            </w:r>
            <w:proofErr w:type="gramStart"/>
            <w:r>
              <w:rPr>
                <w:rFonts w:hint="eastAsia"/>
                <w:lang w:val="en-US"/>
              </w:rPr>
              <w:t>绎</w:t>
            </w:r>
            <w:proofErr w:type="gramEnd"/>
            <w:r>
              <w:rPr>
                <w:rFonts w:hint="eastAsia"/>
                <w:lang w:val="en-US"/>
              </w:rPr>
              <w:t>基金、</w:t>
            </w:r>
            <w:proofErr w:type="gramStart"/>
            <w:r>
              <w:rPr>
                <w:rFonts w:hint="eastAsia"/>
                <w:lang w:val="en-US"/>
              </w:rPr>
              <w:t>鑫元基金</w:t>
            </w:r>
            <w:proofErr w:type="gramEnd"/>
            <w:r>
              <w:rPr>
                <w:rFonts w:hint="eastAsia"/>
                <w:lang w:val="en-US"/>
              </w:rPr>
              <w:t>长信基金、</w:t>
            </w:r>
            <w:proofErr w:type="gramStart"/>
            <w:r>
              <w:rPr>
                <w:rFonts w:hint="eastAsia"/>
                <w:lang w:val="en-US"/>
              </w:rPr>
              <w:t>川发展</w:t>
            </w:r>
            <w:proofErr w:type="gramEnd"/>
            <w:r>
              <w:rPr>
                <w:rFonts w:hint="eastAsia"/>
                <w:lang w:val="en-US"/>
              </w:rPr>
              <w:t>基金、津西投资、</w:t>
            </w:r>
          </w:p>
          <w:p w14:paraId="5BA7DAB8" w14:textId="77777777" w:rsidR="00327542" w:rsidRDefault="00000000">
            <w:pPr>
              <w:pStyle w:val="TableParagraph"/>
              <w:spacing w:line="380" w:lineRule="exact"/>
              <w:ind w:right="227"/>
              <w:jc w:val="both"/>
              <w:rPr>
                <w:rFonts w:hint="eastAsia"/>
                <w:lang w:val="en-US"/>
              </w:rPr>
            </w:pPr>
            <w:proofErr w:type="gramStart"/>
            <w:r>
              <w:rPr>
                <w:rFonts w:hint="eastAsia"/>
                <w:lang w:val="en-US"/>
              </w:rPr>
              <w:t>君楚私募</w:t>
            </w:r>
            <w:proofErr w:type="gramEnd"/>
            <w:r>
              <w:rPr>
                <w:rFonts w:hint="eastAsia"/>
                <w:lang w:val="en-US"/>
              </w:rPr>
              <w:t>、</w:t>
            </w:r>
            <w:proofErr w:type="gramStart"/>
            <w:r>
              <w:rPr>
                <w:rFonts w:hint="eastAsia"/>
                <w:lang w:val="en-US"/>
              </w:rPr>
              <w:t>普信基金</w:t>
            </w:r>
            <w:proofErr w:type="gramEnd"/>
            <w:r>
              <w:rPr>
                <w:rFonts w:hint="eastAsia"/>
                <w:lang w:val="en-US"/>
              </w:rPr>
              <w:t>、融通基金、富国基金、中加基金、东海基金、诺德基金、</w:t>
            </w:r>
          </w:p>
          <w:p w14:paraId="3E4DA2E1" w14:textId="77777777" w:rsidR="00327542" w:rsidRDefault="00000000">
            <w:pPr>
              <w:pStyle w:val="TableParagraph"/>
              <w:spacing w:line="380" w:lineRule="exact"/>
              <w:ind w:right="227"/>
              <w:jc w:val="both"/>
              <w:rPr>
                <w:rFonts w:hint="eastAsia"/>
                <w:lang w:val="en-US"/>
              </w:rPr>
            </w:pPr>
            <w:r>
              <w:rPr>
                <w:rFonts w:hint="eastAsia"/>
                <w:lang w:val="en-US"/>
              </w:rPr>
              <w:t>易米基金、格林基金、贝莱德基金、朱雀基金、诚旸投资、珺洲基金、太平洋资管、</w:t>
            </w:r>
          </w:p>
          <w:p w14:paraId="5712B86E" w14:textId="77777777" w:rsidR="00327542" w:rsidRDefault="00000000">
            <w:pPr>
              <w:pStyle w:val="TableParagraph"/>
              <w:spacing w:line="380" w:lineRule="exact"/>
              <w:ind w:right="227"/>
              <w:jc w:val="both"/>
              <w:rPr>
                <w:rFonts w:hint="eastAsia"/>
                <w:lang w:val="en-US"/>
              </w:rPr>
            </w:pPr>
            <w:r>
              <w:rPr>
                <w:rFonts w:hint="eastAsia"/>
                <w:lang w:val="en-US"/>
              </w:rPr>
              <w:t>泰康资管、</w:t>
            </w:r>
            <w:proofErr w:type="gramStart"/>
            <w:r>
              <w:rPr>
                <w:rFonts w:hint="eastAsia"/>
                <w:lang w:val="en-US"/>
              </w:rPr>
              <w:t>众安保险</w:t>
            </w:r>
            <w:proofErr w:type="gramEnd"/>
            <w:r>
              <w:rPr>
                <w:rFonts w:hint="eastAsia"/>
                <w:lang w:val="en-US"/>
              </w:rPr>
              <w:t>、建信基金、共同基金、高恩基金、金信基金、恒立基金、</w:t>
            </w:r>
          </w:p>
          <w:p w14:paraId="6734D5AF" w14:textId="77777777" w:rsidR="00327542" w:rsidRDefault="00000000">
            <w:pPr>
              <w:pStyle w:val="TableParagraph"/>
              <w:spacing w:line="380" w:lineRule="exact"/>
              <w:ind w:right="227"/>
              <w:jc w:val="both"/>
              <w:rPr>
                <w:rFonts w:hint="eastAsia"/>
                <w:lang w:val="en-US"/>
              </w:rPr>
            </w:pPr>
            <w:r>
              <w:rPr>
                <w:rFonts w:hint="eastAsia"/>
                <w:lang w:val="en-US"/>
              </w:rPr>
              <w:t>先锋基金、</w:t>
            </w:r>
            <w:proofErr w:type="gramStart"/>
            <w:r>
              <w:rPr>
                <w:rFonts w:hint="eastAsia"/>
                <w:lang w:val="en-US"/>
              </w:rPr>
              <w:t>开思基金</w:t>
            </w:r>
            <w:proofErr w:type="gramEnd"/>
            <w:r>
              <w:rPr>
                <w:rFonts w:hint="eastAsia"/>
                <w:lang w:val="en-US"/>
              </w:rPr>
              <w:t>、永安期货、四川金控、</w:t>
            </w:r>
            <w:proofErr w:type="gramStart"/>
            <w:r>
              <w:rPr>
                <w:rFonts w:hint="eastAsia"/>
                <w:lang w:val="en-US"/>
              </w:rPr>
              <w:t>常州金控</w:t>
            </w:r>
            <w:proofErr w:type="gramEnd"/>
            <w:r>
              <w:rPr>
                <w:rFonts w:hint="eastAsia"/>
                <w:lang w:val="en-US"/>
              </w:rPr>
              <w:t>、北京金控、拾贝投资、清和泉、重阳投资、南土资管、星石投资、国寿资产、元</w:t>
            </w:r>
            <w:proofErr w:type="gramStart"/>
            <w:r>
              <w:rPr>
                <w:rFonts w:hint="eastAsia"/>
                <w:lang w:val="en-US"/>
              </w:rPr>
              <w:t>昊</w:t>
            </w:r>
            <w:proofErr w:type="gramEnd"/>
            <w:r>
              <w:rPr>
                <w:rFonts w:hint="eastAsia"/>
                <w:lang w:val="en-US"/>
              </w:rPr>
              <w:t>投资、</w:t>
            </w:r>
            <w:proofErr w:type="gramStart"/>
            <w:r>
              <w:rPr>
                <w:rFonts w:hint="eastAsia"/>
                <w:lang w:val="en-US"/>
              </w:rPr>
              <w:t>信银理财</w:t>
            </w:r>
            <w:proofErr w:type="gramEnd"/>
            <w:r>
              <w:rPr>
                <w:rFonts w:hint="eastAsia"/>
                <w:lang w:val="en-US"/>
              </w:rPr>
              <w:t>、</w:t>
            </w:r>
            <w:proofErr w:type="gramStart"/>
            <w:r>
              <w:rPr>
                <w:rFonts w:hint="eastAsia"/>
                <w:lang w:val="en-US"/>
              </w:rPr>
              <w:t>亘</w:t>
            </w:r>
            <w:proofErr w:type="gramEnd"/>
            <w:r>
              <w:rPr>
                <w:rFonts w:hint="eastAsia"/>
                <w:lang w:val="en-US"/>
              </w:rPr>
              <w:t>曦资产、</w:t>
            </w:r>
          </w:p>
          <w:p w14:paraId="04343A83" w14:textId="77777777" w:rsidR="00327542" w:rsidRDefault="00000000">
            <w:pPr>
              <w:pStyle w:val="TableParagraph"/>
              <w:spacing w:line="380" w:lineRule="exact"/>
              <w:ind w:right="227"/>
              <w:jc w:val="both"/>
              <w:rPr>
                <w:rFonts w:hint="eastAsia"/>
                <w:lang w:val="en-US"/>
              </w:rPr>
            </w:pPr>
            <w:r>
              <w:rPr>
                <w:rFonts w:hint="eastAsia"/>
                <w:lang w:val="en-US"/>
              </w:rPr>
              <w:t>海港人寿、高致投资、恒</w:t>
            </w:r>
            <w:proofErr w:type="gramStart"/>
            <w:r>
              <w:rPr>
                <w:rFonts w:hint="eastAsia"/>
                <w:lang w:val="en-US"/>
              </w:rPr>
              <w:t>安标准</w:t>
            </w:r>
            <w:proofErr w:type="gramEnd"/>
            <w:r>
              <w:rPr>
                <w:rFonts w:hint="eastAsia"/>
                <w:lang w:val="en-US"/>
              </w:rPr>
              <w:t>人寿、国富人寿、同创伟业、</w:t>
            </w:r>
            <w:proofErr w:type="gramStart"/>
            <w:r>
              <w:rPr>
                <w:rFonts w:hint="eastAsia"/>
                <w:lang w:val="en-US"/>
              </w:rPr>
              <w:t>睿</w:t>
            </w:r>
            <w:proofErr w:type="gramEnd"/>
            <w:r>
              <w:rPr>
                <w:rFonts w:hint="eastAsia"/>
                <w:lang w:val="en-US"/>
              </w:rPr>
              <w:t>郡投资、华泰保险、</w:t>
            </w:r>
          </w:p>
          <w:p w14:paraId="311D5871" w14:textId="77777777" w:rsidR="00327542" w:rsidRDefault="00000000">
            <w:pPr>
              <w:pStyle w:val="TableParagraph"/>
              <w:spacing w:line="380" w:lineRule="exact"/>
              <w:ind w:right="227"/>
              <w:jc w:val="both"/>
              <w:rPr>
                <w:rFonts w:hint="eastAsia"/>
                <w:lang w:val="en-US"/>
              </w:rPr>
            </w:pPr>
            <w:r>
              <w:rPr>
                <w:rFonts w:hint="eastAsia"/>
                <w:lang w:val="en-US"/>
              </w:rPr>
              <w:t>康祺资产、华富瑞兴投资、杭州银行、</w:t>
            </w:r>
            <w:proofErr w:type="gramStart"/>
            <w:r>
              <w:rPr>
                <w:rFonts w:hint="eastAsia"/>
                <w:lang w:val="en-US"/>
              </w:rPr>
              <w:t>轻盐创投</w:t>
            </w:r>
            <w:proofErr w:type="gramEnd"/>
            <w:r>
              <w:rPr>
                <w:rFonts w:hint="eastAsia"/>
                <w:lang w:val="en-US"/>
              </w:rPr>
              <w:t>、浙江农发产投、东方嘉富投资、</w:t>
            </w:r>
          </w:p>
          <w:p w14:paraId="566DD7CB" w14:textId="77777777" w:rsidR="00327542" w:rsidRDefault="00000000">
            <w:pPr>
              <w:pStyle w:val="TableParagraph"/>
              <w:spacing w:line="380" w:lineRule="exact"/>
              <w:ind w:right="227"/>
              <w:jc w:val="both"/>
              <w:rPr>
                <w:rFonts w:hint="eastAsia"/>
                <w:lang w:val="en-US"/>
              </w:rPr>
            </w:pPr>
            <w:proofErr w:type="gramStart"/>
            <w:r>
              <w:rPr>
                <w:rFonts w:hint="eastAsia"/>
                <w:lang w:val="en-US"/>
              </w:rPr>
              <w:t>鹿秀投资</w:t>
            </w:r>
            <w:proofErr w:type="gramEnd"/>
            <w:r>
              <w:rPr>
                <w:rFonts w:hint="eastAsia"/>
                <w:lang w:val="en-US"/>
              </w:rPr>
              <w:t>、浙江农发、中财招商、高腾国际、上海方御资产、江苏瑞华资产、</w:t>
            </w:r>
            <w:proofErr w:type="gramStart"/>
            <w:r>
              <w:rPr>
                <w:rFonts w:hint="eastAsia"/>
                <w:lang w:val="en-US"/>
              </w:rPr>
              <w:t>运舟投资</w:t>
            </w:r>
            <w:proofErr w:type="gramEnd"/>
            <w:r>
              <w:rPr>
                <w:rFonts w:hint="eastAsia"/>
                <w:lang w:val="en-US"/>
              </w:rPr>
              <w:t>、天津</w:t>
            </w:r>
            <w:proofErr w:type="gramStart"/>
            <w:r>
              <w:rPr>
                <w:rFonts w:hint="eastAsia"/>
                <w:lang w:val="en-US"/>
              </w:rPr>
              <w:t>津融卓创</w:t>
            </w:r>
            <w:proofErr w:type="gramEnd"/>
            <w:r>
              <w:rPr>
                <w:rFonts w:hint="eastAsia"/>
                <w:lang w:val="en-US"/>
              </w:rPr>
              <w:t>、四川振兴嘉杰、成都合众易晟、</w:t>
            </w:r>
            <w:proofErr w:type="gramStart"/>
            <w:r>
              <w:rPr>
                <w:rFonts w:hint="eastAsia"/>
                <w:lang w:val="en-US"/>
              </w:rPr>
              <w:t>华数集团</w:t>
            </w:r>
            <w:proofErr w:type="gramEnd"/>
            <w:r>
              <w:rPr>
                <w:rFonts w:hint="eastAsia"/>
                <w:lang w:val="en-US"/>
              </w:rPr>
              <w:t>投资、Nan Fung Trinity(HK) Limited、Bright Valley Capital Limited、</w:t>
            </w:r>
            <w:proofErr w:type="spellStart"/>
            <w:r>
              <w:rPr>
                <w:rFonts w:hint="eastAsia"/>
                <w:lang w:val="en-US"/>
              </w:rPr>
              <w:t>Harmolands</w:t>
            </w:r>
            <w:proofErr w:type="spellEnd"/>
            <w:r>
              <w:rPr>
                <w:rFonts w:hint="eastAsia"/>
                <w:lang w:val="en-US"/>
              </w:rPr>
              <w:t xml:space="preserve"> Capital Limited、Regents Capital Limited、董卫国、陶林、林金涛</w:t>
            </w:r>
          </w:p>
          <w:p w14:paraId="0686C3AF" w14:textId="77777777" w:rsidR="00327542" w:rsidRDefault="00000000">
            <w:pPr>
              <w:pStyle w:val="TableParagraph"/>
              <w:spacing w:line="380" w:lineRule="exact"/>
              <w:ind w:right="227"/>
              <w:jc w:val="both"/>
              <w:rPr>
                <w:rFonts w:hint="eastAsia"/>
                <w:lang w:val="en-US"/>
              </w:rPr>
            </w:pPr>
            <w:r>
              <w:rPr>
                <w:rFonts w:hint="eastAsia"/>
                <w:lang w:val="en-US"/>
              </w:rPr>
              <w:t>（以上排名不分先后）</w:t>
            </w:r>
          </w:p>
        </w:tc>
      </w:tr>
      <w:tr w:rsidR="00327542" w14:paraId="7BBCFE15" w14:textId="77777777">
        <w:trPr>
          <w:trHeight w:val="713"/>
          <w:jc w:val="center"/>
        </w:trPr>
        <w:tc>
          <w:tcPr>
            <w:tcW w:w="1125" w:type="pct"/>
            <w:tcBorders>
              <w:top w:val="single" w:sz="6" w:space="0" w:color="000000"/>
              <w:bottom w:val="single" w:sz="6" w:space="0" w:color="000000"/>
              <w:right w:val="single" w:sz="6" w:space="0" w:color="000000"/>
            </w:tcBorders>
            <w:vAlign w:val="center"/>
          </w:tcPr>
          <w:p w14:paraId="1BAD2C5F" w14:textId="77777777" w:rsidR="00327542" w:rsidRDefault="00000000">
            <w:pPr>
              <w:pStyle w:val="TableParagraph"/>
              <w:spacing w:line="400" w:lineRule="exact"/>
              <w:ind w:right="227" w:firstLineChars="100" w:firstLine="221"/>
              <w:rPr>
                <w:rFonts w:hint="eastAsia"/>
                <w:b/>
                <w:bCs/>
              </w:rPr>
            </w:pPr>
            <w:r>
              <w:rPr>
                <w:rFonts w:hint="eastAsia"/>
                <w:b/>
                <w:bCs/>
              </w:rPr>
              <w:lastRenderedPageBreak/>
              <w:t>时间</w:t>
            </w:r>
          </w:p>
        </w:tc>
        <w:tc>
          <w:tcPr>
            <w:tcW w:w="3874" w:type="pct"/>
            <w:gridSpan w:val="3"/>
            <w:tcBorders>
              <w:top w:val="single" w:sz="6" w:space="0" w:color="000000"/>
              <w:left w:val="single" w:sz="6" w:space="0" w:color="000000"/>
              <w:bottom w:val="single" w:sz="6" w:space="0" w:color="000000"/>
            </w:tcBorders>
            <w:vAlign w:val="center"/>
          </w:tcPr>
          <w:p w14:paraId="50FFA0B8" w14:textId="77777777" w:rsidR="00327542" w:rsidRDefault="00000000">
            <w:pPr>
              <w:pStyle w:val="TableParagraph"/>
              <w:spacing w:line="400" w:lineRule="exact"/>
              <w:ind w:right="227"/>
              <w:rPr>
                <w:rFonts w:hint="eastAsia"/>
                <w:lang w:val="en-US"/>
              </w:rPr>
            </w:pPr>
            <w:r>
              <w:rPr>
                <w:rFonts w:hint="eastAsia"/>
                <w:lang w:val="en-US"/>
              </w:rPr>
              <w:t>2026年3月3日至27日</w:t>
            </w:r>
          </w:p>
        </w:tc>
      </w:tr>
      <w:tr w:rsidR="00327542" w14:paraId="3905EADC" w14:textId="77777777">
        <w:trPr>
          <w:trHeight w:val="761"/>
          <w:jc w:val="center"/>
        </w:trPr>
        <w:tc>
          <w:tcPr>
            <w:tcW w:w="1125" w:type="pct"/>
            <w:tcBorders>
              <w:top w:val="single" w:sz="6" w:space="0" w:color="000000"/>
              <w:bottom w:val="single" w:sz="6" w:space="0" w:color="000000"/>
              <w:right w:val="single" w:sz="6" w:space="0" w:color="000000"/>
            </w:tcBorders>
            <w:vAlign w:val="center"/>
          </w:tcPr>
          <w:p w14:paraId="218C7E7B" w14:textId="77777777" w:rsidR="00327542" w:rsidRDefault="00000000">
            <w:pPr>
              <w:pStyle w:val="TableParagraph"/>
              <w:spacing w:line="400" w:lineRule="exact"/>
              <w:ind w:right="227" w:firstLineChars="100" w:firstLine="221"/>
              <w:rPr>
                <w:rFonts w:hint="eastAsia"/>
                <w:b/>
                <w:bCs/>
              </w:rPr>
            </w:pPr>
            <w:r>
              <w:rPr>
                <w:rFonts w:hint="eastAsia"/>
                <w:b/>
                <w:bCs/>
              </w:rPr>
              <w:t>地点</w:t>
            </w:r>
          </w:p>
        </w:tc>
        <w:tc>
          <w:tcPr>
            <w:tcW w:w="3874" w:type="pct"/>
            <w:gridSpan w:val="3"/>
            <w:tcBorders>
              <w:top w:val="single" w:sz="6" w:space="0" w:color="000000"/>
              <w:left w:val="single" w:sz="6" w:space="0" w:color="000000"/>
              <w:bottom w:val="single" w:sz="6" w:space="0" w:color="000000"/>
            </w:tcBorders>
            <w:vAlign w:val="center"/>
          </w:tcPr>
          <w:p w14:paraId="1A0E40D2" w14:textId="77777777" w:rsidR="00327542" w:rsidRDefault="00000000">
            <w:pPr>
              <w:pStyle w:val="TableParagraph"/>
              <w:spacing w:line="400" w:lineRule="exact"/>
              <w:ind w:right="227"/>
              <w:rPr>
                <w:rFonts w:hint="eastAsia"/>
                <w:lang w:val="en-US"/>
              </w:rPr>
            </w:pPr>
            <w:r>
              <w:rPr>
                <w:rFonts w:hint="eastAsia"/>
                <w:lang w:val="en-US"/>
              </w:rPr>
              <w:t>成都、北京、上海、深圳、厦门、重庆、武汉、无锡</w:t>
            </w:r>
          </w:p>
        </w:tc>
      </w:tr>
      <w:tr w:rsidR="00327542" w14:paraId="7C36F43C" w14:textId="77777777">
        <w:trPr>
          <w:trHeight w:val="832"/>
          <w:jc w:val="center"/>
        </w:trPr>
        <w:tc>
          <w:tcPr>
            <w:tcW w:w="1125" w:type="pct"/>
            <w:tcBorders>
              <w:top w:val="single" w:sz="6" w:space="0" w:color="000000"/>
              <w:bottom w:val="single" w:sz="6" w:space="0" w:color="000000"/>
              <w:right w:val="single" w:sz="6" w:space="0" w:color="000000"/>
            </w:tcBorders>
            <w:vAlign w:val="center"/>
          </w:tcPr>
          <w:p w14:paraId="4FB40B71" w14:textId="77777777" w:rsidR="00327542" w:rsidRDefault="00000000">
            <w:pPr>
              <w:pStyle w:val="TableParagraph"/>
              <w:spacing w:line="400" w:lineRule="exact"/>
              <w:ind w:firstLineChars="100" w:firstLine="221"/>
              <w:rPr>
                <w:rFonts w:hint="eastAsia"/>
                <w:b/>
                <w:bCs/>
              </w:rPr>
            </w:pPr>
            <w:r>
              <w:rPr>
                <w:rFonts w:hint="eastAsia"/>
                <w:b/>
                <w:bCs/>
                <w:lang w:val="en-US"/>
              </w:rPr>
              <w:t>上市</w:t>
            </w:r>
            <w:r>
              <w:rPr>
                <w:rFonts w:hint="eastAsia"/>
                <w:b/>
                <w:bCs/>
              </w:rPr>
              <w:t>公司</w:t>
            </w:r>
          </w:p>
          <w:p w14:paraId="34BD383F" w14:textId="77777777" w:rsidR="00327542" w:rsidRDefault="00000000">
            <w:pPr>
              <w:pStyle w:val="TableParagraph"/>
              <w:spacing w:line="400" w:lineRule="exact"/>
              <w:ind w:firstLineChars="100" w:firstLine="221"/>
              <w:rPr>
                <w:rFonts w:hint="eastAsia"/>
                <w:b/>
                <w:bCs/>
              </w:rPr>
            </w:pPr>
            <w:r>
              <w:rPr>
                <w:rFonts w:hint="eastAsia"/>
                <w:b/>
                <w:bCs/>
              </w:rPr>
              <w:t>接待人员姓名</w:t>
            </w:r>
          </w:p>
        </w:tc>
        <w:tc>
          <w:tcPr>
            <w:tcW w:w="3874" w:type="pct"/>
            <w:gridSpan w:val="3"/>
            <w:tcBorders>
              <w:top w:val="single" w:sz="6" w:space="0" w:color="000000"/>
              <w:left w:val="single" w:sz="6" w:space="0" w:color="000000"/>
              <w:bottom w:val="single" w:sz="6" w:space="0" w:color="000000"/>
            </w:tcBorders>
            <w:vAlign w:val="center"/>
          </w:tcPr>
          <w:p w14:paraId="7CDDD6B7" w14:textId="77777777" w:rsidR="00327542" w:rsidRDefault="00000000">
            <w:pPr>
              <w:pStyle w:val="TableParagraph"/>
              <w:spacing w:line="400" w:lineRule="exact"/>
              <w:ind w:right="227"/>
              <w:rPr>
                <w:rFonts w:hint="eastAsia"/>
                <w:lang w:val="en-US"/>
              </w:rPr>
            </w:pPr>
            <w:r>
              <w:rPr>
                <w:rFonts w:hint="eastAsia"/>
                <w:lang w:val="en-US"/>
              </w:rPr>
              <w:t>董事长：</w:t>
            </w:r>
            <w:proofErr w:type="gramStart"/>
            <w:r>
              <w:rPr>
                <w:rFonts w:hint="eastAsia"/>
                <w:lang w:val="en-US"/>
              </w:rPr>
              <w:t>岳良泉</w:t>
            </w:r>
            <w:proofErr w:type="gramEnd"/>
          </w:p>
          <w:p w14:paraId="2EF6647F" w14:textId="77777777" w:rsidR="00327542" w:rsidRDefault="00000000">
            <w:pPr>
              <w:pStyle w:val="TableParagraph"/>
              <w:spacing w:line="400" w:lineRule="exact"/>
              <w:ind w:right="227"/>
              <w:rPr>
                <w:rFonts w:hint="eastAsia"/>
                <w:lang w:val="en-US"/>
              </w:rPr>
            </w:pPr>
            <w:r>
              <w:rPr>
                <w:rFonts w:hint="eastAsia"/>
              </w:rPr>
              <w:t>董事会秘书：</w:t>
            </w:r>
            <w:r>
              <w:rPr>
                <w:rFonts w:hint="eastAsia"/>
                <w:lang w:val="en-US"/>
              </w:rPr>
              <w:t>张耕</w:t>
            </w:r>
          </w:p>
          <w:p w14:paraId="6C9B3DBC" w14:textId="77777777" w:rsidR="00327542" w:rsidRDefault="00000000">
            <w:pPr>
              <w:pStyle w:val="TableParagraph"/>
              <w:spacing w:line="400" w:lineRule="exact"/>
              <w:ind w:right="227"/>
              <w:rPr>
                <w:rFonts w:hint="eastAsia"/>
                <w:lang w:val="en-US"/>
              </w:rPr>
            </w:pPr>
            <w:r>
              <w:rPr>
                <w:rFonts w:hint="eastAsia"/>
                <w:lang w:val="en-US"/>
              </w:rPr>
              <w:t>副总经理：徐成聪</w:t>
            </w:r>
          </w:p>
          <w:p w14:paraId="33F39550" w14:textId="77777777" w:rsidR="00327542" w:rsidRDefault="00000000">
            <w:pPr>
              <w:pStyle w:val="TableParagraph"/>
              <w:spacing w:line="400" w:lineRule="exact"/>
              <w:ind w:right="227"/>
              <w:rPr>
                <w:rFonts w:hint="eastAsia"/>
                <w:lang w:val="en-US"/>
              </w:rPr>
            </w:pPr>
            <w:r>
              <w:rPr>
                <w:rFonts w:hint="eastAsia"/>
                <w:lang w:val="en-US"/>
              </w:rPr>
              <w:t>财务总监：陈丽青</w:t>
            </w:r>
          </w:p>
          <w:p w14:paraId="721FEB6A" w14:textId="77777777" w:rsidR="00327542" w:rsidRDefault="00000000">
            <w:pPr>
              <w:pStyle w:val="TableParagraph"/>
              <w:spacing w:line="400" w:lineRule="exact"/>
              <w:ind w:right="227"/>
              <w:rPr>
                <w:rFonts w:hint="eastAsia"/>
                <w:lang w:val="en-US"/>
              </w:rPr>
            </w:pPr>
            <w:r>
              <w:rPr>
                <w:rFonts w:hint="eastAsia"/>
                <w:lang w:val="en-US"/>
              </w:rPr>
              <w:t>证券事务代表：</w:t>
            </w:r>
            <w:proofErr w:type="gramStart"/>
            <w:r>
              <w:rPr>
                <w:rFonts w:hint="eastAsia"/>
                <w:lang w:val="en-US"/>
              </w:rPr>
              <w:t>张诗琪</w:t>
            </w:r>
            <w:proofErr w:type="gramEnd"/>
          </w:p>
        </w:tc>
      </w:tr>
      <w:tr w:rsidR="00327542" w14:paraId="0E0E64C6" w14:textId="77777777">
        <w:trPr>
          <w:trHeight w:val="569"/>
          <w:jc w:val="center"/>
        </w:trPr>
        <w:tc>
          <w:tcPr>
            <w:tcW w:w="1125" w:type="pct"/>
            <w:tcBorders>
              <w:top w:val="single" w:sz="6" w:space="0" w:color="000000"/>
              <w:bottom w:val="single" w:sz="6" w:space="0" w:color="000000"/>
              <w:right w:val="single" w:sz="6" w:space="0" w:color="000000"/>
            </w:tcBorders>
            <w:vAlign w:val="center"/>
          </w:tcPr>
          <w:p w14:paraId="54B1331F" w14:textId="77777777" w:rsidR="00327542" w:rsidRDefault="00000000">
            <w:pPr>
              <w:pStyle w:val="TableParagraph"/>
              <w:spacing w:line="390" w:lineRule="exact"/>
              <w:rPr>
                <w:rFonts w:hint="eastAsia"/>
                <w:b/>
                <w:bCs/>
              </w:rPr>
            </w:pPr>
            <w:r>
              <w:rPr>
                <w:rFonts w:hint="eastAsia"/>
                <w:b/>
                <w:bCs/>
                <w:lang w:val="en-US"/>
              </w:rPr>
              <w:t xml:space="preserve">  </w:t>
            </w:r>
            <w:r>
              <w:rPr>
                <w:rFonts w:hint="eastAsia"/>
                <w:b/>
                <w:bCs/>
              </w:rPr>
              <w:t>投资者关系活动</w:t>
            </w:r>
          </w:p>
          <w:p w14:paraId="47F32A3C" w14:textId="77777777" w:rsidR="00327542" w:rsidRDefault="00000000">
            <w:pPr>
              <w:pStyle w:val="TableParagraph"/>
              <w:spacing w:line="390" w:lineRule="exact"/>
              <w:ind w:firstLineChars="100" w:firstLine="221"/>
              <w:rPr>
                <w:rFonts w:hint="eastAsia"/>
                <w:b/>
                <w:bCs/>
              </w:rPr>
            </w:pPr>
            <w:r>
              <w:rPr>
                <w:rFonts w:hint="eastAsia"/>
                <w:b/>
                <w:bCs/>
              </w:rPr>
              <w:t>主要内容介绍</w:t>
            </w:r>
          </w:p>
        </w:tc>
        <w:tc>
          <w:tcPr>
            <w:tcW w:w="3874" w:type="pct"/>
            <w:gridSpan w:val="3"/>
            <w:tcBorders>
              <w:top w:val="single" w:sz="6" w:space="0" w:color="000000"/>
              <w:left w:val="single" w:sz="6" w:space="0" w:color="000000"/>
              <w:bottom w:val="single" w:sz="6" w:space="0" w:color="000000"/>
            </w:tcBorders>
            <w:vAlign w:val="center"/>
          </w:tcPr>
          <w:p w14:paraId="0FD47ECB" w14:textId="77777777" w:rsidR="00327542" w:rsidRDefault="00000000">
            <w:pPr>
              <w:autoSpaceDE/>
              <w:autoSpaceDN/>
              <w:spacing w:line="440" w:lineRule="exact"/>
              <w:rPr>
                <w:rFonts w:hint="eastAsia"/>
                <w:lang w:val="en-US"/>
              </w:rPr>
            </w:pPr>
            <w:bookmarkStart w:id="0" w:name="7182-1592134663918"/>
            <w:bookmarkEnd w:id="0"/>
            <w:r>
              <w:rPr>
                <w:rFonts w:hint="eastAsia"/>
                <w:b/>
                <w:bCs/>
              </w:rPr>
              <w:t>一、公司发展</w:t>
            </w:r>
            <w:r>
              <w:rPr>
                <w:rFonts w:hint="eastAsia"/>
                <w:b/>
                <w:bCs/>
                <w:lang w:val="en-US"/>
              </w:rPr>
              <w:t>战略</w:t>
            </w:r>
            <w:r>
              <w:rPr>
                <w:rFonts w:hint="eastAsia"/>
                <w:b/>
                <w:bCs/>
              </w:rPr>
              <w:t>与业务</w:t>
            </w:r>
            <w:r>
              <w:rPr>
                <w:rFonts w:hint="eastAsia"/>
                <w:b/>
                <w:bCs/>
                <w:lang w:val="en-US"/>
              </w:rPr>
              <w:t>规划</w:t>
            </w:r>
            <w:r>
              <w:rPr>
                <w:rFonts w:hint="eastAsia"/>
                <w:b/>
                <w:bCs/>
              </w:rPr>
              <w:t>？</w:t>
            </w:r>
          </w:p>
          <w:p w14:paraId="6A0E36C0" w14:textId="77777777" w:rsidR="00327542" w:rsidRDefault="00000000">
            <w:pPr>
              <w:autoSpaceDE/>
              <w:autoSpaceDN/>
              <w:spacing w:line="440" w:lineRule="exact"/>
              <w:ind w:firstLineChars="200" w:firstLine="440"/>
              <w:rPr>
                <w:rFonts w:hint="eastAsia"/>
                <w:lang w:val="en-US"/>
              </w:rPr>
            </w:pPr>
            <w:r>
              <w:rPr>
                <w:rFonts w:hint="eastAsia"/>
                <w:lang w:val="en-US"/>
              </w:rPr>
              <w:t>公司坚守“认真养猪一百年，专注生猪产业链”的长期主义理念，在2026年将坚定由规模扩张向效率致胜转型，以“成本领先”为战略核心，锚</w:t>
            </w:r>
            <w:proofErr w:type="gramStart"/>
            <w:r>
              <w:rPr>
                <w:rFonts w:hint="eastAsia"/>
                <w:lang w:val="en-US"/>
              </w:rPr>
              <w:t>定全球</w:t>
            </w:r>
            <w:proofErr w:type="gramEnd"/>
            <w:r>
              <w:rPr>
                <w:rFonts w:hint="eastAsia"/>
                <w:lang w:val="en-US"/>
              </w:rPr>
              <w:t>标杆企业愿景，持续淬炼“极致效率”核心竞争力。通过系统性落地“六高六式”策略，深化“五星养殖体系”</w:t>
            </w:r>
            <w:proofErr w:type="gramStart"/>
            <w:r>
              <w:rPr>
                <w:rFonts w:hint="eastAsia"/>
                <w:lang w:val="en-US"/>
              </w:rPr>
              <w:t>与数智化</w:t>
            </w:r>
            <w:proofErr w:type="gramEnd"/>
            <w:r>
              <w:rPr>
                <w:rFonts w:hint="eastAsia"/>
                <w:lang w:val="en-US"/>
              </w:rPr>
              <w:t>的深度融合，公司将持续突破关键生产指标，巩固完全成本领先优势。公司还将迭代升级紧密型“公司+农户”合作模式，推动产业增值惠及更多农户，以联农带</w:t>
            </w:r>
            <w:proofErr w:type="gramStart"/>
            <w:r>
              <w:rPr>
                <w:rFonts w:hint="eastAsia"/>
                <w:lang w:val="en-US"/>
              </w:rPr>
              <w:t>农深入</w:t>
            </w:r>
            <w:proofErr w:type="gramEnd"/>
            <w:r>
              <w:rPr>
                <w:rFonts w:hint="eastAsia"/>
                <w:lang w:val="en-US"/>
              </w:rPr>
              <w:t>推进乡村振兴和支持农业产业化发展。同时，公司积极</w:t>
            </w:r>
            <w:proofErr w:type="gramStart"/>
            <w:r>
              <w:rPr>
                <w:rFonts w:hint="eastAsia"/>
                <w:lang w:val="en-US"/>
              </w:rPr>
              <w:t>践行</w:t>
            </w:r>
            <w:proofErr w:type="gramEnd"/>
            <w:r>
              <w:rPr>
                <w:rFonts w:hint="eastAsia"/>
                <w:lang w:val="en-US"/>
              </w:rPr>
              <w:t>企业社会责任，履行食品安全保障与绿色环境保护责任，让健康美味滋养幸福生活，成为全球信赖的猪肉食品企业。</w:t>
            </w:r>
          </w:p>
          <w:p w14:paraId="33494A87" w14:textId="77777777" w:rsidR="00327542" w:rsidRDefault="00327542">
            <w:pPr>
              <w:autoSpaceDE/>
              <w:autoSpaceDN/>
              <w:spacing w:line="440" w:lineRule="exact"/>
              <w:ind w:firstLineChars="200" w:firstLine="440"/>
              <w:rPr>
                <w:rFonts w:hint="eastAsia"/>
                <w:lang w:val="en-US"/>
              </w:rPr>
            </w:pPr>
          </w:p>
          <w:p w14:paraId="65DA0A58" w14:textId="77777777" w:rsidR="00327542" w:rsidRDefault="00000000">
            <w:pPr>
              <w:autoSpaceDE/>
              <w:autoSpaceDN/>
              <w:spacing w:line="440" w:lineRule="exact"/>
              <w:rPr>
                <w:rFonts w:hint="eastAsia"/>
                <w:b/>
                <w:bCs/>
                <w:lang w:val="en-US"/>
              </w:rPr>
            </w:pPr>
            <w:r>
              <w:rPr>
                <w:rFonts w:hint="eastAsia"/>
                <w:b/>
                <w:bCs/>
                <w:lang w:val="en-US"/>
              </w:rPr>
              <w:t>二、公司生猪养殖生产指标情况？</w:t>
            </w:r>
          </w:p>
          <w:p w14:paraId="729B9EB0" w14:textId="77777777" w:rsidR="00327542" w:rsidRDefault="00000000">
            <w:pPr>
              <w:autoSpaceDE/>
              <w:autoSpaceDN/>
              <w:spacing w:line="440" w:lineRule="exact"/>
              <w:ind w:firstLineChars="200" w:firstLine="440"/>
              <w:rPr>
                <w:rFonts w:hint="eastAsia"/>
                <w:lang w:val="en-US"/>
              </w:rPr>
            </w:pPr>
            <w:r>
              <w:rPr>
                <w:rFonts w:hint="eastAsia"/>
                <w:lang w:val="en-US"/>
              </w:rPr>
              <w:t>公司整合全球优质种猪资源，构建并完善基因育种改良体系，以全球先进育种水平为标杆，持续提升种猪群体生产性能。2025年，公司生猪养殖业务的PSY为29以上。目前，公司的标杆种场PSY突破33、种群PSY达到30以上，种猪效率稳居行业领先水平。</w:t>
            </w:r>
          </w:p>
          <w:p w14:paraId="411B3567" w14:textId="77777777" w:rsidR="00327542" w:rsidRDefault="00000000">
            <w:pPr>
              <w:autoSpaceDE/>
              <w:autoSpaceDN/>
              <w:spacing w:line="440" w:lineRule="exact"/>
              <w:ind w:firstLineChars="200" w:firstLine="440"/>
              <w:rPr>
                <w:rFonts w:hint="eastAsia"/>
                <w:lang w:val="en-US"/>
              </w:rPr>
            </w:pPr>
            <w:r>
              <w:rPr>
                <w:rFonts w:hint="eastAsia"/>
                <w:lang w:val="en-US"/>
              </w:rPr>
              <w:t>基于种场生产效率与健康度等核心优势的持续提升与充分释放，公司将重点聚焦提升生猪育肥环节效率，通过降低育肥料肉比、提高日增重与育肥存活率，实现种场优势向</w:t>
            </w:r>
            <w:proofErr w:type="gramStart"/>
            <w:r>
              <w:rPr>
                <w:rFonts w:hint="eastAsia"/>
                <w:lang w:val="en-US"/>
              </w:rPr>
              <w:t>育肥全</w:t>
            </w:r>
            <w:proofErr w:type="gramEnd"/>
            <w:r>
              <w:rPr>
                <w:rFonts w:hint="eastAsia"/>
                <w:lang w:val="en-US"/>
              </w:rPr>
              <w:t>流程价值的高效转化。</w:t>
            </w:r>
          </w:p>
          <w:p w14:paraId="29CF1C31" w14:textId="77777777" w:rsidR="00327542" w:rsidRDefault="00327542">
            <w:pPr>
              <w:autoSpaceDE/>
              <w:autoSpaceDN/>
              <w:spacing w:line="440" w:lineRule="exact"/>
              <w:ind w:firstLineChars="200" w:firstLine="440"/>
              <w:rPr>
                <w:rFonts w:hint="eastAsia"/>
                <w:lang w:val="en-US"/>
              </w:rPr>
            </w:pPr>
          </w:p>
          <w:p w14:paraId="2D41BA28" w14:textId="77777777" w:rsidR="00327542" w:rsidRDefault="00000000">
            <w:pPr>
              <w:autoSpaceDE/>
              <w:autoSpaceDN/>
              <w:spacing w:line="440" w:lineRule="exact"/>
              <w:rPr>
                <w:rFonts w:hint="eastAsia"/>
                <w:b/>
                <w:bCs/>
                <w:lang w:val="en-US"/>
              </w:rPr>
            </w:pPr>
            <w:r>
              <w:rPr>
                <w:rFonts w:hint="eastAsia"/>
                <w:b/>
                <w:bCs/>
                <w:lang w:val="en-US"/>
              </w:rPr>
              <w:t>三、公司生猪养殖完全成本情况？</w:t>
            </w:r>
          </w:p>
          <w:p w14:paraId="16209410" w14:textId="77777777" w:rsidR="00327542" w:rsidRDefault="00000000">
            <w:pPr>
              <w:autoSpaceDE/>
              <w:autoSpaceDN/>
              <w:spacing w:line="440" w:lineRule="exact"/>
              <w:ind w:firstLineChars="200" w:firstLine="440"/>
              <w:rPr>
                <w:rFonts w:hint="eastAsia"/>
                <w:lang w:val="en-US"/>
              </w:rPr>
            </w:pPr>
            <w:r>
              <w:rPr>
                <w:rFonts w:hint="eastAsia"/>
                <w:lang w:val="en-US"/>
              </w:rPr>
              <w:t>得益于种场优势的持续提升和育肥效率的不断优化，公司商品肥猪完全成本呈现出持续改进态势。2025年度，公司商品肥猪完全成本约为6.5元/斤。在综合考虑饲料原料价格变动趋势和公司增效降本</w:t>
            </w:r>
            <w:proofErr w:type="gramStart"/>
            <w:r>
              <w:rPr>
                <w:rFonts w:hint="eastAsia"/>
                <w:lang w:val="en-US"/>
              </w:rPr>
              <w:t>进展成效</w:t>
            </w:r>
            <w:proofErr w:type="gramEnd"/>
            <w:r>
              <w:rPr>
                <w:rFonts w:hint="eastAsia"/>
                <w:lang w:val="en-US"/>
              </w:rPr>
              <w:t>背景下，公司目前规划的2026年商品肥猪完全成本目标约为6.0元/斤。</w:t>
            </w:r>
          </w:p>
          <w:p w14:paraId="3F9DD256" w14:textId="77777777" w:rsidR="00327542" w:rsidRDefault="00000000">
            <w:pPr>
              <w:autoSpaceDE/>
              <w:autoSpaceDN/>
              <w:spacing w:line="410" w:lineRule="exact"/>
              <w:rPr>
                <w:rFonts w:hint="eastAsia"/>
                <w:b/>
                <w:bCs/>
                <w:lang w:val="en-US"/>
              </w:rPr>
            </w:pPr>
            <w:r>
              <w:rPr>
                <w:rFonts w:hint="eastAsia"/>
                <w:b/>
                <w:bCs/>
                <w:lang w:val="en-US"/>
              </w:rPr>
              <w:lastRenderedPageBreak/>
              <w:t>四、公司安全经营与可持续发展情况？</w:t>
            </w:r>
          </w:p>
          <w:p w14:paraId="157BEF42" w14:textId="77777777" w:rsidR="00327542" w:rsidRDefault="00000000">
            <w:pPr>
              <w:autoSpaceDE/>
              <w:autoSpaceDN/>
              <w:spacing w:line="410" w:lineRule="exact"/>
              <w:ind w:firstLineChars="200" w:firstLine="440"/>
              <w:rPr>
                <w:rFonts w:hint="eastAsia"/>
                <w:lang w:val="en-US"/>
              </w:rPr>
            </w:pPr>
            <w:r>
              <w:rPr>
                <w:rFonts w:hint="eastAsia"/>
                <w:lang w:val="en-US"/>
              </w:rPr>
              <w:t>公司高度重视企业安全经营，已建立覆盖财务、生产、资产、品牌的核心风险防线作为根本保障，根据公司的发展态势和经营需求将资产负债率控制在合理水平。公司将通过加强生产管理促进增效降本，以提高生产水平赋能提升经营业绩，积极提升回报投资者能力和水平，推动公司高质量发展和</w:t>
            </w:r>
            <w:proofErr w:type="gramStart"/>
            <w:r>
              <w:rPr>
                <w:rFonts w:hint="eastAsia"/>
                <w:lang w:val="en-US"/>
              </w:rPr>
              <w:t>可</w:t>
            </w:r>
            <w:proofErr w:type="gramEnd"/>
            <w:r>
              <w:rPr>
                <w:rFonts w:hint="eastAsia"/>
                <w:lang w:val="en-US"/>
              </w:rPr>
              <w:t>持续健康成长。</w:t>
            </w:r>
          </w:p>
          <w:p w14:paraId="3552A7D7" w14:textId="77777777" w:rsidR="00327542" w:rsidRDefault="00000000">
            <w:pPr>
              <w:autoSpaceDE/>
              <w:autoSpaceDN/>
              <w:spacing w:line="410" w:lineRule="exact"/>
              <w:ind w:firstLineChars="200" w:firstLine="440"/>
              <w:rPr>
                <w:rFonts w:hint="eastAsia"/>
                <w:lang w:val="en-US"/>
              </w:rPr>
            </w:pPr>
            <w:r>
              <w:rPr>
                <w:rFonts w:hint="eastAsia"/>
                <w:lang w:val="en-US"/>
              </w:rPr>
              <w:t>公司持续推动企业的可持续发展，积极</w:t>
            </w:r>
            <w:proofErr w:type="gramStart"/>
            <w:r>
              <w:rPr>
                <w:rFonts w:hint="eastAsia"/>
                <w:lang w:val="en-US"/>
              </w:rPr>
              <w:t>践行</w:t>
            </w:r>
            <w:proofErr w:type="gramEnd"/>
            <w:r>
              <w:rPr>
                <w:rFonts w:hint="eastAsia"/>
                <w:lang w:val="en-US"/>
              </w:rPr>
              <w:t>环境保护、履行社会责任并规范公司治理，目前公司已经启动《环境、社会及公司治理（ESG）报告》的相关工作，通过报告编制的全过程促进各利益相关方的期望和</w:t>
            </w:r>
            <w:proofErr w:type="gramStart"/>
            <w:r>
              <w:rPr>
                <w:rFonts w:hint="eastAsia"/>
                <w:lang w:val="en-US"/>
              </w:rPr>
              <w:t>诉求得</w:t>
            </w:r>
            <w:proofErr w:type="gramEnd"/>
            <w:r>
              <w:rPr>
                <w:rFonts w:hint="eastAsia"/>
                <w:lang w:val="en-US"/>
              </w:rPr>
              <w:t>到准确地反映和积极的反馈，增强公司的ESG管理水平和抗风险能力，护航公司经营发展行稳致远。</w:t>
            </w:r>
          </w:p>
          <w:p w14:paraId="35EB6A1D" w14:textId="77777777" w:rsidR="00327542" w:rsidRDefault="00327542">
            <w:pPr>
              <w:autoSpaceDE/>
              <w:autoSpaceDN/>
              <w:spacing w:line="410" w:lineRule="exact"/>
              <w:ind w:firstLineChars="200" w:firstLine="440"/>
              <w:rPr>
                <w:rFonts w:hint="eastAsia"/>
                <w:lang w:val="en-US"/>
              </w:rPr>
            </w:pPr>
          </w:p>
          <w:p w14:paraId="572BFC45" w14:textId="77777777" w:rsidR="00327542" w:rsidRDefault="00000000">
            <w:pPr>
              <w:autoSpaceDE/>
              <w:autoSpaceDN/>
              <w:spacing w:line="410" w:lineRule="exact"/>
              <w:rPr>
                <w:rFonts w:hint="eastAsia"/>
                <w:b/>
                <w:bCs/>
                <w:lang w:val="en-US"/>
              </w:rPr>
            </w:pPr>
            <w:r>
              <w:rPr>
                <w:rFonts w:hint="eastAsia"/>
                <w:b/>
                <w:bCs/>
                <w:lang w:val="en-US"/>
              </w:rPr>
              <w:t>五、公司</w:t>
            </w:r>
            <w:proofErr w:type="gramStart"/>
            <w:r>
              <w:rPr>
                <w:rFonts w:hint="eastAsia"/>
                <w:b/>
                <w:bCs/>
                <w:lang w:val="en-US"/>
              </w:rPr>
              <w:t>定增项目</w:t>
            </w:r>
            <w:proofErr w:type="gramEnd"/>
            <w:r>
              <w:rPr>
                <w:rFonts w:hint="eastAsia"/>
                <w:b/>
                <w:bCs/>
                <w:lang w:val="en-US"/>
              </w:rPr>
              <w:t>进展情况？</w:t>
            </w:r>
          </w:p>
          <w:p w14:paraId="48FD546D" w14:textId="77777777" w:rsidR="00327542" w:rsidRDefault="00000000">
            <w:pPr>
              <w:autoSpaceDE/>
              <w:autoSpaceDN/>
              <w:spacing w:line="410" w:lineRule="exact"/>
              <w:ind w:firstLineChars="200" w:firstLine="440"/>
              <w:rPr>
                <w:rFonts w:hint="eastAsia"/>
                <w:lang w:val="en-US"/>
              </w:rPr>
            </w:pPr>
            <w:r>
              <w:rPr>
                <w:rFonts w:hint="eastAsia"/>
                <w:lang w:val="en-US"/>
              </w:rPr>
              <w:t>公司于2026年1月披露公告《乐山巨星农牧股份有限公司2023年度向特定对象发行股票预案》（三次修订稿）《乐山巨星农牧股份有限公司2023年度向特定对象发行股票募集说明书（申报稿）》及其他相关文件。公司本次向特定对象发行股票</w:t>
            </w:r>
            <w:proofErr w:type="gramStart"/>
            <w:r>
              <w:rPr>
                <w:rFonts w:hint="eastAsia"/>
                <w:lang w:val="en-US"/>
              </w:rPr>
              <w:t>的募投项目</w:t>
            </w:r>
            <w:proofErr w:type="gramEnd"/>
            <w:r>
              <w:rPr>
                <w:rFonts w:hint="eastAsia"/>
                <w:lang w:val="en-US"/>
              </w:rPr>
              <w:t>“公猪站建设项目、养殖技术研究基地建设项目、数字智能化建设项目”符合国家加快建设农业强国战略要求及生猪产业高质量发展方向，通过优质基因高效利用、先进技术研发推广、</w:t>
            </w:r>
            <w:proofErr w:type="gramStart"/>
            <w:r>
              <w:rPr>
                <w:rFonts w:hint="eastAsia"/>
                <w:lang w:val="en-US"/>
              </w:rPr>
              <w:t>数智化</w:t>
            </w:r>
            <w:proofErr w:type="gramEnd"/>
            <w:r>
              <w:rPr>
                <w:rFonts w:hint="eastAsia"/>
                <w:lang w:val="en-US"/>
              </w:rPr>
              <w:t>升级改造等多个维度，致力于提高公司的养殖效率和经营质量，有利于增强公司的行业竞争力和推动实现高质量发展，以“提质增效、研发创新、数智赋能”等领域的投入实践为生猪养殖行业打造高质量发展范本。</w:t>
            </w:r>
          </w:p>
          <w:p w14:paraId="6D1B1A4C" w14:textId="77777777" w:rsidR="00327542" w:rsidRDefault="00000000">
            <w:pPr>
              <w:autoSpaceDE/>
              <w:autoSpaceDN/>
              <w:spacing w:line="410" w:lineRule="exact"/>
              <w:ind w:firstLineChars="200" w:firstLine="440"/>
              <w:rPr>
                <w:rFonts w:hint="eastAsia"/>
                <w:lang w:val="en-US"/>
              </w:rPr>
            </w:pPr>
            <w:r>
              <w:rPr>
                <w:rFonts w:hint="eastAsia"/>
                <w:lang w:val="en-US"/>
              </w:rPr>
              <w:t>公司于2026年2月披露公告《乐山巨星农牧股份有限公司关于向特定对象发行股票申请获得上海证券交易所审核通过的公告》，本次向特定对象发行股票事项经上海证券交易所审核通过。公司正与公司股东、意向投资者、潜在投资者等保持积极沟通，并在获得中国证券监督管理委员会</w:t>
            </w:r>
            <w:proofErr w:type="gramStart"/>
            <w:r>
              <w:rPr>
                <w:rFonts w:hint="eastAsia"/>
                <w:lang w:val="en-US"/>
              </w:rPr>
              <w:t>作出</w:t>
            </w:r>
            <w:proofErr w:type="gramEnd"/>
            <w:r>
              <w:rPr>
                <w:rFonts w:hint="eastAsia"/>
                <w:lang w:val="en-US"/>
              </w:rPr>
              <w:t>同意注册的决定后择机实施发行。</w:t>
            </w:r>
          </w:p>
          <w:p w14:paraId="7DF0FADF" w14:textId="77777777" w:rsidR="00327542" w:rsidRDefault="00000000">
            <w:pPr>
              <w:autoSpaceDE/>
              <w:autoSpaceDN/>
              <w:spacing w:line="410" w:lineRule="exact"/>
              <w:ind w:firstLineChars="200" w:firstLine="440"/>
              <w:rPr>
                <w:rFonts w:hint="eastAsia"/>
                <w:lang w:val="en-US"/>
              </w:rPr>
            </w:pPr>
            <w:r>
              <w:rPr>
                <w:rFonts w:hint="eastAsia"/>
                <w:lang w:val="en-US"/>
              </w:rPr>
              <w:t>公司将根据进展情况，严格按照上市公司向特定对象发行股票相关法律法规的要求及时履行信息披露义务。敬请广大投资者注意投资风险，理性投资。</w:t>
            </w:r>
          </w:p>
        </w:tc>
      </w:tr>
      <w:tr w:rsidR="00327542" w14:paraId="607A0643" w14:textId="77777777">
        <w:trPr>
          <w:trHeight w:val="494"/>
          <w:jc w:val="center"/>
        </w:trPr>
        <w:tc>
          <w:tcPr>
            <w:tcW w:w="1125" w:type="pct"/>
            <w:tcBorders>
              <w:top w:val="single" w:sz="6" w:space="0" w:color="000000"/>
              <w:bottom w:val="single" w:sz="6" w:space="0" w:color="000000"/>
              <w:right w:val="single" w:sz="6" w:space="0" w:color="000000"/>
            </w:tcBorders>
            <w:vAlign w:val="center"/>
          </w:tcPr>
          <w:p w14:paraId="22603D08" w14:textId="77777777" w:rsidR="00327542" w:rsidRDefault="00000000">
            <w:pPr>
              <w:pStyle w:val="TableParagraph"/>
              <w:spacing w:line="390" w:lineRule="exact"/>
              <w:ind w:firstLineChars="100" w:firstLine="221"/>
              <w:rPr>
                <w:rFonts w:hint="eastAsia"/>
                <w:b/>
                <w:bCs/>
              </w:rPr>
            </w:pPr>
            <w:r>
              <w:rPr>
                <w:rFonts w:hint="eastAsia"/>
                <w:b/>
                <w:bCs/>
              </w:rPr>
              <w:lastRenderedPageBreak/>
              <w:t>附件清单（如有）</w:t>
            </w:r>
          </w:p>
        </w:tc>
        <w:tc>
          <w:tcPr>
            <w:tcW w:w="3874" w:type="pct"/>
            <w:gridSpan w:val="3"/>
            <w:tcBorders>
              <w:top w:val="single" w:sz="6" w:space="0" w:color="000000"/>
              <w:left w:val="single" w:sz="6" w:space="0" w:color="000000"/>
              <w:bottom w:val="single" w:sz="6" w:space="0" w:color="000000"/>
            </w:tcBorders>
            <w:vAlign w:val="center"/>
          </w:tcPr>
          <w:p w14:paraId="2D417945" w14:textId="77777777" w:rsidR="00327542" w:rsidRDefault="00000000">
            <w:pPr>
              <w:pStyle w:val="TableParagraph"/>
              <w:spacing w:line="410" w:lineRule="exact"/>
              <w:rPr>
                <w:rFonts w:hint="eastAsia"/>
                <w:lang w:val="en-US"/>
              </w:rPr>
            </w:pPr>
            <w:r>
              <w:rPr>
                <w:rFonts w:hint="eastAsia"/>
              </w:rPr>
              <w:t>无</w:t>
            </w:r>
          </w:p>
        </w:tc>
      </w:tr>
      <w:tr w:rsidR="00327542" w14:paraId="4572C895" w14:textId="77777777">
        <w:trPr>
          <w:trHeight w:val="634"/>
          <w:jc w:val="center"/>
        </w:trPr>
        <w:tc>
          <w:tcPr>
            <w:tcW w:w="1125" w:type="pct"/>
            <w:tcBorders>
              <w:top w:val="single" w:sz="6" w:space="0" w:color="000000"/>
              <w:bottom w:val="single" w:sz="6" w:space="0" w:color="000000"/>
              <w:right w:val="single" w:sz="6" w:space="0" w:color="000000"/>
            </w:tcBorders>
            <w:vAlign w:val="center"/>
          </w:tcPr>
          <w:p w14:paraId="7C202EBB" w14:textId="77777777" w:rsidR="00327542" w:rsidRDefault="00000000">
            <w:pPr>
              <w:pStyle w:val="TableParagraph"/>
              <w:spacing w:line="390" w:lineRule="exact"/>
              <w:ind w:firstLineChars="100" w:firstLine="221"/>
              <w:rPr>
                <w:rFonts w:hint="eastAsia"/>
                <w:b/>
                <w:bCs/>
              </w:rPr>
            </w:pPr>
            <w:r>
              <w:rPr>
                <w:rFonts w:hint="eastAsia"/>
                <w:b/>
                <w:bCs/>
                <w:lang w:val="en-US"/>
              </w:rPr>
              <w:t>日期</w:t>
            </w:r>
          </w:p>
        </w:tc>
        <w:tc>
          <w:tcPr>
            <w:tcW w:w="3874" w:type="pct"/>
            <w:gridSpan w:val="3"/>
            <w:tcBorders>
              <w:top w:val="single" w:sz="6" w:space="0" w:color="000000"/>
              <w:left w:val="single" w:sz="6" w:space="0" w:color="000000"/>
              <w:bottom w:val="single" w:sz="6" w:space="0" w:color="000000"/>
            </w:tcBorders>
            <w:vAlign w:val="center"/>
          </w:tcPr>
          <w:p w14:paraId="6C252084" w14:textId="77777777" w:rsidR="00327542" w:rsidRDefault="00000000">
            <w:pPr>
              <w:pStyle w:val="TableParagraph"/>
              <w:spacing w:line="410" w:lineRule="exact"/>
              <w:rPr>
                <w:rFonts w:hint="eastAsia"/>
                <w:lang w:val="en-US"/>
              </w:rPr>
            </w:pPr>
            <w:r>
              <w:rPr>
                <w:rFonts w:hint="eastAsia"/>
                <w:lang w:val="en-US"/>
              </w:rPr>
              <w:t>2026年3月3日至27日</w:t>
            </w:r>
          </w:p>
        </w:tc>
      </w:tr>
      <w:tr w:rsidR="00327542" w14:paraId="5D8B6232" w14:textId="77777777">
        <w:trPr>
          <w:trHeight w:val="1875"/>
          <w:jc w:val="center"/>
        </w:trPr>
        <w:tc>
          <w:tcPr>
            <w:tcW w:w="1125" w:type="pct"/>
            <w:tcBorders>
              <w:top w:val="single" w:sz="6" w:space="0" w:color="000000"/>
              <w:bottom w:val="single" w:sz="6" w:space="0" w:color="000000"/>
              <w:right w:val="single" w:sz="6" w:space="0" w:color="000000"/>
            </w:tcBorders>
            <w:vAlign w:val="center"/>
          </w:tcPr>
          <w:p w14:paraId="6880AED7" w14:textId="77777777" w:rsidR="00327542" w:rsidRDefault="00000000">
            <w:pPr>
              <w:pStyle w:val="TableParagraph"/>
              <w:spacing w:line="390" w:lineRule="exact"/>
              <w:ind w:firstLineChars="100" w:firstLine="221"/>
              <w:rPr>
                <w:rFonts w:hint="eastAsia"/>
                <w:b/>
                <w:bCs/>
                <w:lang w:val="en-US"/>
              </w:rPr>
            </w:pPr>
            <w:r>
              <w:rPr>
                <w:rFonts w:hint="eastAsia"/>
                <w:b/>
                <w:bCs/>
                <w:lang w:val="en-US"/>
              </w:rPr>
              <w:t>重要提示</w:t>
            </w:r>
          </w:p>
        </w:tc>
        <w:tc>
          <w:tcPr>
            <w:tcW w:w="3874" w:type="pct"/>
            <w:gridSpan w:val="3"/>
            <w:tcBorders>
              <w:top w:val="single" w:sz="6" w:space="0" w:color="000000"/>
              <w:left w:val="single" w:sz="6" w:space="0" w:color="000000"/>
              <w:bottom w:val="single" w:sz="6" w:space="0" w:color="000000"/>
            </w:tcBorders>
            <w:vAlign w:val="center"/>
          </w:tcPr>
          <w:p w14:paraId="6BB85D86" w14:textId="77777777" w:rsidR="00327542" w:rsidRDefault="00000000">
            <w:pPr>
              <w:pStyle w:val="TableParagraph"/>
              <w:spacing w:line="410" w:lineRule="exact"/>
              <w:ind w:right="227"/>
              <w:jc w:val="both"/>
              <w:rPr>
                <w:rFonts w:hint="eastAsia"/>
                <w:b/>
                <w:bCs/>
                <w:lang w:val="en-US"/>
              </w:rPr>
            </w:pPr>
            <w:r>
              <w:rPr>
                <w:rFonts w:hint="eastAsia"/>
                <w:b/>
                <w:bCs/>
                <w:lang w:val="en-US"/>
              </w:rPr>
              <w:t>公司郑重提醒如下：</w:t>
            </w:r>
          </w:p>
          <w:p w14:paraId="412BE317" w14:textId="77777777" w:rsidR="00327542" w:rsidRDefault="00000000">
            <w:pPr>
              <w:pStyle w:val="TableParagraph"/>
              <w:spacing w:line="410" w:lineRule="exact"/>
              <w:ind w:right="227" w:firstLineChars="200" w:firstLine="442"/>
              <w:jc w:val="both"/>
              <w:rPr>
                <w:rFonts w:hint="eastAsia"/>
                <w:b/>
                <w:bCs/>
                <w:lang w:val="en-US"/>
              </w:rPr>
            </w:pPr>
            <w:r>
              <w:rPr>
                <w:rFonts w:hint="eastAsia"/>
                <w:b/>
                <w:bCs/>
                <w:lang w:val="en-US"/>
              </w:rPr>
              <w:t>参与单位和人员由组织机构整理提供，鉴于参与单位和人员的数量较多，公司无法完全保证参与单位和人员的完整性、准确性，敬请投资者特别注意。</w:t>
            </w:r>
          </w:p>
          <w:p w14:paraId="62701288" w14:textId="77777777" w:rsidR="00327542" w:rsidRDefault="00000000">
            <w:pPr>
              <w:pStyle w:val="TableParagraph"/>
              <w:spacing w:line="410" w:lineRule="exact"/>
              <w:ind w:right="227" w:firstLineChars="200" w:firstLine="442"/>
              <w:jc w:val="both"/>
              <w:rPr>
                <w:rFonts w:hint="eastAsia"/>
                <w:b/>
                <w:bCs/>
                <w:lang w:val="en-US"/>
              </w:rPr>
            </w:pPr>
            <w:r>
              <w:rPr>
                <w:rFonts w:hint="eastAsia"/>
                <w:b/>
                <w:bCs/>
                <w:lang w:val="en-US"/>
              </w:rPr>
              <w:t>以上内容如涉及行业预测</w:t>
            </w:r>
            <w:proofErr w:type="gramStart"/>
            <w:r>
              <w:rPr>
                <w:rFonts w:hint="eastAsia"/>
                <w:b/>
                <w:bCs/>
                <w:lang w:val="en-US"/>
              </w:rPr>
              <w:t>研</w:t>
            </w:r>
            <w:proofErr w:type="gramEnd"/>
            <w:r>
              <w:rPr>
                <w:rFonts w:hint="eastAsia"/>
                <w:b/>
                <w:bCs/>
                <w:lang w:val="en-US"/>
              </w:rPr>
              <w:t>判、公司发展战略、公司经营计划等相关内容，均不构成公司的实质性承诺和保证，敬请广大投资者审慎决策，理性投资，注意风险。</w:t>
            </w:r>
          </w:p>
        </w:tc>
      </w:tr>
    </w:tbl>
    <w:p w14:paraId="2C3A3B09" w14:textId="77777777" w:rsidR="00327542" w:rsidRDefault="00327542">
      <w:pPr>
        <w:spacing w:line="390" w:lineRule="exact"/>
        <w:rPr>
          <w:rFonts w:hint="eastAsia"/>
        </w:rPr>
      </w:pPr>
    </w:p>
    <w:sectPr w:rsidR="0032754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2E78"/>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27542"/>
    <w:rsid w:val="00382DEE"/>
    <w:rsid w:val="00393382"/>
    <w:rsid w:val="003A0D3D"/>
    <w:rsid w:val="00427279"/>
    <w:rsid w:val="00430D32"/>
    <w:rsid w:val="00451F63"/>
    <w:rsid w:val="00454B1E"/>
    <w:rsid w:val="00484D5D"/>
    <w:rsid w:val="004D3A8C"/>
    <w:rsid w:val="004F3CD1"/>
    <w:rsid w:val="00504925"/>
    <w:rsid w:val="00523918"/>
    <w:rsid w:val="00535CFB"/>
    <w:rsid w:val="005539A0"/>
    <w:rsid w:val="00584537"/>
    <w:rsid w:val="005B2C6A"/>
    <w:rsid w:val="005E3F93"/>
    <w:rsid w:val="005E6EE3"/>
    <w:rsid w:val="00621968"/>
    <w:rsid w:val="00623D63"/>
    <w:rsid w:val="00630ED4"/>
    <w:rsid w:val="00632DFC"/>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762F4"/>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1F3E"/>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2078EB"/>
    <w:rsid w:val="01396E1E"/>
    <w:rsid w:val="015F5965"/>
    <w:rsid w:val="017B7436"/>
    <w:rsid w:val="01A52705"/>
    <w:rsid w:val="01B464A4"/>
    <w:rsid w:val="01BB5A85"/>
    <w:rsid w:val="01C26E13"/>
    <w:rsid w:val="020E02AA"/>
    <w:rsid w:val="02203B3A"/>
    <w:rsid w:val="022C24DE"/>
    <w:rsid w:val="02346ABB"/>
    <w:rsid w:val="024C18BD"/>
    <w:rsid w:val="02714395"/>
    <w:rsid w:val="02910C29"/>
    <w:rsid w:val="02C75822"/>
    <w:rsid w:val="02CE17E8"/>
    <w:rsid w:val="02F92D08"/>
    <w:rsid w:val="03023B12"/>
    <w:rsid w:val="033E071B"/>
    <w:rsid w:val="03433F84"/>
    <w:rsid w:val="034A5312"/>
    <w:rsid w:val="034F46D6"/>
    <w:rsid w:val="03667C72"/>
    <w:rsid w:val="03B60BF9"/>
    <w:rsid w:val="0405748B"/>
    <w:rsid w:val="04073203"/>
    <w:rsid w:val="04365896"/>
    <w:rsid w:val="04453B3A"/>
    <w:rsid w:val="045035FE"/>
    <w:rsid w:val="045C354F"/>
    <w:rsid w:val="048E6375"/>
    <w:rsid w:val="04A76B24"/>
    <w:rsid w:val="04D8694E"/>
    <w:rsid w:val="04F012CE"/>
    <w:rsid w:val="050E4DFB"/>
    <w:rsid w:val="05151950"/>
    <w:rsid w:val="05387E70"/>
    <w:rsid w:val="054D733B"/>
    <w:rsid w:val="055D6392"/>
    <w:rsid w:val="056A3A4A"/>
    <w:rsid w:val="05777F14"/>
    <w:rsid w:val="059005EC"/>
    <w:rsid w:val="05A607FA"/>
    <w:rsid w:val="05B169EF"/>
    <w:rsid w:val="05C80770"/>
    <w:rsid w:val="062F6A41"/>
    <w:rsid w:val="064A7E58"/>
    <w:rsid w:val="06606C84"/>
    <w:rsid w:val="06652463"/>
    <w:rsid w:val="068943A3"/>
    <w:rsid w:val="06930D7E"/>
    <w:rsid w:val="069517C3"/>
    <w:rsid w:val="0696261C"/>
    <w:rsid w:val="06A66D03"/>
    <w:rsid w:val="06C87A51"/>
    <w:rsid w:val="070954E4"/>
    <w:rsid w:val="073D0CEA"/>
    <w:rsid w:val="074B1659"/>
    <w:rsid w:val="07577FFE"/>
    <w:rsid w:val="076444C8"/>
    <w:rsid w:val="0790350F"/>
    <w:rsid w:val="07953C33"/>
    <w:rsid w:val="0797489E"/>
    <w:rsid w:val="07DB082D"/>
    <w:rsid w:val="07FE66CB"/>
    <w:rsid w:val="080A1514"/>
    <w:rsid w:val="081C23EE"/>
    <w:rsid w:val="08314658"/>
    <w:rsid w:val="086A722B"/>
    <w:rsid w:val="0874698D"/>
    <w:rsid w:val="08D13DE0"/>
    <w:rsid w:val="094767FF"/>
    <w:rsid w:val="095523FA"/>
    <w:rsid w:val="09AB4631"/>
    <w:rsid w:val="09CB00D1"/>
    <w:rsid w:val="09D02FE3"/>
    <w:rsid w:val="0A3C34DB"/>
    <w:rsid w:val="0A6842D0"/>
    <w:rsid w:val="0A6A68E8"/>
    <w:rsid w:val="0A7E1D45"/>
    <w:rsid w:val="0AB1211B"/>
    <w:rsid w:val="0AD019C3"/>
    <w:rsid w:val="0B143E90"/>
    <w:rsid w:val="0B372620"/>
    <w:rsid w:val="0B3F3282"/>
    <w:rsid w:val="0B7373D0"/>
    <w:rsid w:val="0BCB2D68"/>
    <w:rsid w:val="0BCB667F"/>
    <w:rsid w:val="0C2C33CB"/>
    <w:rsid w:val="0C3721AC"/>
    <w:rsid w:val="0C48085D"/>
    <w:rsid w:val="0C54227B"/>
    <w:rsid w:val="0C6D1CE1"/>
    <w:rsid w:val="0C7358DA"/>
    <w:rsid w:val="0C767F6B"/>
    <w:rsid w:val="0C7B653C"/>
    <w:rsid w:val="0C8D626F"/>
    <w:rsid w:val="0CC7352F"/>
    <w:rsid w:val="0D0D37A8"/>
    <w:rsid w:val="0D295F98"/>
    <w:rsid w:val="0D35493D"/>
    <w:rsid w:val="0D436730"/>
    <w:rsid w:val="0D5200C9"/>
    <w:rsid w:val="0D88200D"/>
    <w:rsid w:val="0D9553DC"/>
    <w:rsid w:val="0D9F625A"/>
    <w:rsid w:val="0E107158"/>
    <w:rsid w:val="0E4F36CC"/>
    <w:rsid w:val="0EA578A0"/>
    <w:rsid w:val="0EA77ABC"/>
    <w:rsid w:val="0EB16245"/>
    <w:rsid w:val="0EC3241C"/>
    <w:rsid w:val="0EC95C85"/>
    <w:rsid w:val="0EDC703A"/>
    <w:rsid w:val="0EF44384"/>
    <w:rsid w:val="0F0A1DF9"/>
    <w:rsid w:val="0F29227F"/>
    <w:rsid w:val="0F2E7C9C"/>
    <w:rsid w:val="0F3A0791"/>
    <w:rsid w:val="0F451083"/>
    <w:rsid w:val="0F56503F"/>
    <w:rsid w:val="0F6E05DA"/>
    <w:rsid w:val="0F953184"/>
    <w:rsid w:val="0FC621C4"/>
    <w:rsid w:val="0FC65D20"/>
    <w:rsid w:val="0FF01911"/>
    <w:rsid w:val="0FFF1232"/>
    <w:rsid w:val="10003D03"/>
    <w:rsid w:val="100D394F"/>
    <w:rsid w:val="1027004B"/>
    <w:rsid w:val="10305890"/>
    <w:rsid w:val="105B0B5E"/>
    <w:rsid w:val="105E064F"/>
    <w:rsid w:val="108005C5"/>
    <w:rsid w:val="10817E99"/>
    <w:rsid w:val="1090632E"/>
    <w:rsid w:val="109B53FF"/>
    <w:rsid w:val="10B262A5"/>
    <w:rsid w:val="10B4026F"/>
    <w:rsid w:val="10D47958"/>
    <w:rsid w:val="10D73F5D"/>
    <w:rsid w:val="10EC7A09"/>
    <w:rsid w:val="10F863AD"/>
    <w:rsid w:val="11034D52"/>
    <w:rsid w:val="11365128"/>
    <w:rsid w:val="11496C09"/>
    <w:rsid w:val="114A2981"/>
    <w:rsid w:val="1158509E"/>
    <w:rsid w:val="115E01DA"/>
    <w:rsid w:val="118714DF"/>
    <w:rsid w:val="118E0AC0"/>
    <w:rsid w:val="11A42091"/>
    <w:rsid w:val="11BF511D"/>
    <w:rsid w:val="11C354DA"/>
    <w:rsid w:val="125E5E40"/>
    <w:rsid w:val="12745F08"/>
    <w:rsid w:val="12D509AD"/>
    <w:rsid w:val="12EC2D08"/>
    <w:rsid w:val="1300779B"/>
    <w:rsid w:val="134753CA"/>
    <w:rsid w:val="13B30CB1"/>
    <w:rsid w:val="13D11138"/>
    <w:rsid w:val="13DD5D2E"/>
    <w:rsid w:val="13E0137B"/>
    <w:rsid w:val="13E642B7"/>
    <w:rsid w:val="14074B59"/>
    <w:rsid w:val="14101C60"/>
    <w:rsid w:val="14223741"/>
    <w:rsid w:val="147E306D"/>
    <w:rsid w:val="148F7029"/>
    <w:rsid w:val="14AE3227"/>
    <w:rsid w:val="14C747AB"/>
    <w:rsid w:val="14D25167"/>
    <w:rsid w:val="14F74BCE"/>
    <w:rsid w:val="15001CD4"/>
    <w:rsid w:val="153E0A4F"/>
    <w:rsid w:val="161E0045"/>
    <w:rsid w:val="16210154"/>
    <w:rsid w:val="162437A1"/>
    <w:rsid w:val="16810BF3"/>
    <w:rsid w:val="169A1CB5"/>
    <w:rsid w:val="169E79F7"/>
    <w:rsid w:val="169F376F"/>
    <w:rsid w:val="16B03286"/>
    <w:rsid w:val="16F05D79"/>
    <w:rsid w:val="16F16793"/>
    <w:rsid w:val="1700420E"/>
    <w:rsid w:val="171001C9"/>
    <w:rsid w:val="173E0892"/>
    <w:rsid w:val="17442096"/>
    <w:rsid w:val="1771220A"/>
    <w:rsid w:val="177D51E7"/>
    <w:rsid w:val="178D35C8"/>
    <w:rsid w:val="17B15508"/>
    <w:rsid w:val="17C76AD9"/>
    <w:rsid w:val="17C902F5"/>
    <w:rsid w:val="17CD1C16"/>
    <w:rsid w:val="17DD00AB"/>
    <w:rsid w:val="17E21B65"/>
    <w:rsid w:val="17E51656"/>
    <w:rsid w:val="17F3167D"/>
    <w:rsid w:val="18187335"/>
    <w:rsid w:val="182A7068"/>
    <w:rsid w:val="183879D7"/>
    <w:rsid w:val="183D6D9C"/>
    <w:rsid w:val="183E3F37"/>
    <w:rsid w:val="1869193F"/>
    <w:rsid w:val="18824AD6"/>
    <w:rsid w:val="188C387F"/>
    <w:rsid w:val="18B62EA4"/>
    <w:rsid w:val="18D15DBA"/>
    <w:rsid w:val="18F03E0E"/>
    <w:rsid w:val="18FF22A3"/>
    <w:rsid w:val="191A0E8B"/>
    <w:rsid w:val="19273169"/>
    <w:rsid w:val="19466E27"/>
    <w:rsid w:val="196D545F"/>
    <w:rsid w:val="197C1B46"/>
    <w:rsid w:val="199450E1"/>
    <w:rsid w:val="19B65058"/>
    <w:rsid w:val="1A0318E8"/>
    <w:rsid w:val="1A0F29BA"/>
    <w:rsid w:val="1A3146DE"/>
    <w:rsid w:val="1A3B555D"/>
    <w:rsid w:val="1A566023"/>
    <w:rsid w:val="1A807414"/>
    <w:rsid w:val="1AC11F06"/>
    <w:rsid w:val="1ACE4623"/>
    <w:rsid w:val="1B2915DB"/>
    <w:rsid w:val="1B43291B"/>
    <w:rsid w:val="1B46065D"/>
    <w:rsid w:val="1B5667A8"/>
    <w:rsid w:val="1B796AD5"/>
    <w:rsid w:val="1B9B4505"/>
    <w:rsid w:val="1BCA303C"/>
    <w:rsid w:val="1BD23C9F"/>
    <w:rsid w:val="1C041FBD"/>
    <w:rsid w:val="1C080DA8"/>
    <w:rsid w:val="1C0A3439"/>
    <w:rsid w:val="1C2F4C4D"/>
    <w:rsid w:val="1C5823F6"/>
    <w:rsid w:val="1CA1729E"/>
    <w:rsid w:val="1CB82E95"/>
    <w:rsid w:val="1D0D1432"/>
    <w:rsid w:val="1D2422D8"/>
    <w:rsid w:val="1D295B40"/>
    <w:rsid w:val="1D3139D9"/>
    <w:rsid w:val="1D4D7A81"/>
    <w:rsid w:val="1D9751A0"/>
    <w:rsid w:val="1DF86605"/>
    <w:rsid w:val="1DF919B7"/>
    <w:rsid w:val="1E0D7210"/>
    <w:rsid w:val="1E214681"/>
    <w:rsid w:val="1E2527AC"/>
    <w:rsid w:val="1E2E78B2"/>
    <w:rsid w:val="1E470974"/>
    <w:rsid w:val="1E8F1635"/>
    <w:rsid w:val="1EB15DEE"/>
    <w:rsid w:val="1F091B1C"/>
    <w:rsid w:val="1F417171"/>
    <w:rsid w:val="1F520C33"/>
    <w:rsid w:val="1F7D440A"/>
    <w:rsid w:val="1FC436EF"/>
    <w:rsid w:val="201C373B"/>
    <w:rsid w:val="20280331"/>
    <w:rsid w:val="20360D2B"/>
    <w:rsid w:val="204A474C"/>
    <w:rsid w:val="20607ACB"/>
    <w:rsid w:val="20692C6F"/>
    <w:rsid w:val="209634ED"/>
    <w:rsid w:val="20D12777"/>
    <w:rsid w:val="21076199"/>
    <w:rsid w:val="21260D15"/>
    <w:rsid w:val="214271D1"/>
    <w:rsid w:val="219C0FD7"/>
    <w:rsid w:val="21AE3541"/>
    <w:rsid w:val="222608A0"/>
    <w:rsid w:val="222A213F"/>
    <w:rsid w:val="22433200"/>
    <w:rsid w:val="224A27E1"/>
    <w:rsid w:val="225278E7"/>
    <w:rsid w:val="22850ED9"/>
    <w:rsid w:val="228641B0"/>
    <w:rsid w:val="22941CAE"/>
    <w:rsid w:val="22BD3143"/>
    <w:rsid w:val="22D14C8F"/>
    <w:rsid w:val="22EA7B20"/>
    <w:rsid w:val="233314C7"/>
    <w:rsid w:val="2351194D"/>
    <w:rsid w:val="2369313B"/>
    <w:rsid w:val="238241FC"/>
    <w:rsid w:val="23AE6D9F"/>
    <w:rsid w:val="23C325CA"/>
    <w:rsid w:val="23C860B3"/>
    <w:rsid w:val="240C2350"/>
    <w:rsid w:val="24155071"/>
    <w:rsid w:val="241C01AD"/>
    <w:rsid w:val="24340AE1"/>
    <w:rsid w:val="243F3E9B"/>
    <w:rsid w:val="246649A5"/>
    <w:rsid w:val="246C2EE2"/>
    <w:rsid w:val="247D50F0"/>
    <w:rsid w:val="24945F95"/>
    <w:rsid w:val="249E6E14"/>
    <w:rsid w:val="24A51F50"/>
    <w:rsid w:val="24BC729A"/>
    <w:rsid w:val="24CF3471"/>
    <w:rsid w:val="24D64800"/>
    <w:rsid w:val="24F609FE"/>
    <w:rsid w:val="24FD7FDE"/>
    <w:rsid w:val="25145328"/>
    <w:rsid w:val="25181F7F"/>
    <w:rsid w:val="25445C0D"/>
    <w:rsid w:val="25584F97"/>
    <w:rsid w:val="25826736"/>
    <w:rsid w:val="258C4EBE"/>
    <w:rsid w:val="25CB3C39"/>
    <w:rsid w:val="25CE3729"/>
    <w:rsid w:val="25D36F91"/>
    <w:rsid w:val="25EB42DB"/>
    <w:rsid w:val="25F5515A"/>
    <w:rsid w:val="25F767DC"/>
    <w:rsid w:val="2604539D"/>
    <w:rsid w:val="262670C1"/>
    <w:rsid w:val="265256F1"/>
    <w:rsid w:val="267B565F"/>
    <w:rsid w:val="26BE554B"/>
    <w:rsid w:val="26D134D1"/>
    <w:rsid w:val="26EB3E67"/>
    <w:rsid w:val="26ED4885"/>
    <w:rsid w:val="26F45411"/>
    <w:rsid w:val="273121C1"/>
    <w:rsid w:val="27402404"/>
    <w:rsid w:val="27444F6D"/>
    <w:rsid w:val="27473793"/>
    <w:rsid w:val="274E68CF"/>
    <w:rsid w:val="275A389E"/>
    <w:rsid w:val="27677991"/>
    <w:rsid w:val="277545A1"/>
    <w:rsid w:val="278B7B24"/>
    <w:rsid w:val="279F35CF"/>
    <w:rsid w:val="280F389E"/>
    <w:rsid w:val="282633A8"/>
    <w:rsid w:val="283E6C8E"/>
    <w:rsid w:val="28724840"/>
    <w:rsid w:val="287E4F92"/>
    <w:rsid w:val="28F45255"/>
    <w:rsid w:val="292024ED"/>
    <w:rsid w:val="292F425E"/>
    <w:rsid w:val="294E0E09"/>
    <w:rsid w:val="298A6873"/>
    <w:rsid w:val="29A46172"/>
    <w:rsid w:val="29F00112"/>
    <w:rsid w:val="2A043BBD"/>
    <w:rsid w:val="2A24600D"/>
    <w:rsid w:val="2A732C8B"/>
    <w:rsid w:val="2AA902C1"/>
    <w:rsid w:val="2ACA0BCA"/>
    <w:rsid w:val="2ADC2444"/>
    <w:rsid w:val="2AE00186"/>
    <w:rsid w:val="2B0100FD"/>
    <w:rsid w:val="2B027480"/>
    <w:rsid w:val="2B2D7144"/>
    <w:rsid w:val="2B3B360F"/>
    <w:rsid w:val="2B517236"/>
    <w:rsid w:val="2B9E76FA"/>
    <w:rsid w:val="2BA2368E"/>
    <w:rsid w:val="2BCE6231"/>
    <w:rsid w:val="2BD001FB"/>
    <w:rsid w:val="2C581F9E"/>
    <w:rsid w:val="2C7548FE"/>
    <w:rsid w:val="2C8608B9"/>
    <w:rsid w:val="2C8B71C7"/>
    <w:rsid w:val="2C8C39F6"/>
    <w:rsid w:val="2CA945A8"/>
    <w:rsid w:val="2CB27900"/>
    <w:rsid w:val="2CC97E56"/>
    <w:rsid w:val="2CE30BDD"/>
    <w:rsid w:val="2D0F6B01"/>
    <w:rsid w:val="2D2307FE"/>
    <w:rsid w:val="2D3C366E"/>
    <w:rsid w:val="2D574004"/>
    <w:rsid w:val="2D72626E"/>
    <w:rsid w:val="2DB63420"/>
    <w:rsid w:val="2DB75880"/>
    <w:rsid w:val="2DCD42C6"/>
    <w:rsid w:val="2DD438A6"/>
    <w:rsid w:val="2DF13201"/>
    <w:rsid w:val="2DF87595"/>
    <w:rsid w:val="2E093550"/>
    <w:rsid w:val="2E224612"/>
    <w:rsid w:val="2E255EB0"/>
    <w:rsid w:val="2E7E623A"/>
    <w:rsid w:val="2E84707B"/>
    <w:rsid w:val="2E89643F"/>
    <w:rsid w:val="2E8C5F2F"/>
    <w:rsid w:val="2E903C71"/>
    <w:rsid w:val="2EA96AE1"/>
    <w:rsid w:val="2EAE2349"/>
    <w:rsid w:val="2EB15996"/>
    <w:rsid w:val="2EE14754"/>
    <w:rsid w:val="2EE87529"/>
    <w:rsid w:val="2EF22236"/>
    <w:rsid w:val="2F2B1BEC"/>
    <w:rsid w:val="2F542EF1"/>
    <w:rsid w:val="2F601896"/>
    <w:rsid w:val="2F884949"/>
    <w:rsid w:val="2FC736C3"/>
    <w:rsid w:val="2FDD4C94"/>
    <w:rsid w:val="2FF53BE5"/>
    <w:rsid w:val="30032221"/>
    <w:rsid w:val="30332C85"/>
    <w:rsid w:val="3046098A"/>
    <w:rsid w:val="3086532C"/>
    <w:rsid w:val="30A77050"/>
    <w:rsid w:val="30AE4883"/>
    <w:rsid w:val="30B023A9"/>
    <w:rsid w:val="30BA6F50"/>
    <w:rsid w:val="30C61BCC"/>
    <w:rsid w:val="30EC0F07"/>
    <w:rsid w:val="30EF74E3"/>
    <w:rsid w:val="31324B8F"/>
    <w:rsid w:val="313F7C11"/>
    <w:rsid w:val="31593667"/>
    <w:rsid w:val="31A31F0E"/>
    <w:rsid w:val="31CD6F8B"/>
    <w:rsid w:val="31DF0848"/>
    <w:rsid w:val="31E84557"/>
    <w:rsid w:val="31F14A27"/>
    <w:rsid w:val="31F2254D"/>
    <w:rsid w:val="322841C1"/>
    <w:rsid w:val="326F1DF0"/>
    <w:rsid w:val="32832EEF"/>
    <w:rsid w:val="329A50BF"/>
    <w:rsid w:val="329D070B"/>
    <w:rsid w:val="32B617CD"/>
    <w:rsid w:val="32D06D32"/>
    <w:rsid w:val="32E4633A"/>
    <w:rsid w:val="32F21E69"/>
    <w:rsid w:val="32FE389F"/>
    <w:rsid w:val="330259E4"/>
    <w:rsid w:val="330861DE"/>
    <w:rsid w:val="33122EA7"/>
    <w:rsid w:val="33264BA4"/>
    <w:rsid w:val="332B3F69"/>
    <w:rsid w:val="333A41AC"/>
    <w:rsid w:val="333E2504"/>
    <w:rsid w:val="3342038E"/>
    <w:rsid w:val="33492641"/>
    <w:rsid w:val="339F3E6E"/>
    <w:rsid w:val="33A352A1"/>
    <w:rsid w:val="33E25064"/>
    <w:rsid w:val="34060532"/>
    <w:rsid w:val="340C3D9A"/>
    <w:rsid w:val="341669C7"/>
    <w:rsid w:val="34897674"/>
    <w:rsid w:val="349F69BC"/>
    <w:rsid w:val="34A22009"/>
    <w:rsid w:val="34AE4E51"/>
    <w:rsid w:val="34C44675"/>
    <w:rsid w:val="34E24AFB"/>
    <w:rsid w:val="350B22A4"/>
    <w:rsid w:val="3511718E"/>
    <w:rsid w:val="35584DBD"/>
    <w:rsid w:val="356674DA"/>
    <w:rsid w:val="35867B7C"/>
    <w:rsid w:val="35E16362"/>
    <w:rsid w:val="3608233F"/>
    <w:rsid w:val="361E7DB5"/>
    <w:rsid w:val="36525CB0"/>
    <w:rsid w:val="36B44275"/>
    <w:rsid w:val="36BD6A42"/>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26A82"/>
    <w:rsid w:val="38E726E0"/>
    <w:rsid w:val="390037A2"/>
    <w:rsid w:val="39180AEB"/>
    <w:rsid w:val="39264B2C"/>
    <w:rsid w:val="393D286A"/>
    <w:rsid w:val="394C4C39"/>
    <w:rsid w:val="394F0285"/>
    <w:rsid w:val="3951224F"/>
    <w:rsid w:val="39551D3F"/>
    <w:rsid w:val="399C796E"/>
    <w:rsid w:val="39B527DE"/>
    <w:rsid w:val="39C173D5"/>
    <w:rsid w:val="3A005299"/>
    <w:rsid w:val="3A03182B"/>
    <w:rsid w:val="3A0A4C3A"/>
    <w:rsid w:val="3A371445"/>
    <w:rsid w:val="3A43603C"/>
    <w:rsid w:val="3A60099C"/>
    <w:rsid w:val="3A620996"/>
    <w:rsid w:val="3A8A3C6B"/>
    <w:rsid w:val="3A8B383B"/>
    <w:rsid w:val="3AB26D1E"/>
    <w:rsid w:val="3ABA2F1F"/>
    <w:rsid w:val="3AC46CFD"/>
    <w:rsid w:val="3AE0388B"/>
    <w:rsid w:val="3AF1337E"/>
    <w:rsid w:val="3B141786"/>
    <w:rsid w:val="3B2220F5"/>
    <w:rsid w:val="3B273268"/>
    <w:rsid w:val="3B871F58"/>
    <w:rsid w:val="3B8A37F6"/>
    <w:rsid w:val="3BB32D4D"/>
    <w:rsid w:val="3BC27434"/>
    <w:rsid w:val="3BFDD941"/>
    <w:rsid w:val="3C2505B3"/>
    <w:rsid w:val="3C3245BA"/>
    <w:rsid w:val="3C3A521C"/>
    <w:rsid w:val="3C494D52"/>
    <w:rsid w:val="3C552025"/>
    <w:rsid w:val="3C5A141B"/>
    <w:rsid w:val="3CB52AF5"/>
    <w:rsid w:val="3CB60D47"/>
    <w:rsid w:val="3CB70371"/>
    <w:rsid w:val="3CC52D38"/>
    <w:rsid w:val="3CD967E3"/>
    <w:rsid w:val="3CF96E86"/>
    <w:rsid w:val="3D15341C"/>
    <w:rsid w:val="3D2C1326"/>
    <w:rsid w:val="3D536596"/>
    <w:rsid w:val="3D5B18EE"/>
    <w:rsid w:val="3D7F382F"/>
    <w:rsid w:val="3D7F55DD"/>
    <w:rsid w:val="3D89645B"/>
    <w:rsid w:val="3D9A41C5"/>
    <w:rsid w:val="3DCE0312"/>
    <w:rsid w:val="3E14487B"/>
    <w:rsid w:val="3E151A9D"/>
    <w:rsid w:val="3E304B29"/>
    <w:rsid w:val="3E4D72C5"/>
    <w:rsid w:val="3E5D60F8"/>
    <w:rsid w:val="3E5E1696"/>
    <w:rsid w:val="3E770C94"/>
    <w:rsid w:val="3E7964D0"/>
    <w:rsid w:val="3E8E35FE"/>
    <w:rsid w:val="3EB017C6"/>
    <w:rsid w:val="3EBA2645"/>
    <w:rsid w:val="3F514D57"/>
    <w:rsid w:val="3F6D0AAA"/>
    <w:rsid w:val="3F8F762D"/>
    <w:rsid w:val="3FA27361"/>
    <w:rsid w:val="3FC27A03"/>
    <w:rsid w:val="403D352D"/>
    <w:rsid w:val="40550877"/>
    <w:rsid w:val="405D094D"/>
    <w:rsid w:val="407F3B46"/>
    <w:rsid w:val="408F1FDB"/>
    <w:rsid w:val="40DB783A"/>
    <w:rsid w:val="40ED4F53"/>
    <w:rsid w:val="410F31A3"/>
    <w:rsid w:val="4114603C"/>
    <w:rsid w:val="413E7700"/>
    <w:rsid w:val="41456B3D"/>
    <w:rsid w:val="41517290"/>
    <w:rsid w:val="418E780E"/>
    <w:rsid w:val="41D028AB"/>
    <w:rsid w:val="41E9571B"/>
    <w:rsid w:val="41E974C9"/>
    <w:rsid w:val="41F540C0"/>
    <w:rsid w:val="41FA0169"/>
    <w:rsid w:val="420460B1"/>
    <w:rsid w:val="42091919"/>
    <w:rsid w:val="420F2749"/>
    <w:rsid w:val="423A5F76"/>
    <w:rsid w:val="426D00FA"/>
    <w:rsid w:val="4273540D"/>
    <w:rsid w:val="42BD2703"/>
    <w:rsid w:val="42C615B8"/>
    <w:rsid w:val="42F154A6"/>
    <w:rsid w:val="42FE6FA4"/>
    <w:rsid w:val="430F7403"/>
    <w:rsid w:val="43122A4F"/>
    <w:rsid w:val="431237F5"/>
    <w:rsid w:val="43234C5C"/>
    <w:rsid w:val="433C7ACC"/>
    <w:rsid w:val="435117C9"/>
    <w:rsid w:val="435272F0"/>
    <w:rsid w:val="435B2648"/>
    <w:rsid w:val="43713C1A"/>
    <w:rsid w:val="43827BD5"/>
    <w:rsid w:val="439416B6"/>
    <w:rsid w:val="43972F54"/>
    <w:rsid w:val="43A833B4"/>
    <w:rsid w:val="43E4263E"/>
    <w:rsid w:val="4419328C"/>
    <w:rsid w:val="441B5933"/>
    <w:rsid w:val="442944F4"/>
    <w:rsid w:val="443E41B9"/>
    <w:rsid w:val="447D039C"/>
    <w:rsid w:val="44AA4E01"/>
    <w:rsid w:val="44B87280"/>
    <w:rsid w:val="44DA134B"/>
    <w:rsid w:val="44E623E5"/>
    <w:rsid w:val="45012D7B"/>
    <w:rsid w:val="45362EF5"/>
    <w:rsid w:val="455410FD"/>
    <w:rsid w:val="45724BB3"/>
    <w:rsid w:val="45800144"/>
    <w:rsid w:val="45863281"/>
    <w:rsid w:val="4594599D"/>
    <w:rsid w:val="45B222C8"/>
    <w:rsid w:val="45BA7CEA"/>
    <w:rsid w:val="45C142B9"/>
    <w:rsid w:val="45C83899"/>
    <w:rsid w:val="45D43FEC"/>
    <w:rsid w:val="46114F0F"/>
    <w:rsid w:val="465B64BB"/>
    <w:rsid w:val="46D63D94"/>
    <w:rsid w:val="46D83FB0"/>
    <w:rsid w:val="46FF32EA"/>
    <w:rsid w:val="470F29F7"/>
    <w:rsid w:val="47507FEA"/>
    <w:rsid w:val="47590C4D"/>
    <w:rsid w:val="477414D3"/>
    <w:rsid w:val="47874069"/>
    <w:rsid w:val="47897ABA"/>
    <w:rsid w:val="47A15B48"/>
    <w:rsid w:val="47AD0F98"/>
    <w:rsid w:val="47CE2C39"/>
    <w:rsid w:val="48256D81"/>
    <w:rsid w:val="483D231C"/>
    <w:rsid w:val="48600223"/>
    <w:rsid w:val="486615C5"/>
    <w:rsid w:val="48671147"/>
    <w:rsid w:val="486D24D6"/>
    <w:rsid w:val="48763A80"/>
    <w:rsid w:val="48F16866"/>
    <w:rsid w:val="49331971"/>
    <w:rsid w:val="49506441"/>
    <w:rsid w:val="49584F34"/>
    <w:rsid w:val="495950DE"/>
    <w:rsid w:val="496D4E83"/>
    <w:rsid w:val="49A92C07"/>
    <w:rsid w:val="49ED38CE"/>
    <w:rsid w:val="49EF5898"/>
    <w:rsid w:val="49FB248F"/>
    <w:rsid w:val="4A121587"/>
    <w:rsid w:val="4A143551"/>
    <w:rsid w:val="4A4756D4"/>
    <w:rsid w:val="4A4C2CEB"/>
    <w:rsid w:val="4A90104A"/>
    <w:rsid w:val="4ADD3943"/>
    <w:rsid w:val="4B0E61F2"/>
    <w:rsid w:val="4B1B446B"/>
    <w:rsid w:val="4B3E127F"/>
    <w:rsid w:val="4B460B4B"/>
    <w:rsid w:val="4B475260"/>
    <w:rsid w:val="4B78366B"/>
    <w:rsid w:val="4B7F0E9E"/>
    <w:rsid w:val="4BBD5522"/>
    <w:rsid w:val="4BD10EBA"/>
    <w:rsid w:val="4BE56F53"/>
    <w:rsid w:val="4C207C04"/>
    <w:rsid w:val="4C2630C7"/>
    <w:rsid w:val="4C343A36"/>
    <w:rsid w:val="4CA46E0E"/>
    <w:rsid w:val="4CA54934"/>
    <w:rsid w:val="4CAD7FC7"/>
    <w:rsid w:val="4CFB27A6"/>
    <w:rsid w:val="4D3B2BA3"/>
    <w:rsid w:val="4D502AF2"/>
    <w:rsid w:val="4D875DE8"/>
    <w:rsid w:val="4DA9212D"/>
    <w:rsid w:val="4DB36BDD"/>
    <w:rsid w:val="4E10402F"/>
    <w:rsid w:val="4E111574"/>
    <w:rsid w:val="4E437F61"/>
    <w:rsid w:val="4E516B22"/>
    <w:rsid w:val="4E5B79A0"/>
    <w:rsid w:val="4E5C7274"/>
    <w:rsid w:val="4E6D373C"/>
    <w:rsid w:val="4E775E5C"/>
    <w:rsid w:val="4E796078"/>
    <w:rsid w:val="4ED220E5"/>
    <w:rsid w:val="4F043B94"/>
    <w:rsid w:val="4F133DD7"/>
    <w:rsid w:val="4F42290E"/>
    <w:rsid w:val="4F4421E2"/>
    <w:rsid w:val="4F675ED1"/>
    <w:rsid w:val="4F894099"/>
    <w:rsid w:val="4F912F4E"/>
    <w:rsid w:val="4FCB46B2"/>
    <w:rsid w:val="50137E07"/>
    <w:rsid w:val="50327B53"/>
    <w:rsid w:val="5039786D"/>
    <w:rsid w:val="503F0BFC"/>
    <w:rsid w:val="50402A01"/>
    <w:rsid w:val="504A7CCC"/>
    <w:rsid w:val="505B3C87"/>
    <w:rsid w:val="50666188"/>
    <w:rsid w:val="506D5BA1"/>
    <w:rsid w:val="5099655E"/>
    <w:rsid w:val="509B2D47"/>
    <w:rsid w:val="50F96FFC"/>
    <w:rsid w:val="5124051D"/>
    <w:rsid w:val="513E0CF0"/>
    <w:rsid w:val="514048B2"/>
    <w:rsid w:val="514E559A"/>
    <w:rsid w:val="515B7795"/>
    <w:rsid w:val="51694182"/>
    <w:rsid w:val="516E1798"/>
    <w:rsid w:val="518C60C3"/>
    <w:rsid w:val="51B55619"/>
    <w:rsid w:val="51B80C66"/>
    <w:rsid w:val="51C30BDC"/>
    <w:rsid w:val="51C35D1F"/>
    <w:rsid w:val="51C55131"/>
    <w:rsid w:val="51E56C3E"/>
    <w:rsid w:val="52036385"/>
    <w:rsid w:val="52100AA2"/>
    <w:rsid w:val="52224331"/>
    <w:rsid w:val="52315008"/>
    <w:rsid w:val="525766D1"/>
    <w:rsid w:val="5264494A"/>
    <w:rsid w:val="52750905"/>
    <w:rsid w:val="528374C6"/>
    <w:rsid w:val="529424D7"/>
    <w:rsid w:val="5294522F"/>
    <w:rsid w:val="529C40E3"/>
    <w:rsid w:val="52AB1C77"/>
    <w:rsid w:val="52AB5B97"/>
    <w:rsid w:val="52B23907"/>
    <w:rsid w:val="52E57838"/>
    <w:rsid w:val="52EB26AA"/>
    <w:rsid w:val="53000B16"/>
    <w:rsid w:val="530A54F1"/>
    <w:rsid w:val="53166E86"/>
    <w:rsid w:val="5326258A"/>
    <w:rsid w:val="533243C3"/>
    <w:rsid w:val="53346A12"/>
    <w:rsid w:val="533A546C"/>
    <w:rsid w:val="538F3C48"/>
    <w:rsid w:val="53BF3E5F"/>
    <w:rsid w:val="53DF766E"/>
    <w:rsid w:val="53EC4BF7"/>
    <w:rsid w:val="54085ED4"/>
    <w:rsid w:val="541E4EFC"/>
    <w:rsid w:val="542720D3"/>
    <w:rsid w:val="54414F42"/>
    <w:rsid w:val="54426960"/>
    <w:rsid w:val="548A4B3B"/>
    <w:rsid w:val="54B55930"/>
    <w:rsid w:val="54BE2A37"/>
    <w:rsid w:val="54C01DC9"/>
    <w:rsid w:val="54C94F38"/>
    <w:rsid w:val="54CE42D8"/>
    <w:rsid w:val="54D538DD"/>
    <w:rsid w:val="54E83610"/>
    <w:rsid w:val="54F226E1"/>
    <w:rsid w:val="55320D2F"/>
    <w:rsid w:val="55563D32"/>
    <w:rsid w:val="557355CF"/>
    <w:rsid w:val="5583158B"/>
    <w:rsid w:val="55A56229"/>
    <w:rsid w:val="55B65FCD"/>
    <w:rsid w:val="55F54236"/>
    <w:rsid w:val="55F935FB"/>
    <w:rsid w:val="56187F25"/>
    <w:rsid w:val="564451BE"/>
    <w:rsid w:val="566E223B"/>
    <w:rsid w:val="56B7773E"/>
    <w:rsid w:val="56D94B0E"/>
    <w:rsid w:val="574D3BFE"/>
    <w:rsid w:val="5765363E"/>
    <w:rsid w:val="57802226"/>
    <w:rsid w:val="57BE68AA"/>
    <w:rsid w:val="57E207EA"/>
    <w:rsid w:val="58405511"/>
    <w:rsid w:val="586E207E"/>
    <w:rsid w:val="587D5C68"/>
    <w:rsid w:val="58880E3F"/>
    <w:rsid w:val="58B77EC9"/>
    <w:rsid w:val="58C17724"/>
    <w:rsid w:val="58C3686E"/>
    <w:rsid w:val="58D00F8B"/>
    <w:rsid w:val="58D04124"/>
    <w:rsid w:val="58D75E75"/>
    <w:rsid w:val="58D77C23"/>
    <w:rsid w:val="58E660B8"/>
    <w:rsid w:val="59084281"/>
    <w:rsid w:val="592326DD"/>
    <w:rsid w:val="592D018B"/>
    <w:rsid w:val="59305585"/>
    <w:rsid w:val="5943350B"/>
    <w:rsid w:val="597A4A53"/>
    <w:rsid w:val="598853C1"/>
    <w:rsid w:val="59C208D3"/>
    <w:rsid w:val="5A0233C6"/>
    <w:rsid w:val="5A0A04CC"/>
    <w:rsid w:val="5A132EDD"/>
    <w:rsid w:val="5A366BCB"/>
    <w:rsid w:val="5A655703"/>
    <w:rsid w:val="5A737A83"/>
    <w:rsid w:val="5A955E00"/>
    <w:rsid w:val="5A971D60"/>
    <w:rsid w:val="5ACE32A8"/>
    <w:rsid w:val="5AD20FEA"/>
    <w:rsid w:val="5AD25392"/>
    <w:rsid w:val="5B157290"/>
    <w:rsid w:val="5B1F3B03"/>
    <w:rsid w:val="5B70435F"/>
    <w:rsid w:val="5B767BC7"/>
    <w:rsid w:val="5B844C9A"/>
    <w:rsid w:val="5B962018"/>
    <w:rsid w:val="5BC326E1"/>
    <w:rsid w:val="5BD5FD07"/>
    <w:rsid w:val="5C231D38"/>
    <w:rsid w:val="5C245875"/>
    <w:rsid w:val="5C2C2D5F"/>
    <w:rsid w:val="5C337866"/>
    <w:rsid w:val="5C531CB7"/>
    <w:rsid w:val="5C594DF3"/>
    <w:rsid w:val="5C891B7C"/>
    <w:rsid w:val="5CA50038"/>
    <w:rsid w:val="5CCB7615"/>
    <w:rsid w:val="5CD5729F"/>
    <w:rsid w:val="5D170F36"/>
    <w:rsid w:val="5D437F7D"/>
    <w:rsid w:val="5DB1138B"/>
    <w:rsid w:val="5DC53CD5"/>
    <w:rsid w:val="5DDC7654"/>
    <w:rsid w:val="5DF272AD"/>
    <w:rsid w:val="5DF942ED"/>
    <w:rsid w:val="5DFA2580"/>
    <w:rsid w:val="5E0E058B"/>
    <w:rsid w:val="5E116ACE"/>
    <w:rsid w:val="5E194573"/>
    <w:rsid w:val="5E213975"/>
    <w:rsid w:val="5E395D33"/>
    <w:rsid w:val="5E48511F"/>
    <w:rsid w:val="5E5341F0"/>
    <w:rsid w:val="5E563CE0"/>
    <w:rsid w:val="5E5835B4"/>
    <w:rsid w:val="5E6E2DD8"/>
    <w:rsid w:val="5E7E05A8"/>
    <w:rsid w:val="5E8E6FD6"/>
    <w:rsid w:val="5EA63795"/>
    <w:rsid w:val="5EBD5B0D"/>
    <w:rsid w:val="5ED05841"/>
    <w:rsid w:val="5F090D52"/>
    <w:rsid w:val="5F092B01"/>
    <w:rsid w:val="5F2C67EF"/>
    <w:rsid w:val="5F7E529D"/>
    <w:rsid w:val="5F8959EF"/>
    <w:rsid w:val="5FBA204D"/>
    <w:rsid w:val="602A5424"/>
    <w:rsid w:val="603A0079"/>
    <w:rsid w:val="60563B24"/>
    <w:rsid w:val="60620BA5"/>
    <w:rsid w:val="608B4120"/>
    <w:rsid w:val="609B1E7E"/>
    <w:rsid w:val="60A01243"/>
    <w:rsid w:val="61073070"/>
    <w:rsid w:val="6139510F"/>
    <w:rsid w:val="614178AC"/>
    <w:rsid w:val="61534507"/>
    <w:rsid w:val="61717818"/>
    <w:rsid w:val="61860438"/>
    <w:rsid w:val="61926DDD"/>
    <w:rsid w:val="61A92379"/>
    <w:rsid w:val="61AB7E9F"/>
    <w:rsid w:val="61BE64EE"/>
    <w:rsid w:val="61D07906"/>
    <w:rsid w:val="61DA0784"/>
    <w:rsid w:val="61DE0274"/>
    <w:rsid w:val="61FC4B9F"/>
    <w:rsid w:val="620923F0"/>
    <w:rsid w:val="624B51DE"/>
    <w:rsid w:val="627064A9"/>
    <w:rsid w:val="62791D4B"/>
    <w:rsid w:val="627A34A6"/>
    <w:rsid w:val="628A21AA"/>
    <w:rsid w:val="62A35D2B"/>
    <w:rsid w:val="62C51434"/>
    <w:rsid w:val="631D301E"/>
    <w:rsid w:val="637048BF"/>
    <w:rsid w:val="637462DF"/>
    <w:rsid w:val="63870498"/>
    <w:rsid w:val="639A01CB"/>
    <w:rsid w:val="639A641D"/>
    <w:rsid w:val="63B374DF"/>
    <w:rsid w:val="63D538F9"/>
    <w:rsid w:val="63F21DB5"/>
    <w:rsid w:val="640104D5"/>
    <w:rsid w:val="64061D04"/>
    <w:rsid w:val="64485E79"/>
    <w:rsid w:val="644D7933"/>
    <w:rsid w:val="64841E7A"/>
    <w:rsid w:val="6492024A"/>
    <w:rsid w:val="64AF5EF8"/>
    <w:rsid w:val="65164AD9"/>
    <w:rsid w:val="652A37D1"/>
    <w:rsid w:val="65444892"/>
    <w:rsid w:val="65654809"/>
    <w:rsid w:val="65905D2A"/>
    <w:rsid w:val="65AE7F5E"/>
    <w:rsid w:val="65C77271"/>
    <w:rsid w:val="65DC2D1D"/>
    <w:rsid w:val="66326ED8"/>
    <w:rsid w:val="66833198"/>
    <w:rsid w:val="66B6356E"/>
    <w:rsid w:val="66C022F9"/>
    <w:rsid w:val="66D103A8"/>
    <w:rsid w:val="66D6776C"/>
    <w:rsid w:val="66DB2FD4"/>
    <w:rsid w:val="671F5780"/>
    <w:rsid w:val="6744501E"/>
    <w:rsid w:val="674D37A6"/>
    <w:rsid w:val="6780592A"/>
    <w:rsid w:val="678B49FB"/>
    <w:rsid w:val="67980EC5"/>
    <w:rsid w:val="67DB7004"/>
    <w:rsid w:val="68262975"/>
    <w:rsid w:val="683E3F52"/>
    <w:rsid w:val="6855196A"/>
    <w:rsid w:val="6863109A"/>
    <w:rsid w:val="68A51AEC"/>
    <w:rsid w:val="68AD274F"/>
    <w:rsid w:val="68DB3760"/>
    <w:rsid w:val="68EF0FB9"/>
    <w:rsid w:val="69112CDD"/>
    <w:rsid w:val="69196036"/>
    <w:rsid w:val="692429E9"/>
    <w:rsid w:val="69455B2B"/>
    <w:rsid w:val="696E0B50"/>
    <w:rsid w:val="69794D27"/>
    <w:rsid w:val="69943A2E"/>
    <w:rsid w:val="6A002D52"/>
    <w:rsid w:val="6A4A2640"/>
    <w:rsid w:val="6A511FBB"/>
    <w:rsid w:val="6A745C1A"/>
    <w:rsid w:val="6A7774B8"/>
    <w:rsid w:val="6A8E65B0"/>
    <w:rsid w:val="6B19231D"/>
    <w:rsid w:val="6B2A0DA4"/>
    <w:rsid w:val="6B2A277C"/>
    <w:rsid w:val="6B412B59"/>
    <w:rsid w:val="6B6F1F3D"/>
    <w:rsid w:val="6B822A89"/>
    <w:rsid w:val="6B826114"/>
    <w:rsid w:val="6B851187"/>
    <w:rsid w:val="6BA20565"/>
    <w:rsid w:val="6BB65DBE"/>
    <w:rsid w:val="6BC71D79"/>
    <w:rsid w:val="6BEC7A32"/>
    <w:rsid w:val="6C046B2A"/>
    <w:rsid w:val="6C2373DC"/>
    <w:rsid w:val="6C450EF0"/>
    <w:rsid w:val="6C506213"/>
    <w:rsid w:val="6C552A2E"/>
    <w:rsid w:val="6CE8644B"/>
    <w:rsid w:val="6D231231"/>
    <w:rsid w:val="6D264D81"/>
    <w:rsid w:val="6D521B17"/>
    <w:rsid w:val="6D8048D6"/>
    <w:rsid w:val="6D9640F9"/>
    <w:rsid w:val="6D9D0E07"/>
    <w:rsid w:val="6D9E2FAE"/>
    <w:rsid w:val="6DE62094"/>
    <w:rsid w:val="6DEA61F3"/>
    <w:rsid w:val="6E5A6ED5"/>
    <w:rsid w:val="6E5D0773"/>
    <w:rsid w:val="6E6179B3"/>
    <w:rsid w:val="6E7A7577"/>
    <w:rsid w:val="6E9A5523"/>
    <w:rsid w:val="6EA77C40"/>
    <w:rsid w:val="6EAB5982"/>
    <w:rsid w:val="6EAC5256"/>
    <w:rsid w:val="6EAE0FCF"/>
    <w:rsid w:val="6ECF78C3"/>
    <w:rsid w:val="6EF235B1"/>
    <w:rsid w:val="6F0532E4"/>
    <w:rsid w:val="6F215C44"/>
    <w:rsid w:val="6F305E87"/>
    <w:rsid w:val="6F413BF1"/>
    <w:rsid w:val="6F4F630E"/>
    <w:rsid w:val="6F63000B"/>
    <w:rsid w:val="6F66024C"/>
    <w:rsid w:val="6F997ED1"/>
    <w:rsid w:val="6FA0300D"/>
    <w:rsid w:val="6FA128E1"/>
    <w:rsid w:val="6FC00FB9"/>
    <w:rsid w:val="6FC84312"/>
    <w:rsid w:val="6FD20CED"/>
    <w:rsid w:val="6FE56C72"/>
    <w:rsid w:val="700A0487"/>
    <w:rsid w:val="703419A7"/>
    <w:rsid w:val="7073427E"/>
    <w:rsid w:val="707D6EAA"/>
    <w:rsid w:val="70BC3E77"/>
    <w:rsid w:val="70C33179"/>
    <w:rsid w:val="70C76378"/>
    <w:rsid w:val="70E4517B"/>
    <w:rsid w:val="70E76A1A"/>
    <w:rsid w:val="711D243B"/>
    <w:rsid w:val="713B6A1E"/>
    <w:rsid w:val="713C4FB8"/>
    <w:rsid w:val="713D7BC8"/>
    <w:rsid w:val="714B6FA9"/>
    <w:rsid w:val="715E1D8D"/>
    <w:rsid w:val="71674675"/>
    <w:rsid w:val="71C07997"/>
    <w:rsid w:val="71DC0FEA"/>
    <w:rsid w:val="71F80EDE"/>
    <w:rsid w:val="721D0945"/>
    <w:rsid w:val="722F2426"/>
    <w:rsid w:val="724266DE"/>
    <w:rsid w:val="72534367"/>
    <w:rsid w:val="725B321B"/>
    <w:rsid w:val="72671BC0"/>
    <w:rsid w:val="72D134DE"/>
    <w:rsid w:val="7315786E"/>
    <w:rsid w:val="73223D39"/>
    <w:rsid w:val="734F0FD2"/>
    <w:rsid w:val="735008A6"/>
    <w:rsid w:val="736F13E8"/>
    <w:rsid w:val="73905147"/>
    <w:rsid w:val="73B726D3"/>
    <w:rsid w:val="73BA21C4"/>
    <w:rsid w:val="73E55492"/>
    <w:rsid w:val="73E84F83"/>
    <w:rsid w:val="74AB1A1D"/>
    <w:rsid w:val="74C61EAA"/>
    <w:rsid w:val="74C975FB"/>
    <w:rsid w:val="750E6C6B"/>
    <w:rsid w:val="753F6E24"/>
    <w:rsid w:val="75581C94"/>
    <w:rsid w:val="75814171"/>
    <w:rsid w:val="75976C60"/>
    <w:rsid w:val="759D26FD"/>
    <w:rsid w:val="75CE7B37"/>
    <w:rsid w:val="75CF63FA"/>
    <w:rsid w:val="75D92DD5"/>
    <w:rsid w:val="75E654F2"/>
    <w:rsid w:val="761D2E3A"/>
    <w:rsid w:val="76424E14"/>
    <w:rsid w:val="76830F93"/>
    <w:rsid w:val="76A74C81"/>
    <w:rsid w:val="76D147CB"/>
    <w:rsid w:val="76D8312E"/>
    <w:rsid w:val="76E63007"/>
    <w:rsid w:val="76EE28B0"/>
    <w:rsid w:val="76F51E90"/>
    <w:rsid w:val="76F8372F"/>
    <w:rsid w:val="76FD3C10"/>
    <w:rsid w:val="770E4D00"/>
    <w:rsid w:val="771A36A5"/>
    <w:rsid w:val="771A48E1"/>
    <w:rsid w:val="772C33D8"/>
    <w:rsid w:val="775F7911"/>
    <w:rsid w:val="777A7CD5"/>
    <w:rsid w:val="778356EE"/>
    <w:rsid w:val="7795690D"/>
    <w:rsid w:val="77A168FF"/>
    <w:rsid w:val="78572F3F"/>
    <w:rsid w:val="78654DF4"/>
    <w:rsid w:val="7871743B"/>
    <w:rsid w:val="78A51694"/>
    <w:rsid w:val="78AC52A2"/>
    <w:rsid w:val="78C22246"/>
    <w:rsid w:val="78D37FAF"/>
    <w:rsid w:val="78EA354B"/>
    <w:rsid w:val="79435FC4"/>
    <w:rsid w:val="79505FD9"/>
    <w:rsid w:val="79567BC4"/>
    <w:rsid w:val="795F7A95"/>
    <w:rsid w:val="796A01BC"/>
    <w:rsid w:val="796E5F2A"/>
    <w:rsid w:val="79703A50"/>
    <w:rsid w:val="79826CFE"/>
    <w:rsid w:val="798D2B1A"/>
    <w:rsid w:val="79A846F9"/>
    <w:rsid w:val="79AC2001"/>
    <w:rsid w:val="79BB1CDC"/>
    <w:rsid w:val="79C333C8"/>
    <w:rsid w:val="79F20909"/>
    <w:rsid w:val="7A546ECE"/>
    <w:rsid w:val="7A57076C"/>
    <w:rsid w:val="7A592C72"/>
    <w:rsid w:val="7A813A3B"/>
    <w:rsid w:val="7A94376E"/>
    <w:rsid w:val="7AA64929"/>
    <w:rsid w:val="7AB21E46"/>
    <w:rsid w:val="7ABE4C8F"/>
    <w:rsid w:val="7AE069B4"/>
    <w:rsid w:val="7AF20495"/>
    <w:rsid w:val="7AFC3A89"/>
    <w:rsid w:val="7B095400"/>
    <w:rsid w:val="7B1844AE"/>
    <w:rsid w:val="7B6E2211"/>
    <w:rsid w:val="7B75534E"/>
    <w:rsid w:val="7B767318"/>
    <w:rsid w:val="7B8657AD"/>
    <w:rsid w:val="7BDC0A6A"/>
    <w:rsid w:val="7BE95D3C"/>
    <w:rsid w:val="7BFA3AA5"/>
    <w:rsid w:val="7C136915"/>
    <w:rsid w:val="7C15268D"/>
    <w:rsid w:val="7C350F81"/>
    <w:rsid w:val="7C6A0C2B"/>
    <w:rsid w:val="7C833A9B"/>
    <w:rsid w:val="7C8B294F"/>
    <w:rsid w:val="7C8E41ED"/>
    <w:rsid w:val="7CAD20F4"/>
    <w:rsid w:val="7CB5158A"/>
    <w:rsid w:val="7CCF4F32"/>
    <w:rsid w:val="7CE56503"/>
    <w:rsid w:val="7D126BCC"/>
    <w:rsid w:val="7D197F5B"/>
    <w:rsid w:val="7D782ED3"/>
    <w:rsid w:val="7D80447E"/>
    <w:rsid w:val="7D9925BD"/>
    <w:rsid w:val="7E250F14"/>
    <w:rsid w:val="7E266DD3"/>
    <w:rsid w:val="7E2766A8"/>
    <w:rsid w:val="7E355268"/>
    <w:rsid w:val="7E3E411D"/>
    <w:rsid w:val="7E5413FF"/>
    <w:rsid w:val="7E61605D"/>
    <w:rsid w:val="7E6D67B0"/>
    <w:rsid w:val="7E7C2E97"/>
    <w:rsid w:val="7E9A331D"/>
    <w:rsid w:val="7E9C7095"/>
    <w:rsid w:val="7EBF2DF7"/>
    <w:rsid w:val="7ECD724F"/>
    <w:rsid w:val="7EDC7492"/>
    <w:rsid w:val="7EDE6D6F"/>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9906E"/>
  <w15:docId w15:val="{485A5CD3-BFEB-4884-8FDA-82ED8687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style>
  <w:style w:type="paragraph" w:styleId="a4">
    <w:name w:val="Body Text"/>
    <w:basedOn w:val="a"/>
    <w:uiPriority w:val="1"/>
    <w:qFormat/>
    <w:pPr>
      <w:ind w:left="319"/>
    </w:pPr>
    <w:rPr>
      <w:sz w:val="24"/>
      <w:szCs w:val="24"/>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7">
    <w:name w:val="Normal (Web)"/>
    <w:basedOn w:val="a"/>
    <w:semiHidden/>
    <w:unhideWhenUsed/>
    <w:qFormat/>
    <w:pPr>
      <w:spacing w:beforeAutospacing="1" w:afterAutospacing="1"/>
    </w:pPr>
    <w:rPr>
      <w:rFonts w:cs="Times New Roman"/>
      <w:sz w:val="24"/>
      <w:lang w:val="en-US" w:bidi="ar-SA"/>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Strong"/>
    <w:basedOn w:val="a0"/>
    <w:qFormat/>
    <w:rPr>
      <w:b/>
    </w:rPr>
  </w:style>
  <w:style w:type="character" w:styleId="aa">
    <w:name w:val="Emphasis"/>
    <w:basedOn w:val="a0"/>
    <w:qFormat/>
    <w:rPr>
      <w:i/>
    </w:rPr>
  </w:style>
  <w:style w:type="character" w:styleId="ab">
    <w:name w:val="annotation reference"/>
    <w:basedOn w:val="a0"/>
    <w:semiHidden/>
    <w:unhideWhenUsed/>
    <w:qFormat/>
    <w:rPr>
      <w:sz w:val="21"/>
      <w:szCs w:val="21"/>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1">
    <w:name w:val="修订1"/>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1429</Words>
  <Characters>1501</Characters>
  <Application>Microsoft Office Word</Application>
  <DocSecurity>0</DocSecurity>
  <Lines>62</Lines>
  <Paragraphs>68</Paragraphs>
  <ScaleCrop>false</ScaleCrop>
  <Company>HBSC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14</cp:revision>
  <cp:lastPrinted>2025-10-27T01:08:00Z</cp:lastPrinted>
  <dcterms:created xsi:type="dcterms:W3CDTF">2024-01-05T18:18:00Z</dcterms:created>
  <dcterms:modified xsi:type="dcterms:W3CDTF">2026-03-27T08:04:00Z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DC5D1BDE50F84A68A4B268F78EC879B4_13</vt:lpwstr>
  </property>
  <property fmtid="{D5CDD505-2E9C-101B-9397-08002B2CF9AE}" pid="4" name="KSOTemplateDocerSaveRecord">
    <vt:lpwstr>eyJoZGlkIjoiZjBlZDllNjg2NDg3YjdmNzY1NjM3NTgyZGRjMTEzMWMiLCJ1c2VySWQiOiI0Mjc4OTUxNjIifQ==</vt:lpwstr>
  </property>
</Properties>
</file>