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8230" w14:textId="616F25CA" w:rsidR="00AF1270" w:rsidRDefault="003409BB" w:rsidP="009B7515">
      <w:pPr>
        <w:pStyle w:val="1"/>
        <w:jc w:val="center"/>
        <w:rPr>
          <w:rFonts w:ascii="宋体" w:eastAsia="宋体" w:hAnsi="宋体" w:cs="宋体" w:hint="eastAsia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证券代码：</w:t>
      </w:r>
      <w:r w:rsidRPr="00DB06E7">
        <w:rPr>
          <w:rFonts w:ascii="Times New Roman" w:eastAsia="宋体" w:hAnsi="Times New Roman" w:cs="宋体" w:hint="eastAsia"/>
          <w:sz w:val="24"/>
          <w:szCs w:val="24"/>
          <w:lang w:val="en-US"/>
        </w:rPr>
        <w:t>603909</w:t>
      </w:r>
      <w:r w:rsidR="009B7515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       </w:t>
      </w:r>
      <w:r w:rsidR="004D5E96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</w:t>
      </w:r>
      <w:r w:rsidR="009B7515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                    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</w:t>
      </w:r>
      <w:proofErr w:type="gramStart"/>
      <w:r>
        <w:rPr>
          <w:rFonts w:ascii="宋体" w:eastAsia="宋体" w:hAnsi="宋体" w:cs="宋体" w:hint="eastAsia"/>
          <w:sz w:val="24"/>
          <w:szCs w:val="24"/>
          <w:lang w:val="en-US"/>
        </w:rPr>
        <w:t>建发合诚</w:t>
      </w:r>
      <w:proofErr w:type="gramEnd"/>
    </w:p>
    <w:p w14:paraId="03958231" w14:textId="77777777" w:rsidR="00AF1270" w:rsidRDefault="00AF1270">
      <w:pPr>
        <w:spacing w:line="60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3958232" w14:textId="77777777" w:rsidR="00AF1270" w:rsidRDefault="003409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建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发合诚工程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咨询股份有限公司</w:t>
      </w:r>
    </w:p>
    <w:p w14:paraId="03958233" w14:textId="77777777" w:rsidR="00AF1270" w:rsidRDefault="003409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投资者关系活动记录</w:t>
      </w:r>
    </w:p>
    <w:p w14:paraId="50F897F7" w14:textId="63D85140" w:rsidR="00325123" w:rsidRPr="0035665E" w:rsidRDefault="00325123" w:rsidP="00325123">
      <w:pPr>
        <w:jc w:val="right"/>
        <w:rPr>
          <w:rFonts w:ascii="Times New Roman" w:eastAsia="宋体" w:hAnsi="Times New Roman" w:cs="Times New Roman"/>
          <w:sz w:val="24"/>
          <w:szCs w:val="24"/>
          <w:lang w:val="en-US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 xml:space="preserve">                                                      </w:t>
      </w:r>
      <w:r w:rsidRPr="0035665E">
        <w:rPr>
          <w:rFonts w:ascii="Times New Roman" w:eastAsia="宋体" w:hAnsi="Times New Roman" w:cs="Times New Roman"/>
          <w:sz w:val="24"/>
          <w:szCs w:val="24"/>
          <w:lang w:val="en-US"/>
        </w:rPr>
        <w:t>编号：</w:t>
      </w:r>
      <w:r w:rsidRPr="0035665E">
        <w:rPr>
          <w:rFonts w:ascii="Times New Roman" w:eastAsia="宋体" w:hAnsi="Times New Roman" w:cs="Times New Roman"/>
          <w:sz w:val="24"/>
          <w:szCs w:val="24"/>
          <w:lang w:val="en-US"/>
        </w:rPr>
        <w:t>2026-001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624"/>
      </w:tblGrid>
      <w:tr w:rsidR="00AF1270" w14:paraId="0395823A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4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624" w:type="dxa"/>
          </w:tcPr>
          <w:p w14:paraId="03958235" w14:textId="77777777" w:rsidR="00AF1270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03958236" w14:textId="77777777" w:rsidR="00AF1270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Wingdings 2" w:eastAsia="MS Gothic" w:hAnsi="Wingdings 2" w:cs="宋体" w:hint="eastAsia"/>
                    <w:sz w:val="24"/>
                    <w:szCs w:val="24"/>
                  </w:rPr>
                  <w:t>R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03958237" w14:textId="77777777" w:rsidR="00AF1270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03958238" w14:textId="00EFF73B" w:rsidR="00AF127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0AB8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03958239" w14:textId="6A91BB61" w:rsidR="00AF127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D50225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 w:rsidR="00D50225">
              <w:rPr>
                <w:rFonts w:ascii="宋体" w:eastAsia="宋体" w:hAnsi="宋体" w:cs="宋体" w:hint="eastAsia"/>
                <w:sz w:val="24"/>
                <w:szCs w:val="24"/>
              </w:rPr>
              <w:t>（线上交流会）</w:t>
            </w:r>
          </w:p>
        </w:tc>
      </w:tr>
      <w:tr w:rsidR="00AF1270" w14:paraId="0395823D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B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624" w:type="dxa"/>
            <w:vAlign w:val="center"/>
          </w:tcPr>
          <w:p w14:paraId="50BB296C" w14:textId="77777777" w:rsidR="00EE71D3" w:rsidRPr="00896F87" w:rsidRDefault="00EE71D3">
            <w:pPr>
              <w:pStyle w:val="TableParagraph"/>
              <w:spacing w:beforeLines="30" w:before="72" w:afterLines="30" w:after="72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896F8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  <w:r w:rsidRPr="00896F8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、</w:t>
            </w:r>
            <w:r w:rsidR="00EF7CC2" w:rsidRPr="00896F8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中信建投、开源证券</w:t>
            </w:r>
          </w:p>
          <w:p w14:paraId="0395823C" w14:textId="68AD058F" w:rsidR="00AF1270" w:rsidRPr="00EE71D3" w:rsidRDefault="00EE71D3">
            <w:pPr>
              <w:pStyle w:val="TableParagraph"/>
              <w:spacing w:beforeLines="30" w:before="72" w:afterLines="30" w:after="72"/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</w:pPr>
            <w:r w:rsidRPr="00896F8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896F8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、</w:t>
            </w:r>
            <w:r w:rsidR="003409BB" w:rsidRPr="00896F8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线上参与公司</w:t>
            </w:r>
            <w:r w:rsidR="00DB06E7" w:rsidRPr="00896F8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2025</w:t>
            </w:r>
            <w:r w:rsidR="00DB06E7" w:rsidRPr="00896F8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年度业绩暨现金分红说明会的投资者</w:t>
            </w:r>
          </w:p>
        </w:tc>
      </w:tr>
      <w:tr w:rsidR="00AF1270" w14:paraId="03958240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E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624" w:type="dxa"/>
            <w:vAlign w:val="center"/>
          </w:tcPr>
          <w:p w14:paraId="003619AC" w14:textId="37AC7F7D" w:rsidR="00896F87" w:rsidRDefault="00896F87">
            <w:pPr>
              <w:spacing w:beforeLines="30" w:before="72" w:afterLines="30" w:after="72"/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、</w:t>
            </w:r>
            <w:r w:rsidR="00180F28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2026</w:t>
            </w:r>
            <w:r w:rsidR="00180F28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年</w:t>
            </w:r>
            <w:r w:rsidR="003E0F7E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</w:t>
            </w:r>
            <w:r w:rsidR="00180F28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3</w:t>
            </w:r>
            <w:r w:rsidR="00180F28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月</w:t>
            </w:r>
            <w:r w:rsidR="003E0F7E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23</w:t>
            </w:r>
            <w:r w:rsidR="003E0F7E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日及</w:t>
            </w:r>
            <w:r w:rsidR="003E0F7E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26</w:t>
            </w:r>
            <w:r w:rsidR="003E0F7E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日</w:t>
            </w:r>
          </w:p>
          <w:p w14:paraId="0395823F" w14:textId="54594843" w:rsidR="00AF1270" w:rsidRPr="009B7515" w:rsidRDefault="00896F87">
            <w:pPr>
              <w:spacing w:beforeLines="30" w:before="72" w:afterLines="30" w:after="72"/>
              <w:rPr>
                <w:rFonts w:ascii="Times New Roman" w:eastAsiaTheme="minorEastAsia" w:hAnsi="Times New Roman" w:cstheme="minor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、</w:t>
            </w:r>
            <w:r w:rsidR="003409BB" w:rsidRPr="00DB06E7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202</w:t>
            </w:r>
            <w:r w:rsidR="00DB06E7" w:rsidRPr="00DB06E7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6</w:t>
            </w:r>
            <w:r w:rsidR="003409B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 w:rsidR="00DB06E7" w:rsidRPr="00DB06E7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03</w:t>
            </w:r>
            <w:r w:rsidR="003409B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 w:rsidR="00DB06E7" w:rsidRPr="00DB06E7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27</w:t>
            </w:r>
            <w:r w:rsidR="003409B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  <w:r w:rsidR="003409BB" w:rsidRPr="00DB06E7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10</w:t>
            </w:r>
            <w:r w:rsidR="003409B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 w:rsidR="003409BB" w:rsidRPr="00DB06E7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00</w:t>
            </w:r>
            <w:r w:rsidR="003409B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-</w:t>
            </w:r>
            <w:r w:rsidR="003409BB" w:rsidRPr="00DB06E7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11</w:t>
            </w:r>
            <w:r w:rsidR="003409B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 w:rsidR="003409BB" w:rsidRPr="00DB06E7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00</w:t>
            </w:r>
          </w:p>
        </w:tc>
      </w:tr>
      <w:tr w:rsidR="00AF1270" w14:paraId="03958243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1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624" w:type="dxa"/>
            <w:vAlign w:val="center"/>
          </w:tcPr>
          <w:p w14:paraId="06E1A64B" w14:textId="77777777" w:rsidR="00896F87" w:rsidRDefault="00896F87">
            <w:pPr>
              <w:pStyle w:val="TableParagraph"/>
              <w:spacing w:beforeLines="30" w:before="72" w:afterLines="30" w:after="72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96F8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896F87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="00EF7CC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线上会议</w:t>
            </w:r>
          </w:p>
          <w:p w14:paraId="03958242" w14:textId="398A3A0C" w:rsidR="00AF1270" w:rsidRDefault="00896F87">
            <w:pPr>
              <w:pStyle w:val="TableParagraph"/>
              <w:spacing w:beforeLines="30" w:before="72" w:afterLines="30" w:after="72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896F8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896F87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="003409BB">
              <w:rPr>
                <w:rFonts w:asciiTheme="minorEastAsia" w:eastAsiaTheme="minorEastAsia" w:hAnsiTheme="minorEastAsia" w:cs="宋体"/>
                <w:sz w:val="24"/>
                <w:szCs w:val="24"/>
              </w:rPr>
              <w:t>价值在线（</w:t>
            </w:r>
            <w:r w:rsidR="003409BB">
              <w:rPr>
                <w:rFonts w:ascii="Times New Roman" w:eastAsiaTheme="minorEastAsia" w:hAnsi="Times New Roman" w:cs="宋体"/>
                <w:sz w:val="24"/>
                <w:szCs w:val="24"/>
              </w:rPr>
              <w:t>https</w:t>
            </w:r>
            <w:r w:rsidR="003409BB">
              <w:rPr>
                <w:rFonts w:asciiTheme="minorEastAsia" w:eastAsiaTheme="minorEastAsia" w:hAnsiTheme="minorEastAsia" w:cs="宋体"/>
                <w:sz w:val="24"/>
                <w:szCs w:val="24"/>
              </w:rPr>
              <w:t>://</w:t>
            </w:r>
            <w:r w:rsidR="003409BB">
              <w:rPr>
                <w:rFonts w:ascii="Times New Roman" w:eastAsiaTheme="minorEastAsia" w:hAnsi="Times New Roman" w:cs="宋体"/>
                <w:sz w:val="24"/>
                <w:szCs w:val="24"/>
              </w:rPr>
              <w:t>www</w:t>
            </w:r>
            <w:r w:rsidR="003409BB">
              <w:rPr>
                <w:rFonts w:asciiTheme="minorEastAsia" w:eastAsiaTheme="minorEastAsia" w:hAnsiTheme="minorEastAsia" w:cs="宋体"/>
                <w:sz w:val="24"/>
                <w:szCs w:val="24"/>
              </w:rPr>
              <w:t>.</w:t>
            </w:r>
            <w:r w:rsidR="003409BB">
              <w:rPr>
                <w:rFonts w:ascii="Times New Roman" w:eastAsiaTheme="minorEastAsia" w:hAnsi="Times New Roman" w:cs="宋体"/>
                <w:sz w:val="24"/>
                <w:szCs w:val="24"/>
              </w:rPr>
              <w:t>ir</w:t>
            </w:r>
            <w:r w:rsidR="003409BB">
              <w:rPr>
                <w:rFonts w:asciiTheme="minorEastAsia" w:eastAsiaTheme="minorEastAsia" w:hAnsiTheme="minorEastAsia" w:cs="宋体"/>
                <w:sz w:val="24"/>
                <w:szCs w:val="24"/>
              </w:rPr>
              <w:t>-</w:t>
            </w:r>
            <w:r w:rsidR="003409BB">
              <w:rPr>
                <w:rFonts w:ascii="Times New Roman" w:eastAsiaTheme="minorEastAsia" w:hAnsi="Times New Roman" w:cs="宋体"/>
                <w:sz w:val="24"/>
                <w:szCs w:val="24"/>
              </w:rPr>
              <w:t>online</w:t>
            </w:r>
            <w:r w:rsidR="003409BB">
              <w:rPr>
                <w:rFonts w:asciiTheme="minorEastAsia" w:eastAsiaTheme="minorEastAsia" w:hAnsiTheme="minorEastAsia" w:cs="宋体"/>
                <w:sz w:val="24"/>
                <w:szCs w:val="24"/>
              </w:rPr>
              <w:t>.</w:t>
            </w:r>
            <w:r w:rsidR="003409BB">
              <w:rPr>
                <w:rFonts w:ascii="Times New Roman" w:eastAsiaTheme="minorEastAsia" w:hAnsi="Times New Roman" w:cs="宋体"/>
                <w:sz w:val="24"/>
                <w:szCs w:val="24"/>
              </w:rPr>
              <w:t>cn</w:t>
            </w:r>
            <w:r w:rsidR="003409BB">
              <w:rPr>
                <w:rFonts w:asciiTheme="minorEastAsia" w:eastAsiaTheme="minorEastAsia" w:hAnsiTheme="minorEastAsia" w:cs="宋体"/>
                <w:sz w:val="24"/>
                <w:szCs w:val="24"/>
              </w:rPr>
              <w:t>/）网络互动</w:t>
            </w:r>
          </w:p>
        </w:tc>
      </w:tr>
      <w:tr w:rsidR="00AF1270" w14:paraId="03958249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4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624" w:type="dxa"/>
            <w:vAlign w:val="center"/>
          </w:tcPr>
          <w:p w14:paraId="03958245" w14:textId="058DB4D8" w:rsidR="00AF1270" w:rsidRDefault="005672CA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董事兼</w:t>
            </w:r>
            <w:r w:rsidR="003409BB">
              <w:rPr>
                <w:rFonts w:ascii="宋体" w:eastAsia="宋体" w:hAnsi="宋体" w:cs="宋体"/>
                <w:sz w:val="24"/>
                <w:szCs w:val="24"/>
              </w:rPr>
              <w:t>总经理黄和</w:t>
            </w:r>
            <w:proofErr w:type="gramStart"/>
            <w:r w:rsidR="003409BB">
              <w:rPr>
                <w:rFonts w:ascii="宋体" w:eastAsia="宋体" w:hAnsi="宋体" w:cs="宋体"/>
                <w:sz w:val="24"/>
                <w:szCs w:val="24"/>
              </w:rPr>
              <w:t>宾</w:t>
            </w:r>
            <w:proofErr w:type="gramEnd"/>
          </w:p>
          <w:p w14:paraId="03958246" w14:textId="285F69A8" w:rsidR="00AF127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独立董事林朝南</w:t>
            </w:r>
          </w:p>
          <w:p w14:paraId="5B3FAEE2" w14:textId="6BFC0DC4" w:rsidR="00DB06E7" w:rsidRDefault="00DB06E7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总经理康明旭</w:t>
            </w:r>
          </w:p>
          <w:p w14:paraId="03958247" w14:textId="52E0F922" w:rsidR="00AF127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董事会秘</w:t>
            </w:r>
            <w:r w:rsidR="00B87B02">
              <w:rPr>
                <w:rFonts w:ascii="宋体" w:eastAsia="宋体" w:hAnsi="宋体" w:cs="宋体" w:hint="eastAsia"/>
                <w:sz w:val="24"/>
                <w:szCs w:val="24"/>
              </w:rPr>
              <w:t>书</w:t>
            </w:r>
            <w:r w:rsidR="00DB06E7">
              <w:rPr>
                <w:rFonts w:ascii="宋体" w:eastAsia="宋体" w:hAnsi="宋体" w:cs="宋体" w:hint="eastAsia"/>
                <w:sz w:val="24"/>
                <w:szCs w:val="24"/>
              </w:rPr>
              <w:t>何璇</w:t>
            </w:r>
          </w:p>
          <w:p w14:paraId="03958248" w14:textId="174DFBD1" w:rsidR="00EF089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财务总监刘晓玲</w:t>
            </w:r>
          </w:p>
        </w:tc>
      </w:tr>
      <w:tr w:rsidR="00AF1270" w14:paraId="0395825E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A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</w:t>
            </w:r>
          </w:p>
          <w:p w14:paraId="0395824B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主要内容介绍</w:t>
            </w:r>
          </w:p>
        </w:tc>
        <w:tc>
          <w:tcPr>
            <w:tcW w:w="6624" w:type="dxa"/>
          </w:tcPr>
          <w:p w14:paraId="0395824C" w14:textId="547461AE" w:rsidR="00AF1270" w:rsidRDefault="003409BB" w:rsidP="00DB06E7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B06E7">
              <w:rPr>
                <w:rFonts w:ascii="Times New Roman" w:eastAsia="宋体" w:hAnsi="Times New Roman" w:cs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DB06E7" w:rsidRPr="00DB06E7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公司工程医院目前什么进展，未来怎么看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</w:p>
          <w:p w14:paraId="749A70D2" w14:textId="77777777" w:rsidR="00DB06E7" w:rsidRPr="00DB06E7" w:rsidRDefault="003409BB" w:rsidP="00DB06E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建</w:t>
            </w:r>
            <w:proofErr w:type="gramStart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发合诚针对</w:t>
            </w:r>
            <w:proofErr w:type="gramEnd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在役工程的</w:t>
            </w:r>
            <w:proofErr w:type="gramStart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安全运</w:t>
            </w:r>
            <w:proofErr w:type="gramEnd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维迫切需求，整合检测、设计、</w:t>
            </w:r>
            <w:proofErr w:type="gramStart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维养一体化</w:t>
            </w:r>
            <w:proofErr w:type="gramEnd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资源，着力打造“建发合诚工程医院”，构建了覆盖工程全生命周期的“检测-诊断-设计-施工-运维”闭环，实现全链条价值锁定。通过前端对在役工程的智能检测与监测精准识别隐患，中</w:t>
            </w:r>
            <w:proofErr w:type="gramStart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端提供</w:t>
            </w:r>
            <w:proofErr w:type="gramEnd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加固方案设计与施工，后端为在役工程提供运维及预警服务，形成完整的业务闭环。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年度，工程医院相关业务新签合同额达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3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7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亿元，同比增长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115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%。</w:t>
            </w:r>
          </w:p>
          <w:p w14:paraId="0395824D" w14:textId="63E71502" w:rsidR="00AF1270" w:rsidRDefault="00DB06E7" w:rsidP="00DB06E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B06E7">
              <w:rPr>
                <w:rFonts w:ascii="宋体" w:eastAsia="宋体" w:hAnsi="宋体" w:cs="宋体" w:hint="eastAsia"/>
                <w:sz w:val="24"/>
                <w:szCs w:val="24"/>
              </w:rPr>
              <w:t>未来，随着我国基础设施从大规模新建工程向在役工程（存量工程）运维转换，市场需求将持续扩大。公司以工程医院为载体，持续推动技术与服务升级；依托合</w:t>
            </w:r>
            <w:proofErr w:type="gramStart"/>
            <w:r w:rsidRPr="00DB06E7">
              <w:rPr>
                <w:rFonts w:ascii="宋体" w:eastAsia="宋体" w:hAnsi="宋体" w:cs="宋体" w:hint="eastAsia"/>
                <w:sz w:val="24"/>
                <w:szCs w:val="24"/>
              </w:rPr>
              <w:t>诚数智云</w:t>
            </w:r>
            <w:proofErr w:type="gramEnd"/>
            <w:r w:rsidRPr="00DB06E7">
              <w:rPr>
                <w:rFonts w:ascii="宋体" w:eastAsia="宋体" w:hAnsi="宋体" w:cs="宋体" w:hint="eastAsia"/>
                <w:sz w:val="24"/>
                <w:szCs w:val="24"/>
              </w:rPr>
              <w:t>平台，并通过数</w:t>
            </w:r>
            <w:r w:rsidRPr="00DB06E7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据积累叠加AI算法大模型，为服务持续升级奠定坚实基础，打造公司差异化竞争优势。</w:t>
            </w:r>
          </w:p>
          <w:p w14:paraId="0395824E" w14:textId="75F6D1E0" w:rsidR="00AF1270" w:rsidRDefault="003409BB" w:rsidP="00314CFE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DB06E7">
              <w:rPr>
                <w:rFonts w:ascii="Times New Roman" w:eastAsia="宋体" w:hAnsi="Times New Roman" w:cs="宋体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DB06E7" w:rsidRPr="00DB06E7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公司对福建省外的业务是如何布局的？未来新拓展哪些区域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</w:p>
          <w:p w14:paraId="3E48F53D" w14:textId="77777777" w:rsidR="00DB06E7" w:rsidRPr="00DB06E7" w:rsidRDefault="003409BB" w:rsidP="00314CFE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目前，公司工程监理、试验检测、勘察设计等工程咨询业务已基本实现全国化布局；建筑施工业务依托控股股东的全国布局统筹推进，重点聚焦长江以南区域，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年浙江省区域收入</w:t>
            </w:r>
            <w:proofErr w:type="gramStart"/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占比较</w:t>
            </w:r>
            <w:proofErr w:type="gramEnd"/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高。</w:t>
            </w:r>
          </w:p>
          <w:p w14:paraId="0395824F" w14:textId="0FF50A3E" w:rsidR="00AF1270" w:rsidRDefault="00DB06E7" w:rsidP="00314CFE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2026</w:t>
            </w:r>
            <w:r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年，公司设立华东、华北、西南三大事业部，将以华东、华北、西南等区域为重点拓展方向，通过收并购等方式持续补强业务资质与本地服务能力，稳步提升区域市场竞争力，实现属地化深耕与可持续发展。</w:t>
            </w:r>
          </w:p>
          <w:p w14:paraId="03958250" w14:textId="23FC0898" w:rsidR="00AF1270" w:rsidRDefault="003409BB" w:rsidP="00314CFE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B06E7">
              <w:rPr>
                <w:rFonts w:ascii="Times New Roman" w:eastAsia="宋体" w:hAnsi="Times New Roman" w:cs="宋体"/>
                <w:b/>
                <w:sz w:val="24"/>
                <w:szCs w:val="24"/>
              </w:rPr>
              <w:t>3</w:t>
            </w:r>
            <w:r w:rsidR="00DB06E7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DB06E7" w:rsidRPr="00DB06E7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公司有涉及房屋体检吗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</w:p>
          <w:p w14:paraId="4F18FE59" w14:textId="77777777" w:rsidR="00DB06E7" w:rsidRPr="00DB06E7" w:rsidRDefault="003409BB" w:rsidP="00314CFE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公司积极布局房屋体检与建筑物安全巡检业务，依托专业检测鉴定资质与“工程医院”一站式服务能力，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年累计为超过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100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个小区开展建筑物安全巡检，重点围绕小区外立面、车行道、公共区域等进行系统性安全排查，并根据排查结果实施针对性的修缮加固与隐患治理，切实提升既有居住建筑的安全品质和住户体验。</w:t>
            </w:r>
          </w:p>
          <w:p w14:paraId="03958251" w14:textId="6A1DE226" w:rsidR="00AF1270" w:rsidRDefault="00DB06E7" w:rsidP="00314CFE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B06E7">
              <w:rPr>
                <w:rFonts w:ascii="宋体" w:eastAsia="宋体" w:hAnsi="宋体" w:cs="宋体" w:hint="eastAsia"/>
                <w:sz w:val="24"/>
                <w:szCs w:val="24"/>
              </w:rPr>
              <w:t>当前，随着存量建筑规模持续扩大、房龄结构不断老化，以及城市更新与安全管理要求的逐步提升，房屋体检与建筑物修缮的市场需求有望进一步释放。公司充分发挥工程全产业链覆盖优势，构建“检测—评估—修缮—运维”一体化的“工程医院”服务体系，持续强化技术与服务能力，增强在存量建筑管理领域的服务深度与响应能力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03958252" w14:textId="4AB34AE4" w:rsidR="00AF1270" w:rsidRDefault="003409BB" w:rsidP="00314CFE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B06E7">
              <w:rPr>
                <w:rFonts w:ascii="Times New Roman" w:eastAsia="宋体" w:hAnsi="Times New Roman" w:cs="宋体"/>
                <w:b/>
                <w:sz w:val="24"/>
                <w:szCs w:val="24"/>
              </w:rPr>
              <w:t>4</w:t>
            </w:r>
            <w:r w:rsidR="00DB06E7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DB06E7" w:rsidRPr="00DB06E7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公司未来对分红怎么考虑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</w:p>
          <w:p w14:paraId="5680D07D" w14:textId="77777777" w:rsidR="00DB06E7" w:rsidRPr="00DB06E7" w:rsidRDefault="003409BB" w:rsidP="00314CFE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公司始终高度重视股东回报，坚持将稳健经营与股东价值最大化相结合，致力于通过可持续的业绩增长与合理的利润分配，与广大投资者共享发展成果。公司严格按照《公司章程》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及《未来三年（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~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2027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年）股东回报规划》执行，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年度现金分红比例为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35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81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%。最近三年（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2023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年-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年）累计现金分红（含回购视同分红）占年均</w:t>
            </w:r>
            <w:proofErr w:type="gramStart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归母净利润</w:t>
            </w:r>
            <w:proofErr w:type="gramEnd"/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的比例达到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101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DB06E7" w:rsidRPr="00DB06E7">
              <w:rPr>
                <w:rFonts w:ascii="Times New Roman" w:eastAsia="宋体" w:hAnsi="Times New Roman" w:cs="宋体" w:hint="eastAsia"/>
                <w:sz w:val="24"/>
                <w:szCs w:val="24"/>
              </w:rPr>
              <w:t>10</w:t>
            </w:r>
            <w:r w:rsidR="00DB06E7" w:rsidRPr="00DB06E7">
              <w:rPr>
                <w:rFonts w:ascii="宋体" w:eastAsia="宋体" w:hAnsi="宋体" w:cs="宋体" w:hint="eastAsia"/>
                <w:sz w:val="24"/>
                <w:szCs w:val="24"/>
              </w:rPr>
              <w:t>%，保持了分配的连续性与稳定性。</w:t>
            </w:r>
          </w:p>
          <w:p w14:paraId="0395825D" w14:textId="1BA28D5E" w:rsidR="00EF7CC2" w:rsidRPr="009B5538" w:rsidRDefault="00DB06E7" w:rsidP="009B5538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B06E7">
              <w:rPr>
                <w:rFonts w:ascii="宋体" w:eastAsia="宋体" w:hAnsi="宋体" w:cs="宋体" w:hint="eastAsia"/>
                <w:sz w:val="24"/>
                <w:szCs w:val="24"/>
              </w:rPr>
              <w:t>未来，公司将积极落实“以投资者为本”的理念，结合公司发展阶段、盈利规模、现金流情况等经营现状以及未来发展资金需求和经营预期，严格执行股东分红回报规划及利润分配政策，为投资者带来长期、稳定的投资回报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AF1270" w14:paraId="03958262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5F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关于本次活动是否涉及</w:t>
            </w:r>
          </w:p>
          <w:p w14:paraId="03958260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应披露重大信息的说明</w:t>
            </w:r>
          </w:p>
        </w:tc>
        <w:tc>
          <w:tcPr>
            <w:tcW w:w="6624" w:type="dxa"/>
            <w:vAlign w:val="center"/>
          </w:tcPr>
          <w:p w14:paraId="03958261" w14:textId="77777777" w:rsidR="00AF1270" w:rsidRDefault="003409BB">
            <w:pPr>
              <w:pStyle w:val="TableParagrap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本次活动不涉及未公开披露的重大信息。</w:t>
            </w:r>
          </w:p>
        </w:tc>
      </w:tr>
      <w:tr w:rsidR="00AF1270" w14:paraId="03958264" w14:textId="77777777" w:rsidTr="003409BB">
        <w:trPr>
          <w:trHeight w:val="397"/>
          <w:jc w:val="center"/>
        </w:trPr>
        <w:tc>
          <w:tcPr>
            <w:tcW w:w="9351" w:type="dxa"/>
            <w:gridSpan w:val="2"/>
            <w:vAlign w:val="center"/>
          </w:tcPr>
          <w:p w14:paraId="03958263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风险提示</w:t>
            </w:r>
          </w:p>
        </w:tc>
      </w:tr>
      <w:tr w:rsidR="00AF1270" w14:paraId="03958266" w14:textId="77777777" w:rsidTr="003409BB">
        <w:trPr>
          <w:trHeight w:val="397"/>
          <w:jc w:val="center"/>
        </w:trPr>
        <w:tc>
          <w:tcPr>
            <w:tcW w:w="9351" w:type="dxa"/>
            <w:gridSpan w:val="2"/>
            <w:vAlign w:val="center"/>
          </w:tcPr>
          <w:p w14:paraId="03958265" w14:textId="77777777" w:rsidR="00AF1270" w:rsidRDefault="003409BB" w:rsidP="003409BB">
            <w:pPr>
              <w:pStyle w:val="TableParagraph"/>
              <w:spacing w:beforeLines="30" w:before="72" w:line="30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以上如涉及对行业的预测、公司发展战略规划等相关内容，不能视作公司或管理层对行业、公司发展或业绩的承诺和保证，敬请广大投资者注意投资风险。</w:t>
            </w:r>
          </w:p>
        </w:tc>
      </w:tr>
    </w:tbl>
    <w:p w14:paraId="0395826A" w14:textId="77777777" w:rsidR="00AF1270" w:rsidRDefault="00AF1270">
      <w:pPr>
        <w:rPr>
          <w:rFonts w:ascii="宋体" w:eastAsia="宋体" w:hAnsi="宋体" w:cs="宋体" w:hint="eastAsia"/>
          <w:sz w:val="28"/>
          <w:szCs w:val="36"/>
        </w:rPr>
      </w:pPr>
    </w:p>
    <w:sectPr w:rsidR="00AF1270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5ACF" w14:textId="77777777" w:rsidR="00D65F72" w:rsidRDefault="00D65F72" w:rsidP="00B87B02">
      <w:pPr>
        <w:rPr>
          <w:rFonts w:hint="eastAsia"/>
        </w:rPr>
      </w:pPr>
      <w:r>
        <w:separator/>
      </w:r>
    </w:p>
  </w:endnote>
  <w:endnote w:type="continuationSeparator" w:id="0">
    <w:p w14:paraId="7FD22DE5" w14:textId="77777777" w:rsidR="00D65F72" w:rsidRDefault="00D65F72" w:rsidP="00B87B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7DD6" w14:textId="77777777" w:rsidR="00D65F72" w:rsidRDefault="00D65F72" w:rsidP="00B87B02">
      <w:pPr>
        <w:rPr>
          <w:rFonts w:hint="eastAsia"/>
        </w:rPr>
      </w:pPr>
      <w:r>
        <w:separator/>
      </w:r>
    </w:p>
  </w:footnote>
  <w:footnote w:type="continuationSeparator" w:id="0">
    <w:p w14:paraId="10B0F697" w14:textId="77777777" w:rsidR="00D65F72" w:rsidRDefault="00D65F72" w:rsidP="00B87B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MDdmNDdlZDNjN2QxZDI1MmM0M2M2ZDBhZjU4NDkifQ=="/>
  </w:docVars>
  <w:rsids>
    <w:rsidRoot w:val="00301D32"/>
    <w:rsid w:val="00026CC3"/>
    <w:rsid w:val="00036089"/>
    <w:rsid w:val="0004362A"/>
    <w:rsid w:val="00053CFA"/>
    <w:rsid w:val="000633EC"/>
    <w:rsid w:val="00063804"/>
    <w:rsid w:val="000665A2"/>
    <w:rsid w:val="00071D52"/>
    <w:rsid w:val="000877AB"/>
    <w:rsid w:val="000B7C08"/>
    <w:rsid w:val="000D12CF"/>
    <w:rsid w:val="000D2D88"/>
    <w:rsid w:val="000E4B20"/>
    <w:rsid w:val="0011418F"/>
    <w:rsid w:val="00124CC0"/>
    <w:rsid w:val="00172C24"/>
    <w:rsid w:val="00180F28"/>
    <w:rsid w:val="001C72E0"/>
    <w:rsid w:val="001E59D1"/>
    <w:rsid w:val="001E5EA4"/>
    <w:rsid w:val="002042A7"/>
    <w:rsid w:val="00205911"/>
    <w:rsid w:val="00205CD6"/>
    <w:rsid w:val="0021064B"/>
    <w:rsid w:val="002146AD"/>
    <w:rsid w:val="00263B1C"/>
    <w:rsid w:val="00275CB6"/>
    <w:rsid w:val="002800B5"/>
    <w:rsid w:val="00295B29"/>
    <w:rsid w:val="002D4073"/>
    <w:rsid w:val="002E7098"/>
    <w:rsid w:val="00301D32"/>
    <w:rsid w:val="00314CFE"/>
    <w:rsid w:val="00325123"/>
    <w:rsid w:val="003409BB"/>
    <w:rsid w:val="0035665E"/>
    <w:rsid w:val="00366FAD"/>
    <w:rsid w:val="0037105B"/>
    <w:rsid w:val="003975BA"/>
    <w:rsid w:val="003A74E6"/>
    <w:rsid w:val="003B73DD"/>
    <w:rsid w:val="003D011C"/>
    <w:rsid w:val="003E0F7E"/>
    <w:rsid w:val="0040731E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D5E96"/>
    <w:rsid w:val="004F6FF3"/>
    <w:rsid w:val="005279DE"/>
    <w:rsid w:val="005672CA"/>
    <w:rsid w:val="00571B49"/>
    <w:rsid w:val="005743AE"/>
    <w:rsid w:val="005D1222"/>
    <w:rsid w:val="005D64CA"/>
    <w:rsid w:val="005E5717"/>
    <w:rsid w:val="005E6DB2"/>
    <w:rsid w:val="005F4094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2DC4"/>
    <w:rsid w:val="00733224"/>
    <w:rsid w:val="00764128"/>
    <w:rsid w:val="007824B8"/>
    <w:rsid w:val="007910DD"/>
    <w:rsid w:val="007A3EC1"/>
    <w:rsid w:val="007B3368"/>
    <w:rsid w:val="007C71E9"/>
    <w:rsid w:val="007D0A69"/>
    <w:rsid w:val="007D5092"/>
    <w:rsid w:val="007D6DC4"/>
    <w:rsid w:val="00822613"/>
    <w:rsid w:val="00850E4C"/>
    <w:rsid w:val="00853463"/>
    <w:rsid w:val="00893F25"/>
    <w:rsid w:val="00895035"/>
    <w:rsid w:val="00896F87"/>
    <w:rsid w:val="008B2B14"/>
    <w:rsid w:val="008C6AED"/>
    <w:rsid w:val="008C7604"/>
    <w:rsid w:val="008E1B27"/>
    <w:rsid w:val="008F5317"/>
    <w:rsid w:val="00903379"/>
    <w:rsid w:val="00906975"/>
    <w:rsid w:val="00917F0B"/>
    <w:rsid w:val="00917F8B"/>
    <w:rsid w:val="00960964"/>
    <w:rsid w:val="00965E4D"/>
    <w:rsid w:val="009B1D5C"/>
    <w:rsid w:val="009B5538"/>
    <w:rsid w:val="009B7515"/>
    <w:rsid w:val="009C2E31"/>
    <w:rsid w:val="009E1955"/>
    <w:rsid w:val="009F120D"/>
    <w:rsid w:val="009F2FBA"/>
    <w:rsid w:val="00A527AA"/>
    <w:rsid w:val="00A5684D"/>
    <w:rsid w:val="00A60AB8"/>
    <w:rsid w:val="00A75C61"/>
    <w:rsid w:val="00A9601B"/>
    <w:rsid w:val="00AD100E"/>
    <w:rsid w:val="00AE1E36"/>
    <w:rsid w:val="00AF1270"/>
    <w:rsid w:val="00AF74AA"/>
    <w:rsid w:val="00B03C2F"/>
    <w:rsid w:val="00B124D6"/>
    <w:rsid w:val="00B15064"/>
    <w:rsid w:val="00B15C3F"/>
    <w:rsid w:val="00B340A3"/>
    <w:rsid w:val="00B410F5"/>
    <w:rsid w:val="00B6280C"/>
    <w:rsid w:val="00B671A4"/>
    <w:rsid w:val="00B72CD4"/>
    <w:rsid w:val="00B85B00"/>
    <w:rsid w:val="00B87B02"/>
    <w:rsid w:val="00B96F27"/>
    <w:rsid w:val="00BF132F"/>
    <w:rsid w:val="00C13878"/>
    <w:rsid w:val="00C2608D"/>
    <w:rsid w:val="00CA1705"/>
    <w:rsid w:val="00CC1D51"/>
    <w:rsid w:val="00CD31EA"/>
    <w:rsid w:val="00CE1A54"/>
    <w:rsid w:val="00CF5FB6"/>
    <w:rsid w:val="00D02518"/>
    <w:rsid w:val="00D17454"/>
    <w:rsid w:val="00D33FBC"/>
    <w:rsid w:val="00D50225"/>
    <w:rsid w:val="00D65F72"/>
    <w:rsid w:val="00D7535C"/>
    <w:rsid w:val="00D76302"/>
    <w:rsid w:val="00D842E9"/>
    <w:rsid w:val="00DA3C29"/>
    <w:rsid w:val="00DA5CE2"/>
    <w:rsid w:val="00DB06E7"/>
    <w:rsid w:val="00DC73E3"/>
    <w:rsid w:val="00DD14BD"/>
    <w:rsid w:val="00DE10E8"/>
    <w:rsid w:val="00E16FDA"/>
    <w:rsid w:val="00E33777"/>
    <w:rsid w:val="00E35F58"/>
    <w:rsid w:val="00E45BD9"/>
    <w:rsid w:val="00E66FFC"/>
    <w:rsid w:val="00E759D6"/>
    <w:rsid w:val="00E84A8C"/>
    <w:rsid w:val="00E976DE"/>
    <w:rsid w:val="00EC0F83"/>
    <w:rsid w:val="00ED46CA"/>
    <w:rsid w:val="00EE3187"/>
    <w:rsid w:val="00EE71D3"/>
    <w:rsid w:val="00EF0890"/>
    <w:rsid w:val="00EF499B"/>
    <w:rsid w:val="00EF7CC2"/>
    <w:rsid w:val="00F14977"/>
    <w:rsid w:val="00F26A02"/>
    <w:rsid w:val="00FB4A08"/>
    <w:rsid w:val="00FC0C2A"/>
    <w:rsid w:val="00FD7F8E"/>
    <w:rsid w:val="00FF11E4"/>
    <w:rsid w:val="04B072D4"/>
    <w:rsid w:val="04B14FFF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79C4B28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522F77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BB96AA0"/>
    <w:rsid w:val="6CC24AB5"/>
    <w:rsid w:val="6D9271B2"/>
    <w:rsid w:val="6E0307C8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A150893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58230"/>
  <w15:docId w15:val="{AD52BCC3-D706-4594-AA6D-D309D32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董事会办公室</cp:lastModifiedBy>
  <cp:revision>45</cp:revision>
  <dcterms:created xsi:type="dcterms:W3CDTF">2022-04-12T06:10:00Z</dcterms:created>
  <dcterms:modified xsi:type="dcterms:W3CDTF">2026-03-27T08:59:00Z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eyJoZGlkIjoiZmNjMDg1ZWJlMjY2ZmI2OGMxMWI5NDhlY2Y0MWJjZTAiLCJ1c2VySWQiOiIzNTQzNzU4NTIifQ==</vt:lpwstr>
  </property>
</Properties>
</file>