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11D7A" w:rsidRDefault="00DE02B1" w:rsidP="007D6E40">
      <w:pPr>
        <w:spacing w:beforeLines="50" w:afterLines="50" w:line="400" w:lineRule="exact"/>
        <w:rPr>
          <w:bCs/>
          <w:iCs/>
          <w:color w:val="000000"/>
          <w:sz w:val="24"/>
        </w:rPr>
      </w:pPr>
      <w:r>
        <w:rPr>
          <w:rFonts w:hAnsi="宋体"/>
          <w:bCs/>
          <w:iCs/>
          <w:color w:val="000000"/>
          <w:sz w:val="24"/>
        </w:rPr>
        <w:t>证券代码：</w:t>
      </w:r>
      <w:r>
        <w:rPr>
          <w:color w:val="000000"/>
          <w:sz w:val="24"/>
        </w:rPr>
        <w:t>603393</w:t>
      </w:r>
      <w:r w:rsidR="007D6E40">
        <w:rPr>
          <w:rFonts w:hint="eastAsia"/>
          <w:color w:val="000000"/>
          <w:sz w:val="24"/>
        </w:rPr>
        <w:t xml:space="preserve">                                 </w:t>
      </w:r>
      <w:r>
        <w:rPr>
          <w:rFonts w:hAnsi="宋体"/>
          <w:bCs/>
          <w:iCs/>
          <w:color w:val="000000"/>
          <w:sz w:val="24"/>
        </w:rPr>
        <w:t>证券简称：</w:t>
      </w:r>
      <w:r>
        <w:rPr>
          <w:color w:val="000000"/>
          <w:sz w:val="24"/>
        </w:rPr>
        <w:t>新天然气</w:t>
      </w:r>
    </w:p>
    <w:p w:rsidR="00C11D7A" w:rsidRDefault="00DE02B1" w:rsidP="007D6E40">
      <w:pPr>
        <w:spacing w:beforeLines="50" w:afterLines="50" w:line="400" w:lineRule="exact"/>
        <w:jc w:val="center"/>
        <w:rPr>
          <w:rFonts w:ascii="宋体" w:hAnsi="宋体"/>
          <w:b/>
          <w:bCs/>
          <w:iCs/>
          <w:color w:val="000000"/>
          <w:sz w:val="32"/>
          <w:szCs w:val="32"/>
        </w:rPr>
      </w:pPr>
      <w:r>
        <w:rPr>
          <w:rFonts w:ascii="宋体" w:hAnsi="宋体"/>
          <w:b/>
          <w:bCs/>
          <w:iCs/>
          <w:color w:val="000000"/>
          <w:sz w:val="32"/>
          <w:szCs w:val="32"/>
        </w:rPr>
        <w:t>新疆鑫泰天然气股份有限公司</w:t>
      </w:r>
      <w:r>
        <w:rPr>
          <w:rFonts w:ascii="宋体" w:hAnsi="宋体" w:hint="eastAsia"/>
          <w:b/>
          <w:bCs/>
          <w:iCs/>
          <w:color w:val="000000"/>
          <w:sz w:val="32"/>
          <w:szCs w:val="32"/>
        </w:rPr>
        <w:t>投资者关系活动记录表</w:t>
      </w:r>
    </w:p>
    <w:p w:rsidR="00C11D7A" w:rsidRDefault="00C11D7A">
      <w:pPr>
        <w:spacing w:line="400" w:lineRule="exact"/>
        <w:rPr>
          <w:bCs/>
          <w:iCs/>
          <w:color w:val="000000"/>
          <w:sz w:val="24"/>
        </w:rPr>
      </w:pPr>
    </w:p>
    <w:tbl>
      <w:tblPr>
        <w:tblW w:w="875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908"/>
        <w:gridCol w:w="6847"/>
      </w:tblGrid>
      <w:tr w:rsidR="00C11D7A" w:rsidTr="000E0757">
        <w:trPr>
          <w:jc w:val="center"/>
        </w:trPr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A677D" w:rsidRDefault="00DE02B1" w:rsidP="000E0757">
            <w:pPr>
              <w:spacing w:line="420" w:lineRule="exact"/>
              <w:jc w:val="center"/>
              <w:rPr>
                <w:rFonts w:ascii="宋体" w:hAnsi="宋体"/>
                <w:bCs/>
                <w:iCs/>
                <w:color w:val="000000"/>
                <w:kern w:val="0"/>
                <w:szCs w:val="21"/>
              </w:rPr>
            </w:pPr>
            <w:r>
              <w:rPr>
                <w:rFonts w:ascii="宋体" w:hAnsi="宋体"/>
                <w:bCs/>
                <w:iCs/>
                <w:color w:val="000000"/>
                <w:kern w:val="0"/>
                <w:szCs w:val="21"/>
              </w:rPr>
              <w:t>投资者关系活动</w:t>
            </w:r>
          </w:p>
          <w:p w:rsidR="00C11D7A" w:rsidRDefault="00DE02B1" w:rsidP="000E0757">
            <w:pPr>
              <w:spacing w:line="420" w:lineRule="exact"/>
              <w:jc w:val="center"/>
              <w:rPr>
                <w:rFonts w:ascii="宋体" w:hAnsi="宋体"/>
                <w:bCs/>
                <w:iCs/>
                <w:color w:val="000000"/>
                <w:kern w:val="0"/>
                <w:szCs w:val="21"/>
              </w:rPr>
            </w:pPr>
            <w:r>
              <w:rPr>
                <w:rFonts w:ascii="宋体" w:hAnsi="宋体"/>
                <w:bCs/>
                <w:iCs/>
                <w:color w:val="000000"/>
                <w:kern w:val="0"/>
                <w:szCs w:val="21"/>
              </w:rPr>
              <w:t>类别</w:t>
            </w:r>
          </w:p>
          <w:p w:rsidR="00C11D7A" w:rsidRDefault="00C11D7A">
            <w:pPr>
              <w:spacing w:line="420" w:lineRule="exact"/>
              <w:rPr>
                <w:rFonts w:ascii="宋体" w:hAnsi="宋体"/>
                <w:bCs/>
                <w:iCs/>
                <w:color w:val="000000"/>
                <w:szCs w:val="21"/>
              </w:rPr>
            </w:pPr>
          </w:p>
        </w:tc>
        <w:tc>
          <w:tcPr>
            <w:tcW w:w="6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11D7A" w:rsidRDefault="00F70DD3">
            <w:pPr>
              <w:spacing w:line="420" w:lineRule="exact"/>
              <w:rPr>
                <w:rFonts w:ascii="宋体" w:hAnsi="宋体"/>
                <w:bCs/>
                <w:iCs/>
                <w:color w:val="000000"/>
                <w:szCs w:val="21"/>
              </w:rPr>
            </w:pPr>
            <w:r>
              <w:rPr>
                <w:rFonts w:ascii="宋体" w:hAnsi="宋体" w:hint="eastAsia"/>
                <w:bCs/>
                <w:iCs/>
                <w:color w:val="000000"/>
                <w:kern w:val="0"/>
                <w:szCs w:val="21"/>
              </w:rPr>
              <w:t>√</w:t>
            </w:r>
            <w:r w:rsidR="00DE02B1">
              <w:rPr>
                <w:rFonts w:ascii="宋体" w:hAnsi="宋体"/>
                <w:kern w:val="0"/>
                <w:szCs w:val="21"/>
              </w:rPr>
              <w:t>特定对象调研</w:t>
            </w:r>
            <w:bookmarkStart w:id="0" w:name="OLE_LINK1"/>
            <w:bookmarkStart w:id="1" w:name="OLE_LINK2"/>
            <w:r w:rsidR="00DE02B1">
              <w:rPr>
                <w:rFonts w:ascii="宋体" w:hAnsi="宋体"/>
                <w:bCs/>
                <w:iCs/>
                <w:color w:val="000000"/>
                <w:kern w:val="0"/>
                <w:szCs w:val="21"/>
              </w:rPr>
              <w:t>□</w:t>
            </w:r>
            <w:bookmarkEnd w:id="0"/>
            <w:bookmarkEnd w:id="1"/>
            <w:r w:rsidR="00DE02B1">
              <w:rPr>
                <w:rFonts w:ascii="宋体" w:hAnsi="宋体"/>
                <w:kern w:val="0"/>
                <w:szCs w:val="21"/>
              </w:rPr>
              <w:t>分析师会议</w:t>
            </w:r>
          </w:p>
          <w:p w:rsidR="00C11D7A" w:rsidRDefault="00DE02B1">
            <w:pPr>
              <w:spacing w:line="420" w:lineRule="exact"/>
              <w:rPr>
                <w:rFonts w:ascii="宋体" w:hAnsi="宋体"/>
                <w:bCs/>
                <w:iCs/>
                <w:color w:val="000000"/>
                <w:kern w:val="0"/>
                <w:szCs w:val="21"/>
              </w:rPr>
            </w:pPr>
            <w:r>
              <w:rPr>
                <w:rFonts w:ascii="宋体" w:hAnsi="宋体"/>
                <w:bCs/>
                <w:iCs/>
                <w:color w:val="000000"/>
                <w:kern w:val="0"/>
                <w:szCs w:val="21"/>
              </w:rPr>
              <w:t>□</w:t>
            </w:r>
            <w:r>
              <w:rPr>
                <w:rFonts w:ascii="宋体" w:hAnsi="宋体"/>
                <w:kern w:val="0"/>
                <w:szCs w:val="21"/>
              </w:rPr>
              <w:t>媒体采访</w:t>
            </w:r>
            <w:r>
              <w:rPr>
                <w:rFonts w:ascii="宋体" w:hAnsi="宋体"/>
                <w:bCs/>
                <w:iCs/>
                <w:color w:val="000000"/>
                <w:kern w:val="0"/>
                <w:szCs w:val="21"/>
              </w:rPr>
              <w:t>□</w:t>
            </w:r>
            <w:r>
              <w:rPr>
                <w:rFonts w:ascii="宋体" w:hAnsi="宋体"/>
                <w:kern w:val="0"/>
                <w:szCs w:val="21"/>
              </w:rPr>
              <w:t>业绩说明会</w:t>
            </w:r>
          </w:p>
          <w:p w:rsidR="00C11D7A" w:rsidRDefault="00DE02B1">
            <w:pPr>
              <w:spacing w:line="420" w:lineRule="exact"/>
              <w:rPr>
                <w:rFonts w:ascii="宋体" w:hAnsi="宋体"/>
                <w:bCs/>
                <w:iCs/>
                <w:color w:val="000000"/>
                <w:kern w:val="0"/>
                <w:szCs w:val="21"/>
              </w:rPr>
            </w:pPr>
            <w:r>
              <w:rPr>
                <w:rFonts w:ascii="宋体" w:hAnsi="宋体"/>
                <w:bCs/>
                <w:iCs/>
                <w:color w:val="000000"/>
                <w:kern w:val="0"/>
                <w:szCs w:val="21"/>
              </w:rPr>
              <w:t>□</w:t>
            </w:r>
            <w:r>
              <w:rPr>
                <w:rFonts w:ascii="宋体" w:hAnsi="宋体"/>
                <w:kern w:val="0"/>
                <w:szCs w:val="21"/>
              </w:rPr>
              <w:t>新闻发布会</w:t>
            </w:r>
            <w:r>
              <w:rPr>
                <w:rFonts w:ascii="宋体" w:hAnsi="宋体"/>
                <w:bCs/>
                <w:iCs/>
                <w:color w:val="000000"/>
                <w:kern w:val="0"/>
                <w:szCs w:val="21"/>
              </w:rPr>
              <w:t>□</w:t>
            </w:r>
            <w:r>
              <w:rPr>
                <w:rFonts w:ascii="宋体" w:hAnsi="宋体"/>
                <w:kern w:val="0"/>
                <w:szCs w:val="21"/>
              </w:rPr>
              <w:t>路演活动</w:t>
            </w:r>
          </w:p>
          <w:p w:rsidR="00C11D7A" w:rsidRDefault="00F70DD3">
            <w:pPr>
              <w:tabs>
                <w:tab w:val="left" w:pos="3045"/>
                <w:tab w:val="center" w:pos="3199"/>
              </w:tabs>
              <w:spacing w:line="420" w:lineRule="exact"/>
              <w:rPr>
                <w:rFonts w:ascii="宋体" w:hAnsi="宋体"/>
                <w:bCs/>
                <w:iCs/>
                <w:color w:val="000000"/>
                <w:kern w:val="0"/>
                <w:szCs w:val="21"/>
              </w:rPr>
            </w:pPr>
            <w:r>
              <w:rPr>
                <w:rFonts w:ascii="宋体" w:hAnsi="宋体"/>
                <w:bCs/>
                <w:iCs/>
                <w:color w:val="000000"/>
                <w:kern w:val="0"/>
                <w:szCs w:val="21"/>
              </w:rPr>
              <w:t>□</w:t>
            </w:r>
            <w:r w:rsidR="00DE02B1">
              <w:rPr>
                <w:rFonts w:ascii="宋体" w:hAnsi="宋体"/>
                <w:kern w:val="0"/>
                <w:szCs w:val="21"/>
              </w:rPr>
              <w:t>现场参观</w:t>
            </w:r>
            <w:r w:rsidR="00DE02B1">
              <w:rPr>
                <w:rFonts w:ascii="宋体" w:hAnsi="宋体"/>
                <w:bCs/>
                <w:iCs/>
                <w:color w:val="000000"/>
                <w:kern w:val="0"/>
                <w:szCs w:val="21"/>
              </w:rPr>
              <w:tab/>
            </w:r>
          </w:p>
          <w:p w:rsidR="00C11D7A" w:rsidRDefault="00B30B52" w:rsidP="005B23F1">
            <w:pPr>
              <w:tabs>
                <w:tab w:val="center" w:pos="3199"/>
              </w:tabs>
              <w:spacing w:line="420" w:lineRule="exact"/>
              <w:rPr>
                <w:rFonts w:ascii="宋体" w:hAnsi="宋体"/>
                <w:bCs/>
                <w:iCs/>
                <w:color w:val="00000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□</w:t>
            </w:r>
            <w:r w:rsidR="00DE02B1">
              <w:rPr>
                <w:rFonts w:ascii="宋体" w:hAnsi="宋体"/>
                <w:kern w:val="0"/>
                <w:szCs w:val="21"/>
              </w:rPr>
              <w:t>其他（</w:t>
            </w:r>
            <w:r w:rsidR="005B23F1">
              <w:rPr>
                <w:rFonts w:ascii="宋体" w:hAnsi="宋体" w:hint="eastAsia"/>
                <w:kern w:val="0"/>
                <w:szCs w:val="21"/>
                <w:u w:val="single"/>
              </w:rPr>
              <w:t>路演</w:t>
            </w:r>
            <w:r w:rsidR="00DE02B1">
              <w:rPr>
                <w:rFonts w:ascii="宋体" w:hAnsi="宋体"/>
                <w:kern w:val="0"/>
                <w:szCs w:val="21"/>
                <w:u w:val="single"/>
              </w:rPr>
              <w:t>）</w:t>
            </w:r>
          </w:p>
        </w:tc>
      </w:tr>
      <w:tr w:rsidR="00C11D7A" w:rsidTr="000E0757">
        <w:trPr>
          <w:jc w:val="center"/>
        </w:trPr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11D7A" w:rsidRDefault="00DE02B1" w:rsidP="000E0757">
            <w:pPr>
              <w:spacing w:line="420" w:lineRule="exact"/>
              <w:jc w:val="center"/>
              <w:rPr>
                <w:rFonts w:ascii="宋体" w:hAnsi="宋体"/>
                <w:bCs/>
                <w:iCs/>
                <w:color w:val="000000"/>
                <w:kern w:val="0"/>
                <w:szCs w:val="21"/>
              </w:rPr>
            </w:pPr>
            <w:r>
              <w:rPr>
                <w:rFonts w:ascii="宋体" w:hAnsi="宋体"/>
                <w:bCs/>
                <w:iCs/>
                <w:color w:val="000000"/>
                <w:kern w:val="0"/>
                <w:szCs w:val="21"/>
              </w:rPr>
              <w:t>参与单位名称</w:t>
            </w:r>
          </w:p>
        </w:tc>
        <w:tc>
          <w:tcPr>
            <w:tcW w:w="6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11D7A" w:rsidRDefault="00DE02B1" w:rsidP="00750E6C">
            <w:pPr>
              <w:spacing w:line="420" w:lineRule="exact"/>
              <w:rPr>
                <w:rFonts w:ascii="宋体" w:hAnsi="宋体"/>
                <w:bCs/>
                <w:iCs/>
                <w:color w:val="000000"/>
                <w:szCs w:val="21"/>
                <w:lang w:val="en-GB"/>
              </w:rPr>
            </w:pPr>
            <w:r>
              <w:rPr>
                <w:rFonts w:ascii="宋体" w:hAnsi="宋体" w:hint="eastAsia"/>
                <w:bCs/>
                <w:iCs/>
                <w:color w:val="000000"/>
                <w:szCs w:val="21"/>
                <w:lang w:val="en-GB"/>
              </w:rPr>
              <w:t>参会投资者名称（排名不分先后）：</w:t>
            </w:r>
            <w:r w:rsidR="00822A8E" w:rsidRPr="00AB4065">
              <w:rPr>
                <w:rFonts w:ascii="宋体" w:hAnsi="宋体" w:hint="eastAsia"/>
                <w:bCs/>
                <w:iCs/>
                <w:color w:val="000000"/>
                <w:szCs w:val="21"/>
                <w:lang w:val="en-GB"/>
              </w:rPr>
              <w:t>长江证券</w:t>
            </w:r>
            <w:r w:rsidR="00822A8E">
              <w:rPr>
                <w:rFonts w:ascii="宋体" w:hAnsi="宋体" w:hint="eastAsia"/>
                <w:bCs/>
                <w:iCs/>
                <w:color w:val="000000"/>
                <w:szCs w:val="21"/>
                <w:lang w:val="en-GB"/>
              </w:rPr>
              <w:t>、</w:t>
            </w:r>
            <w:r w:rsidR="00E36799" w:rsidRPr="008B6778">
              <w:rPr>
                <w:rFonts w:ascii="宋体" w:hAnsi="宋体" w:hint="eastAsia"/>
                <w:bCs/>
                <w:iCs/>
                <w:color w:val="000000"/>
                <w:szCs w:val="21"/>
                <w:lang w:val="en-GB"/>
              </w:rPr>
              <w:t>嘉实基金</w:t>
            </w:r>
            <w:r w:rsidR="00E36799">
              <w:rPr>
                <w:rFonts w:ascii="宋体" w:hAnsi="宋体" w:hint="eastAsia"/>
                <w:bCs/>
                <w:iCs/>
                <w:color w:val="000000"/>
                <w:szCs w:val="21"/>
                <w:lang w:val="en-GB"/>
              </w:rPr>
              <w:t>、</w:t>
            </w:r>
            <w:r w:rsidR="00157998" w:rsidRPr="008B6778">
              <w:rPr>
                <w:rFonts w:ascii="宋体" w:hAnsi="宋体" w:hint="eastAsia"/>
                <w:bCs/>
                <w:iCs/>
                <w:color w:val="000000"/>
                <w:szCs w:val="21"/>
                <w:lang w:val="en-GB"/>
              </w:rPr>
              <w:t>博时基金、</w:t>
            </w:r>
            <w:r w:rsidR="00E9285A" w:rsidRPr="00AB4065">
              <w:rPr>
                <w:rFonts w:ascii="宋体" w:hAnsi="宋体" w:hint="eastAsia"/>
                <w:bCs/>
                <w:iCs/>
                <w:color w:val="000000"/>
                <w:szCs w:val="21"/>
                <w:lang w:val="en-GB"/>
              </w:rPr>
              <w:t>中国人保资产</w:t>
            </w:r>
            <w:r w:rsidR="00E9285A">
              <w:rPr>
                <w:rFonts w:ascii="宋体" w:hAnsi="宋体" w:hint="eastAsia"/>
                <w:bCs/>
                <w:iCs/>
                <w:color w:val="000000"/>
                <w:szCs w:val="21"/>
                <w:lang w:val="en-GB"/>
              </w:rPr>
              <w:t>、</w:t>
            </w:r>
            <w:r w:rsidR="00E36799">
              <w:rPr>
                <w:rFonts w:ascii="宋体" w:hAnsi="宋体" w:hint="eastAsia"/>
                <w:bCs/>
                <w:iCs/>
                <w:color w:val="000000"/>
                <w:szCs w:val="21"/>
                <w:lang w:val="en-GB"/>
              </w:rPr>
              <w:t>太平养老保险、</w:t>
            </w:r>
            <w:r w:rsidR="00D60F96">
              <w:rPr>
                <w:rFonts w:ascii="宋体" w:hAnsi="宋体" w:hint="eastAsia"/>
                <w:bCs/>
                <w:iCs/>
                <w:color w:val="000000"/>
                <w:szCs w:val="21"/>
                <w:lang w:val="en-GB"/>
              </w:rPr>
              <w:t>中邮证券、华源证券、中信建投证券、中信证券、天风证券、信达证券、</w:t>
            </w:r>
            <w:r w:rsidR="006414DA">
              <w:rPr>
                <w:rFonts w:ascii="宋体" w:hAnsi="宋体" w:hint="eastAsia"/>
                <w:bCs/>
                <w:iCs/>
                <w:color w:val="000000"/>
                <w:szCs w:val="21"/>
                <w:lang w:val="en-GB"/>
              </w:rPr>
              <w:t>国</w:t>
            </w:r>
            <w:r w:rsidR="00D60F96">
              <w:rPr>
                <w:rFonts w:ascii="宋体" w:hAnsi="宋体" w:hint="eastAsia"/>
                <w:bCs/>
                <w:iCs/>
                <w:color w:val="000000"/>
                <w:szCs w:val="21"/>
                <w:lang w:val="en-GB"/>
              </w:rPr>
              <w:t>联民生证券、东吴证券、</w:t>
            </w:r>
            <w:r w:rsidR="006414DA">
              <w:rPr>
                <w:rFonts w:ascii="宋体" w:hAnsi="宋体" w:hint="eastAsia"/>
                <w:bCs/>
                <w:iCs/>
                <w:color w:val="000000"/>
                <w:szCs w:val="21"/>
                <w:lang w:val="en-GB"/>
              </w:rPr>
              <w:t>东方财富证券、国金证券、国投证券、国信证券、国泰海通证券、华福证券、</w:t>
            </w:r>
            <w:r w:rsidR="00D5726A">
              <w:rPr>
                <w:rFonts w:ascii="宋体" w:hAnsi="宋体" w:hint="eastAsia"/>
                <w:bCs/>
                <w:iCs/>
                <w:color w:val="000000"/>
                <w:szCs w:val="21"/>
                <w:lang w:val="en-GB"/>
              </w:rPr>
              <w:t>申万宏源证券、兴业证券、中银证券、</w:t>
            </w:r>
            <w:r w:rsidR="00D5726A" w:rsidRPr="00AB4065">
              <w:rPr>
                <w:rFonts w:ascii="宋体" w:hAnsi="宋体" w:hint="eastAsia"/>
                <w:bCs/>
                <w:iCs/>
                <w:color w:val="000000"/>
                <w:szCs w:val="21"/>
                <w:lang w:val="en-GB"/>
              </w:rPr>
              <w:t>太平洋证券</w:t>
            </w:r>
            <w:r w:rsidR="00D5726A">
              <w:rPr>
                <w:rFonts w:ascii="宋体" w:hAnsi="宋体" w:hint="eastAsia"/>
                <w:bCs/>
                <w:iCs/>
                <w:color w:val="000000"/>
                <w:szCs w:val="21"/>
                <w:lang w:val="en-GB"/>
              </w:rPr>
              <w:t>、</w:t>
            </w:r>
            <w:bookmarkStart w:id="2" w:name="_GoBack"/>
            <w:bookmarkEnd w:id="2"/>
            <w:r w:rsidR="00AB4065" w:rsidRPr="00AB4065">
              <w:rPr>
                <w:rFonts w:ascii="宋体" w:hAnsi="宋体" w:hint="eastAsia"/>
                <w:bCs/>
                <w:iCs/>
                <w:color w:val="000000"/>
                <w:szCs w:val="21"/>
                <w:lang w:val="en-GB"/>
              </w:rPr>
              <w:t>华夏久盈资产</w:t>
            </w:r>
            <w:r w:rsidR="00AB4065">
              <w:rPr>
                <w:rFonts w:ascii="宋体" w:hAnsi="宋体" w:hint="eastAsia"/>
                <w:bCs/>
                <w:iCs/>
                <w:color w:val="000000"/>
                <w:szCs w:val="21"/>
                <w:lang w:val="en-GB"/>
              </w:rPr>
              <w:t>、</w:t>
            </w:r>
            <w:r w:rsidR="00AB4065" w:rsidRPr="00AB4065">
              <w:rPr>
                <w:rFonts w:ascii="宋体" w:hAnsi="宋体" w:hint="eastAsia"/>
                <w:bCs/>
                <w:iCs/>
                <w:color w:val="000000"/>
                <w:szCs w:val="21"/>
                <w:lang w:val="en-GB"/>
              </w:rPr>
              <w:t>工银理财</w:t>
            </w:r>
            <w:r w:rsidR="00AB4065">
              <w:rPr>
                <w:rFonts w:ascii="宋体" w:hAnsi="宋体" w:hint="eastAsia"/>
                <w:bCs/>
                <w:iCs/>
                <w:color w:val="000000"/>
                <w:szCs w:val="21"/>
                <w:lang w:val="en-GB"/>
              </w:rPr>
              <w:t>、</w:t>
            </w:r>
            <w:r w:rsidR="00AB4065" w:rsidRPr="00AB4065">
              <w:rPr>
                <w:rFonts w:ascii="宋体" w:hAnsi="宋体" w:hint="eastAsia"/>
                <w:bCs/>
                <w:iCs/>
                <w:color w:val="000000"/>
                <w:szCs w:val="21"/>
                <w:lang w:val="en-GB"/>
              </w:rPr>
              <w:t>同泰基金</w:t>
            </w:r>
            <w:r w:rsidR="00AB4065">
              <w:rPr>
                <w:rFonts w:ascii="宋体" w:hAnsi="宋体" w:hint="eastAsia"/>
                <w:bCs/>
                <w:iCs/>
                <w:color w:val="000000"/>
                <w:szCs w:val="21"/>
                <w:lang w:val="en-GB"/>
              </w:rPr>
              <w:t>、</w:t>
            </w:r>
            <w:r w:rsidR="00AB4065" w:rsidRPr="00AB4065">
              <w:rPr>
                <w:rFonts w:ascii="宋体" w:hAnsi="宋体" w:hint="eastAsia"/>
                <w:bCs/>
                <w:iCs/>
                <w:color w:val="000000"/>
                <w:szCs w:val="21"/>
                <w:lang w:val="en-GB"/>
              </w:rPr>
              <w:t>华泰证券</w:t>
            </w:r>
            <w:r w:rsidR="00AB4065">
              <w:rPr>
                <w:rFonts w:ascii="宋体" w:hAnsi="宋体" w:hint="eastAsia"/>
                <w:bCs/>
                <w:iCs/>
                <w:color w:val="000000"/>
                <w:szCs w:val="21"/>
                <w:lang w:val="en-GB"/>
              </w:rPr>
              <w:t>、</w:t>
            </w:r>
            <w:r w:rsidR="00AB4065" w:rsidRPr="00AB4065">
              <w:rPr>
                <w:rFonts w:ascii="宋体" w:hAnsi="宋体" w:hint="eastAsia"/>
                <w:bCs/>
                <w:iCs/>
                <w:color w:val="000000"/>
                <w:szCs w:val="21"/>
                <w:lang w:val="en-GB"/>
              </w:rPr>
              <w:t>华宝信托</w:t>
            </w:r>
            <w:r w:rsidR="008B6778">
              <w:rPr>
                <w:rFonts w:ascii="宋体" w:hAnsi="宋体" w:hint="eastAsia"/>
                <w:bCs/>
                <w:iCs/>
                <w:color w:val="000000"/>
                <w:szCs w:val="21"/>
                <w:lang w:val="en-GB"/>
              </w:rPr>
              <w:t>、</w:t>
            </w:r>
            <w:r w:rsidR="00AB4065" w:rsidRPr="00AB4065">
              <w:rPr>
                <w:rFonts w:ascii="宋体" w:hAnsi="宋体" w:hint="eastAsia"/>
                <w:bCs/>
                <w:iCs/>
                <w:color w:val="000000"/>
                <w:szCs w:val="21"/>
                <w:lang w:val="en-GB"/>
              </w:rPr>
              <w:t>西安敦成私募基金</w:t>
            </w:r>
            <w:r w:rsidR="00AB4065">
              <w:rPr>
                <w:rFonts w:ascii="宋体" w:hAnsi="宋体" w:hint="eastAsia"/>
                <w:bCs/>
                <w:iCs/>
                <w:color w:val="000000"/>
                <w:szCs w:val="21"/>
                <w:lang w:val="en-GB"/>
              </w:rPr>
              <w:t>、</w:t>
            </w:r>
            <w:r w:rsidR="00AB4065" w:rsidRPr="00AB4065">
              <w:rPr>
                <w:rFonts w:ascii="宋体" w:hAnsi="宋体" w:hint="eastAsia"/>
                <w:bCs/>
                <w:iCs/>
                <w:color w:val="000000"/>
                <w:szCs w:val="21"/>
                <w:lang w:val="en-GB"/>
              </w:rPr>
              <w:t>五地投资</w:t>
            </w:r>
            <w:r w:rsidR="00AB4065">
              <w:rPr>
                <w:rFonts w:ascii="宋体" w:hAnsi="宋体" w:hint="eastAsia"/>
                <w:bCs/>
                <w:iCs/>
                <w:color w:val="000000"/>
                <w:szCs w:val="21"/>
                <w:lang w:val="en-GB"/>
              </w:rPr>
              <w:t>、</w:t>
            </w:r>
            <w:r w:rsidR="00AB4065" w:rsidRPr="00AB4065">
              <w:rPr>
                <w:rFonts w:ascii="宋体" w:hAnsi="宋体" w:hint="eastAsia"/>
                <w:bCs/>
                <w:iCs/>
                <w:color w:val="000000"/>
                <w:szCs w:val="21"/>
                <w:lang w:val="en-GB"/>
              </w:rPr>
              <w:t>华福私募SY</w:t>
            </w:r>
            <w:r w:rsidR="00AB4065">
              <w:rPr>
                <w:rFonts w:ascii="宋体" w:hAnsi="宋体" w:hint="eastAsia"/>
                <w:bCs/>
                <w:iCs/>
                <w:color w:val="000000"/>
                <w:szCs w:val="21"/>
                <w:lang w:val="en-GB"/>
              </w:rPr>
              <w:t>、</w:t>
            </w:r>
            <w:r w:rsidR="00AB4065" w:rsidRPr="00AB4065">
              <w:rPr>
                <w:rFonts w:ascii="宋体" w:hAnsi="宋体" w:hint="eastAsia"/>
                <w:bCs/>
                <w:iCs/>
                <w:color w:val="000000"/>
                <w:szCs w:val="21"/>
                <w:lang w:val="en-GB"/>
              </w:rPr>
              <w:t>全天候私募证券基金</w:t>
            </w:r>
            <w:r w:rsidR="00AB4065">
              <w:rPr>
                <w:rFonts w:ascii="宋体" w:hAnsi="宋体" w:hint="eastAsia"/>
                <w:bCs/>
                <w:iCs/>
                <w:color w:val="000000"/>
                <w:szCs w:val="21"/>
                <w:lang w:val="en-GB"/>
              </w:rPr>
              <w:t>、</w:t>
            </w:r>
            <w:r w:rsidR="00AB4065" w:rsidRPr="00AB4065">
              <w:rPr>
                <w:rFonts w:ascii="宋体" w:hAnsi="宋体" w:hint="eastAsia"/>
                <w:bCs/>
                <w:iCs/>
                <w:color w:val="000000"/>
                <w:szCs w:val="21"/>
                <w:lang w:val="en-GB"/>
              </w:rPr>
              <w:t>海南鑫焱创业投资</w:t>
            </w:r>
            <w:r w:rsidR="00AB4065">
              <w:rPr>
                <w:rFonts w:ascii="宋体" w:hAnsi="宋体" w:hint="eastAsia"/>
                <w:bCs/>
                <w:iCs/>
                <w:color w:val="000000"/>
                <w:szCs w:val="21"/>
                <w:lang w:val="en-GB"/>
              </w:rPr>
              <w:t>、</w:t>
            </w:r>
            <w:r w:rsidR="00AB4065" w:rsidRPr="00AB4065">
              <w:rPr>
                <w:rFonts w:ascii="宋体" w:hAnsi="宋体" w:hint="eastAsia"/>
                <w:bCs/>
                <w:iCs/>
                <w:color w:val="000000"/>
                <w:szCs w:val="21"/>
                <w:lang w:val="en-GB"/>
              </w:rPr>
              <w:t>中国银宏</w:t>
            </w:r>
            <w:r w:rsidR="00AB4065">
              <w:rPr>
                <w:rFonts w:ascii="宋体" w:hAnsi="宋体" w:hint="eastAsia"/>
                <w:bCs/>
                <w:iCs/>
                <w:color w:val="000000"/>
                <w:szCs w:val="21"/>
                <w:lang w:val="en-GB"/>
              </w:rPr>
              <w:t>、</w:t>
            </w:r>
            <w:r w:rsidR="00AB4065" w:rsidRPr="00AB4065">
              <w:rPr>
                <w:rFonts w:ascii="宋体" w:hAnsi="宋体" w:hint="eastAsia"/>
                <w:bCs/>
                <w:iCs/>
                <w:color w:val="000000"/>
                <w:szCs w:val="21"/>
                <w:lang w:val="en-GB"/>
              </w:rPr>
              <w:t>福建豪山资产</w:t>
            </w:r>
            <w:r w:rsidR="00AB4065">
              <w:rPr>
                <w:rFonts w:ascii="宋体" w:hAnsi="宋体" w:hint="eastAsia"/>
                <w:bCs/>
                <w:iCs/>
                <w:color w:val="000000"/>
                <w:szCs w:val="21"/>
                <w:lang w:val="en-GB"/>
              </w:rPr>
              <w:t>、</w:t>
            </w:r>
            <w:r w:rsidR="00AB4065" w:rsidRPr="00AB4065">
              <w:rPr>
                <w:rFonts w:ascii="宋体" w:hAnsi="宋体" w:hint="eastAsia"/>
                <w:bCs/>
                <w:iCs/>
                <w:color w:val="000000"/>
                <w:szCs w:val="21"/>
                <w:lang w:val="en-GB"/>
              </w:rPr>
              <w:t>三和创赢资产</w:t>
            </w:r>
            <w:r w:rsidR="00AB4065">
              <w:rPr>
                <w:rFonts w:ascii="宋体" w:hAnsi="宋体" w:hint="eastAsia"/>
                <w:bCs/>
                <w:iCs/>
                <w:color w:val="000000"/>
                <w:szCs w:val="21"/>
                <w:lang w:val="en-GB"/>
              </w:rPr>
              <w:t>、</w:t>
            </w:r>
            <w:r w:rsidR="00AB4065" w:rsidRPr="00AB4065">
              <w:rPr>
                <w:rFonts w:ascii="宋体" w:hAnsi="宋体" w:hint="eastAsia"/>
                <w:bCs/>
                <w:iCs/>
                <w:color w:val="000000"/>
                <w:szCs w:val="21"/>
                <w:lang w:val="en-GB"/>
              </w:rPr>
              <w:t>中银基金</w:t>
            </w:r>
            <w:r w:rsidR="008B6778">
              <w:rPr>
                <w:rFonts w:ascii="宋体" w:hAnsi="宋体" w:hint="eastAsia"/>
                <w:bCs/>
                <w:iCs/>
                <w:color w:val="000000"/>
                <w:szCs w:val="21"/>
                <w:lang w:val="en-GB"/>
              </w:rPr>
              <w:t>、</w:t>
            </w:r>
            <w:r w:rsidR="00AB4065" w:rsidRPr="00AB4065">
              <w:rPr>
                <w:rFonts w:ascii="宋体" w:hAnsi="宋体" w:hint="eastAsia"/>
                <w:bCs/>
                <w:iCs/>
                <w:color w:val="000000"/>
                <w:szCs w:val="21"/>
                <w:lang w:val="en-GB"/>
              </w:rPr>
              <w:t>度势投资</w:t>
            </w:r>
            <w:r w:rsidR="00AB4065">
              <w:rPr>
                <w:rFonts w:ascii="宋体" w:hAnsi="宋体" w:hint="eastAsia"/>
                <w:bCs/>
                <w:iCs/>
                <w:color w:val="000000"/>
                <w:szCs w:val="21"/>
                <w:lang w:val="en-GB"/>
              </w:rPr>
              <w:t>、</w:t>
            </w:r>
            <w:r w:rsidR="00AB4065" w:rsidRPr="00AB4065">
              <w:rPr>
                <w:rFonts w:ascii="宋体" w:hAnsi="宋体" w:hint="eastAsia"/>
                <w:bCs/>
                <w:iCs/>
                <w:color w:val="000000"/>
                <w:szCs w:val="21"/>
                <w:lang w:val="en-GB"/>
              </w:rPr>
              <w:t>华安基金</w:t>
            </w:r>
            <w:r w:rsidR="00AB4065">
              <w:rPr>
                <w:rFonts w:ascii="宋体" w:hAnsi="宋体" w:hint="eastAsia"/>
                <w:bCs/>
                <w:iCs/>
                <w:color w:val="000000"/>
                <w:szCs w:val="21"/>
                <w:lang w:val="en-GB"/>
              </w:rPr>
              <w:t>、</w:t>
            </w:r>
            <w:r w:rsidR="00AB4065" w:rsidRPr="00AB4065">
              <w:rPr>
                <w:rFonts w:ascii="宋体" w:hAnsi="宋体" w:hint="eastAsia"/>
                <w:bCs/>
                <w:iCs/>
                <w:color w:val="000000"/>
                <w:szCs w:val="21"/>
                <w:lang w:val="en-GB"/>
              </w:rPr>
              <w:t>阳光资产</w:t>
            </w:r>
            <w:r w:rsidR="00AB4065">
              <w:rPr>
                <w:rFonts w:ascii="宋体" w:hAnsi="宋体" w:hint="eastAsia"/>
                <w:bCs/>
                <w:iCs/>
                <w:color w:val="000000"/>
                <w:szCs w:val="21"/>
                <w:lang w:val="en-GB"/>
              </w:rPr>
              <w:t>、</w:t>
            </w:r>
            <w:r w:rsidR="00AB4065" w:rsidRPr="00AB4065">
              <w:rPr>
                <w:rFonts w:ascii="宋体" w:hAnsi="宋体" w:hint="eastAsia"/>
                <w:bCs/>
                <w:iCs/>
                <w:color w:val="000000"/>
                <w:szCs w:val="21"/>
                <w:lang w:val="en-GB"/>
              </w:rPr>
              <w:t>创金合信基金</w:t>
            </w:r>
            <w:r w:rsidR="00AB4065">
              <w:rPr>
                <w:rFonts w:ascii="宋体" w:hAnsi="宋体" w:hint="eastAsia"/>
                <w:bCs/>
                <w:iCs/>
                <w:color w:val="000000"/>
                <w:szCs w:val="21"/>
                <w:lang w:val="en-GB"/>
              </w:rPr>
              <w:t>、</w:t>
            </w:r>
            <w:r w:rsidR="00AB4065" w:rsidRPr="00AB4065">
              <w:rPr>
                <w:rFonts w:ascii="宋体" w:hAnsi="宋体" w:hint="eastAsia"/>
                <w:bCs/>
                <w:iCs/>
                <w:color w:val="000000"/>
                <w:szCs w:val="21"/>
                <w:lang w:val="en-GB"/>
              </w:rPr>
              <w:t>英大证券</w:t>
            </w:r>
            <w:r w:rsidR="00AB4065">
              <w:rPr>
                <w:rFonts w:ascii="宋体" w:hAnsi="宋体" w:hint="eastAsia"/>
                <w:bCs/>
                <w:iCs/>
                <w:color w:val="000000"/>
                <w:szCs w:val="21"/>
                <w:lang w:val="en-GB"/>
              </w:rPr>
              <w:t>、</w:t>
            </w:r>
            <w:r w:rsidR="00AB4065" w:rsidRPr="00AB4065">
              <w:rPr>
                <w:rFonts w:ascii="宋体" w:hAnsi="宋体" w:hint="eastAsia"/>
                <w:bCs/>
                <w:iCs/>
                <w:color w:val="000000"/>
                <w:szCs w:val="21"/>
                <w:lang w:val="en-GB"/>
              </w:rPr>
              <w:t>平安基金</w:t>
            </w:r>
            <w:r w:rsidR="00AB4065">
              <w:rPr>
                <w:rFonts w:ascii="宋体" w:hAnsi="宋体" w:hint="eastAsia"/>
                <w:bCs/>
                <w:iCs/>
                <w:color w:val="000000"/>
                <w:szCs w:val="21"/>
                <w:lang w:val="en-GB"/>
              </w:rPr>
              <w:t>、</w:t>
            </w:r>
            <w:r w:rsidR="00AB4065" w:rsidRPr="00AB4065">
              <w:rPr>
                <w:rFonts w:ascii="宋体" w:hAnsi="宋体" w:hint="eastAsia"/>
                <w:bCs/>
                <w:iCs/>
                <w:color w:val="000000"/>
                <w:szCs w:val="21"/>
                <w:lang w:val="en-GB"/>
              </w:rPr>
              <w:t>景顺长城基金</w:t>
            </w:r>
            <w:r w:rsidR="00AB4065">
              <w:rPr>
                <w:rFonts w:ascii="宋体" w:hAnsi="宋体" w:hint="eastAsia"/>
                <w:bCs/>
                <w:iCs/>
                <w:color w:val="000000"/>
                <w:szCs w:val="21"/>
                <w:lang w:val="en-GB"/>
              </w:rPr>
              <w:t>、</w:t>
            </w:r>
            <w:r w:rsidR="00AB4065" w:rsidRPr="00AB4065">
              <w:rPr>
                <w:rFonts w:ascii="宋体" w:hAnsi="宋体" w:hint="eastAsia"/>
                <w:bCs/>
                <w:iCs/>
                <w:color w:val="000000"/>
                <w:szCs w:val="21"/>
                <w:lang w:val="en-GB"/>
              </w:rPr>
              <w:t>中国工商银行</w:t>
            </w:r>
            <w:r w:rsidR="00AB4065">
              <w:rPr>
                <w:rFonts w:ascii="宋体" w:hAnsi="宋体" w:hint="eastAsia"/>
                <w:bCs/>
                <w:iCs/>
                <w:color w:val="000000"/>
                <w:szCs w:val="21"/>
                <w:lang w:val="en-GB"/>
              </w:rPr>
              <w:t>、</w:t>
            </w:r>
            <w:r w:rsidR="00AB4065" w:rsidRPr="00AB4065">
              <w:rPr>
                <w:rFonts w:ascii="宋体" w:hAnsi="宋体" w:hint="eastAsia"/>
                <w:bCs/>
                <w:iCs/>
                <w:color w:val="000000"/>
                <w:szCs w:val="21"/>
                <w:lang w:val="en-GB"/>
              </w:rPr>
              <w:t>深圳市尚诚资产</w:t>
            </w:r>
            <w:r w:rsidR="00AB4065">
              <w:rPr>
                <w:rFonts w:ascii="宋体" w:hAnsi="宋体" w:hint="eastAsia"/>
                <w:bCs/>
                <w:iCs/>
                <w:color w:val="000000"/>
                <w:szCs w:val="21"/>
                <w:lang w:val="en-GB"/>
              </w:rPr>
              <w:t>、</w:t>
            </w:r>
            <w:r w:rsidR="00AB4065" w:rsidRPr="00AB4065">
              <w:rPr>
                <w:rFonts w:ascii="宋体" w:hAnsi="宋体" w:hint="eastAsia"/>
                <w:bCs/>
                <w:iCs/>
                <w:color w:val="000000"/>
                <w:szCs w:val="21"/>
                <w:lang w:val="en-GB"/>
              </w:rPr>
              <w:t>上海复胜资产</w:t>
            </w:r>
            <w:r w:rsidR="00AB4065">
              <w:rPr>
                <w:rFonts w:ascii="宋体" w:hAnsi="宋体" w:hint="eastAsia"/>
                <w:bCs/>
                <w:iCs/>
                <w:color w:val="000000"/>
                <w:szCs w:val="21"/>
                <w:lang w:val="en-GB"/>
              </w:rPr>
              <w:t>、</w:t>
            </w:r>
            <w:r w:rsidR="00AB4065" w:rsidRPr="00AB4065">
              <w:rPr>
                <w:rFonts w:ascii="宋体" w:hAnsi="宋体" w:hint="eastAsia"/>
                <w:bCs/>
                <w:iCs/>
                <w:color w:val="000000"/>
                <w:szCs w:val="21"/>
                <w:lang w:val="en-GB"/>
              </w:rPr>
              <w:t>东兴基金</w:t>
            </w:r>
            <w:r w:rsidR="00AB4065">
              <w:rPr>
                <w:rFonts w:ascii="宋体" w:hAnsi="宋体" w:hint="eastAsia"/>
                <w:bCs/>
                <w:iCs/>
                <w:color w:val="000000"/>
                <w:szCs w:val="21"/>
                <w:lang w:val="en-GB"/>
              </w:rPr>
              <w:t>、</w:t>
            </w:r>
            <w:r w:rsidR="00AB4065" w:rsidRPr="00AB4065">
              <w:rPr>
                <w:rFonts w:ascii="宋体" w:hAnsi="宋体" w:hint="eastAsia"/>
                <w:bCs/>
                <w:iCs/>
                <w:color w:val="000000"/>
                <w:szCs w:val="21"/>
                <w:lang w:val="en-GB"/>
              </w:rPr>
              <w:t>巨杉（上海）资产</w:t>
            </w:r>
            <w:r w:rsidR="00AB4065">
              <w:rPr>
                <w:rFonts w:ascii="宋体" w:hAnsi="宋体" w:hint="eastAsia"/>
                <w:bCs/>
                <w:iCs/>
                <w:color w:val="000000"/>
                <w:szCs w:val="21"/>
                <w:lang w:val="en-GB"/>
              </w:rPr>
              <w:t>、</w:t>
            </w:r>
            <w:r w:rsidR="00AB4065" w:rsidRPr="00AB4065">
              <w:rPr>
                <w:rFonts w:ascii="宋体" w:hAnsi="宋体" w:hint="eastAsia"/>
                <w:bCs/>
                <w:iCs/>
                <w:color w:val="000000"/>
                <w:szCs w:val="21"/>
                <w:lang w:val="en-GB"/>
              </w:rPr>
              <w:t>富安达基金</w:t>
            </w:r>
            <w:r w:rsidR="00AB4065">
              <w:rPr>
                <w:rFonts w:ascii="宋体" w:hAnsi="宋体" w:hint="eastAsia"/>
                <w:bCs/>
                <w:iCs/>
                <w:color w:val="000000"/>
                <w:szCs w:val="21"/>
                <w:lang w:val="en-GB"/>
              </w:rPr>
              <w:t>、</w:t>
            </w:r>
            <w:r w:rsidR="00AB4065" w:rsidRPr="00AB4065">
              <w:rPr>
                <w:rFonts w:ascii="宋体" w:hAnsi="宋体" w:hint="eastAsia"/>
                <w:bCs/>
                <w:iCs/>
                <w:color w:val="000000"/>
                <w:szCs w:val="21"/>
                <w:lang w:val="en-GB"/>
              </w:rPr>
              <w:t>前海开源基金</w:t>
            </w:r>
            <w:r w:rsidR="00AB4065">
              <w:rPr>
                <w:rFonts w:ascii="宋体" w:hAnsi="宋体" w:hint="eastAsia"/>
                <w:bCs/>
                <w:iCs/>
                <w:color w:val="000000"/>
                <w:szCs w:val="21"/>
                <w:lang w:val="en-GB"/>
              </w:rPr>
              <w:t>、</w:t>
            </w:r>
            <w:r w:rsidR="00AB4065" w:rsidRPr="00AB4065">
              <w:rPr>
                <w:rFonts w:ascii="宋体" w:hAnsi="宋体" w:hint="eastAsia"/>
                <w:bCs/>
                <w:iCs/>
                <w:color w:val="000000"/>
                <w:szCs w:val="21"/>
                <w:lang w:val="en-GB"/>
              </w:rPr>
              <w:t>喜知山咨询</w:t>
            </w:r>
            <w:r w:rsidR="00AB4065">
              <w:rPr>
                <w:rFonts w:ascii="宋体" w:hAnsi="宋体" w:hint="eastAsia"/>
                <w:bCs/>
                <w:iCs/>
                <w:color w:val="000000"/>
                <w:szCs w:val="21"/>
                <w:lang w:val="en-GB"/>
              </w:rPr>
              <w:t>、</w:t>
            </w:r>
            <w:r w:rsidR="00AB4065" w:rsidRPr="00AB4065">
              <w:rPr>
                <w:rFonts w:ascii="宋体" w:hAnsi="宋体" w:hint="eastAsia"/>
                <w:bCs/>
                <w:iCs/>
                <w:color w:val="000000"/>
                <w:szCs w:val="21"/>
                <w:lang w:val="en-GB"/>
              </w:rPr>
              <w:t>华富基金</w:t>
            </w:r>
            <w:r w:rsidR="00AB4065">
              <w:rPr>
                <w:rFonts w:ascii="宋体" w:hAnsi="宋体" w:hint="eastAsia"/>
                <w:bCs/>
                <w:iCs/>
                <w:color w:val="000000"/>
                <w:szCs w:val="21"/>
                <w:lang w:val="en-GB"/>
              </w:rPr>
              <w:t>、</w:t>
            </w:r>
            <w:r w:rsidR="00AB4065" w:rsidRPr="00AB4065">
              <w:rPr>
                <w:rFonts w:ascii="宋体" w:hAnsi="宋体" w:hint="eastAsia"/>
                <w:bCs/>
                <w:iCs/>
                <w:color w:val="000000"/>
                <w:szCs w:val="21"/>
                <w:lang w:val="en-GB"/>
              </w:rPr>
              <w:t>平安银行</w:t>
            </w:r>
            <w:r w:rsidR="008B6778">
              <w:rPr>
                <w:rFonts w:ascii="宋体" w:hAnsi="宋体" w:hint="eastAsia"/>
                <w:bCs/>
                <w:iCs/>
                <w:color w:val="000000"/>
                <w:szCs w:val="21"/>
                <w:lang w:val="en-GB"/>
              </w:rPr>
              <w:t>、</w:t>
            </w:r>
            <w:r w:rsidR="00AB4065" w:rsidRPr="00AB4065">
              <w:rPr>
                <w:rFonts w:ascii="宋体" w:hAnsi="宋体" w:hint="eastAsia"/>
                <w:bCs/>
                <w:iCs/>
                <w:color w:val="000000"/>
                <w:szCs w:val="21"/>
                <w:lang w:val="en-GB"/>
              </w:rPr>
              <w:t>苏州正源信毅资产</w:t>
            </w:r>
            <w:r w:rsidR="008B6778">
              <w:rPr>
                <w:rFonts w:ascii="宋体" w:hAnsi="宋体" w:hint="eastAsia"/>
                <w:bCs/>
                <w:iCs/>
                <w:color w:val="000000"/>
                <w:szCs w:val="21"/>
                <w:lang w:val="en-GB"/>
              </w:rPr>
              <w:t>、</w:t>
            </w:r>
            <w:r w:rsidR="00AB4065" w:rsidRPr="00AB4065">
              <w:rPr>
                <w:rFonts w:ascii="宋体" w:hAnsi="宋体" w:hint="eastAsia"/>
                <w:bCs/>
                <w:iCs/>
                <w:color w:val="000000"/>
                <w:szCs w:val="21"/>
                <w:lang w:val="en-GB"/>
              </w:rPr>
              <w:t>北京中军投资</w:t>
            </w:r>
            <w:r w:rsidR="008B6778">
              <w:rPr>
                <w:rFonts w:ascii="宋体" w:hAnsi="宋体" w:hint="eastAsia"/>
                <w:bCs/>
                <w:iCs/>
                <w:color w:val="000000"/>
                <w:szCs w:val="21"/>
                <w:lang w:val="en-GB"/>
              </w:rPr>
              <w:t>、</w:t>
            </w:r>
            <w:r w:rsidR="00AB4065" w:rsidRPr="00AB4065">
              <w:rPr>
                <w:rFonts w:ascii="宋体" w:hAnsi="宋体" w:hint="eastAsia"/>
                <w:bCs/>
                <w:iCs/>
                <w:color w:val="000000"/>
                <w:szCs w:val="21"/>
                <w:lang w:val="en-GB"/>
              </w:rPr>
              <w:t>新华资产</w:t>
            </w:r>
            <w:r w:rsidR="008B6778">
              <w:rPr>
                <w:rFonts w:ascii="宋体" w:hAnsi="宋体" w:hint="eastAsia"/>
                <w:bCs/>
                <w:iCs/>
                <w:color w:val="000000"/>
                <w:szCs w:val="21"/>
                <w:lang w:val="en-GB"/>
              </w:rPr>
              <w:t>、</w:t>
            </w:r>
            <w:r w:rsidR="00AB4065" w:rsidRPr="00AB4065">
              <w:rPr>
                <w:rFonts w:ascii="宋体" w:hAnsi="宋体" w:hint="eastAsia"/>
                <w:bCs/>
                <w:iCs/>
                <w:color w:val="000000"/>
                <w:szCs w:val="21"/>
                <w:lang w:val="en-GB"/>
              </w:rPr>
              <w:t>长安基金</w:t>
            </w:r>
            <w:r w:rsidR="008B6778">
              <w:rPr>
                <w:rFonts w:ascii="宋体" w:hAnsi="宋体" w:hint="eastAsia"/>
                <w:bCs/>
                <w:iCs/>
                <w:color w:val="000000"/>
                <w:szCs w:val="21"/>
                <w:lang w:val="en-GB"/>
              </w:rPr>
              <w:t>、</w:t>
            </w:r>
            <w:r w:rsidR="00AB4065" w:rsidRPr="00AB4065">
              <w:rPr>
                <w:rFonts w:ascii="宋体" w:hAnsi="宋体" w:hint="eastAsia"/>
                <w:bCs/>
                <w:iCs/>
                <w:color w:val="000000"/>
                <w:szCs w:val="21"/>
                <w:lang w:val="en-GB"/>
              </w:rPr>
              <w:t>云南能投资本</w:t>
            </w:r>
            <w:r w:rsidR="008B6778">
              <w:rPr>
                <w:rFonts w:ascii="宋体" w:hAnsi="宋体" w:hint="eastAsia"/>
                <w:bCs/>
                <w:iCs/>
                <w:color w:val="000000"/>
                <w:szCs w:val="21"/>
                <w:lang w:val="en-GB"/>
              </w:rPr>
              <w:t>、</w:t>
            </w:r>
            <w:r w:rsidR="00AB4065" w:rsidRPr="00AB4065">
              <w:rPr>
                <w:rFonts w:ascii="宋体" w:hAnsi="宋体" w:hint="eastAsia"/>
                <w:bCs/>
                <w:iCs/>
                <w:color w:val="000000"/>
                <w:szCs w:val="21"/>
                <w:lang w:val="en-GB"/>
              </w:rPr>
              <w:t>浙银理财</w:t>
            </w:r>
            <w:r w:rsidR="008B6778">
              <w:rPr>
                <w:rFonts w:ascii="宋体" w:hAnsi="宋体" w:hint="eastAsia"/>
                <w:bCs/>
                <w:iCs/>
                <w:color w:val="000000"/>
                <w:szCs w:val="21"/>
                <w:lang w:val="en-GB"/>
              </w:rPr>
              <w:t>、</w:t>
            </w:r>
            <w:r w:rsidR="00AB4065" w:rsidRPr="00AB4065">
              <w:rPr>
                <w:rFonts w:ascii="宋体" w:hAnsi="宋体" w:hint="eastAsia"/>
                <w:bCs/>
                <w:iCs/>
                <w:color w:val="000000"/>
                <w:szCs w:val="21"/>
                <w:lang w:val="en-GB"/>
              </w:rPr>
              <w:t>福信集团</w:t>
            </w:r>
            <w:r w:rsidR="008B6778">
              <w:rPr>
                <w:rFonts w:ascii="宋体" w:hAnsi="宋体" w:hint="eastAsia"/>
                <w:bCs/>
                <w:iCs/>
                <w:color w:val="000000"/>
                <w:szCs w:val="21"/>
                <w:lang w:val="en-GB"/>
              </w:rPr>
              <w:t>、</w:t>
            </w:r>
            <w:r w:rsidR="00AB4065" w:rsidRPr="00AB4065">
              <w:rPr>
                <w:rFonts w:ascii="宋体" w:hAnsi="宋体" w:hint="eastAsia"/>
                <w:bCs/>
                <w:iCs/>
                <w:color w:val="000000"/>
                <w:szCs w:val="21"/>
                <w:lang w:val="en-GB"/>
              </w:rPr>
              <w:t>太平基金</w:t>
            </w:r>
            <w:r w:rsidR="008B6778">
              <w:rPr>
                <w:rFonts w:ascii="宋体" w:hAnsi="宋体" w:hint="eastAsia"/>
                <w:bCs/>
                <w:iCs/>
                <w:color w:val="000000"/>
                <w:szCs w:val="21"/>
                <w:lang w:val="en-GB"/>
              </w:rPr>
              <w:t>、</w:t>
            </w:r>
            <w:r w:rsidR="00792CF1" w:rsidRPr="00AB4065">
              <w:rPr>
                <w:rFonts w:ascii="宋体" w:hAnsi="宋体"/>
                <w:bCs/>
                <w:iCs/>
                <w:color w:val="000000"/>
                <w:szCs w:val="21"/>
                <w:lang w:val="en-GB"/>
              </w:rPr>
              <w:t>IGWT Investment</w:t>
            </w:r>
            <w:r w:rsidR="00792CF1">
              <w:rPr>
                <w:rFonts w:ascii="宋体" w:hAnsi="宋体" w:hint="eastAsia"/>
                <w:bCs/>
                <w:iCs/>
                <w:color w:val="000000"/>
                <w:szCs w:val="21"/>
                <w:lang w:val="en-GB"/>
              </w:rPr>
              <w:t>、</w:t>
            </w:r>
            <w:r w:rsidR="00AB4065" w:rsidRPr="00AB4065">
              <w:rPr>
                <w:rFonts w:ascii="宋体" w:hAnsi="宋体" w:hint="eastAsia"/>
                <w:bCs/>
                <w:iCs/>
                <w:color w:val="000000"/>
                <w:szCs w:val="21"/>
                <w:lang w:val="en-GB"/>
              </w:rPr>
              <w:t>曼林(山东)私募(投资)基金</w:t>
            </w:r>
            <w:r w:rsidR="008B6778">
              <w:rPr>
                <w:rFonts w:ascii="宋体" w:hAnsi="宋体" w:hint="eastAsia"/>
                <w:bCs/>
                <w:iCs/>
                <w:color w:val="000000"/>
                <w:szCs w:val="21"/>
                <w:lang w:val="en-GB"/>
              </w:rPr>
              <w:t>、</w:t>
            </w:r>
            <w:r w:rsidR="00AB4065" w:rsidRPr="00AB4065">
              <w:rPr>
                <w:rFonts w:ascii="宋体" w:hAnsi="宋体" w:hint="eastAsia"/>
                <w:bCs/>
                <w:iCs/>
                <w:color w:val="000000"/>
                <w:szCs w:val="21"/>
                <w:lang w:val="en-GB"/>
              </w:rPr>
              <w:t>沸点资本</w:t>
            </w:r>
            <w:r w:rsidR="008B6778">
              <w:rPr>
                <w:rFonts w:ascii="宋体" w:hAnsi="宋体" w:hint="eastAsia"/>
                <w:bCs/>
                <w:iCs/>
                <w:color w:val="000000"/>
                <w:szCs w:val="21"/>
                <w:lang w:val="en-GB"/>
              </w:rPr>
              <w:t>、</w:t>
            </w:r>
            <w:r w:rsidR="00AB4065" w:rsidRPr="00AB4065">
              <w:rPr>
                <w:rFonts w:ascii="宋体" w:hAnsi="宋体" w:hint="eastAsia"/>
                <w:bCs/>
                <w:iCs/>
                <w:color w:val="000000"/>
                <w:szCs w:val="21"/>
                <w:lang w:val="en-GB"/>
              </w:rPr>
              <w:t>北京乾创投资</w:t>
            </w:r>
          </w:p>
        </w:tc>
      </w:tr>
      <w:tr w:rsidR="00C11D7A" w:rsidTr="000E0757">
        <w:trPr>
          <w:jc w:val="center"/>
        </w:trPr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11D7A" w:rsidRDefault="00DE02B1" w:rsidP="000E0757">
            <w:pPr>
              <w:spacing w:line="420" w:lineRule="exact"/>
              <w:jc w:val="center"/>
              <w:rPr>
                <w:rFonts w:ascii="宋体" w:hAnsi="宋体"/>
                <w:bCs/>
                <w:iCs/>
                <w:color w:val="000000"/>
                <w:kern w:val="0"/>
                <w:szCs w:val="21"/>
              </w:rPr>
            </w:pPr>
            <w:r>
              <w:rPr>
                <w:rFonts w:ascii="宋体" w:hAnsi="宋体"/>
                <w:bCs/>
                <w:iCs/>
                <w:color w:val="000000"/>
                <w:kern w:val="0"/>
                <w:szCs w:val="21"/>
              </w:rPr>
              <w:t>时间</w:t>
            </w:r>
          </w:p>
        </w:tc>
        <w:tc>
          <w:tcPr>
            <w:tcW w:w="6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11D7A" w:rsidRDefault="008F592D" w:rsidP="0088383B">
            <w:pPr>
              <w:spacing w:line="420" w:lineRule="exact"/>
              <w:rPr>
                <w:rFonts w:ascii="宋体" w:hAnsi="宋体"/>
                <w:bCs/>
                <w:iCs/>
                <w:color w:val="000000"/>
                <w:szCs w:val="21"/>
              </w:rPr>
            </w:pPr>
            <w:r>
              <w:rPr>
                <w:rFonts w:ascii="宋体" w:hAnsi="宋体"/>
                <w:bCs/>
                <w:iCs/>
                <w:color w:val="000000"/>
                <w:szCs w:val="21"/>
              </w:rPr>
              <w:t>202</w:t>
            </w:r>
            <w:r w:rsidR="0088383B">
              <w:rPr>
                <w:rFonts w:ascii="宋体" w:hAnsi="宋体"/>
                <w:bCs/>
                <w:iCs/>
                <w:color w:val="000000"/>
                <w:szCs w:val="21"/>
              </w:rPr>
              <w:t>6</w:t>
            </w:r>
            <w:r>
              <w:rPr>
                <w:rFonts w:ascii="宋体" w:hAnsi="宋体"/>
                <w:bCs/>
                <w:iCs/>
                <w:color w:val="000000"/>
                <w:szCs w:val="21"/>
              </w:rPr>
              <w:t>年</w:t>
            </w:r>
            <w:r w:rsidR="0088383B">
              <w:rPr>
                <w:rFonts w:ascii="宋体" w:hAnsi="宋体"/>
                <w:bCs/>
                <w:iCs/>
                <w:color w:val="000000"/>
                <w:szCs w:val="21"/>
              </w:rPr>
              <w:t>3</w:t>
            </w:r>
            <w:r w:rsidR="00DE02B1">
              <w:rPr>
                <w:rFonts w:ascii="宋体" w:hAnsi="宋体"/>
                <w:bCs/>
                <w:iCs/>
                <w:color w:val="000000"/>
                <w:szCs w:val="21"/>
              </w:rPr>
              <w:t>月</w:t>
            </w:r>
            <w:r w:rsidR="0088383B">
              <w:rPr>
                <w:rFonts w:ascii="宋体" w:hAnsi="宋体"/>
                <w:bCs/>
                <w:iCs/>
                <w:color w:val="000000"/>
                <w:szCs w:val="21"/>
              </w:rPr>
              <w:t>28</w:t>
            </w:r>
            <w:r>
              <w:rPr>
                <w:rFonts w:ascii="宋体" w:hAnsi="宋体" w:hint="eastAsia"/>
                <w:bCs/>
                <w:iCs/>
                <w:color w:val="000000"/>
                <w:szCs w:val="21"/>
              </w:rPr>
              <w:t>日</w:t>
            </w:r>
          </w:p>
        </w:tc>
      </w:tr>
      <w:tr w:rsidR="00C11D7A" w:rsidTr="000E0757">
        <w:trPr>
          <w:jc w:val="center"/>
        </w:trPr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11D7A" w:rsidRDefault="00DE02B1" w:rsidP="000E0757">
            <w:pPr>
              <w:spacing w:line="420" w:lineRule="exact"/>
              <w:jc w:val="center"/>
              <w:rPr>
                <w:rFonts w:ascii="宋体" w:hAnsi="宋体"/>
                <w:bCs/>
                <w:iCs/>
                <w:color w:val="000000"/>
                <w:kern w:val="0"/>
                <w:szCs w:val="21"/>
              </w:rPr>
            </w:pPr>
            <w:r>
              <w:rPr>
                <w:rFonts w:ascii="宋体" w:hAnsi="宋体"/>
                <w:bCs/>
                <w:iCs/>
                <w:color w:val="000000"/>
                <w:kern w:val="0"/>
                <w:szCs w:val="21"/>
              </w:rPr>
              <w:t>地点</w:t>
            </w:r>
          </w:p>
        </w:tc>
        <w:tc>
          <w:tcPr>
            <w:tcW w:w="6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11D7A" w:rsidRDefault="0088383B">
            <w:pPr>
              <w:spacing w:line="420" w:lineRule="exact"/>
              <w:rPr>
                <w:rFonts w:ascii="宋体" w:hAnsi="宋体"/>
                <w:bCs/>
                <w:iCs/>
                <w:color w:val="000000"/>
                <w:szCs w:val="21"/>
              </w:rPr>
            </w:pPr>
            <w:r>
              <w:rPr>
                <w:rFonts w:ascii="宋体" w:hAnsi="宋体" w:hint="eastAsia"/>
                <w:bCs/>
                <w:iCs/>
                <w:color w:val="000000"/>
                <w:szCs w:val="21"/>
              </w:rPr>
              <w:t>电话会议</w:t>
            </w:r>
          </w:p>
        </w:tc>
      </w:tr>
      <w:tr w:rsidR="00C11D7A" w:rsidTr="000E0757">
        <w:trPr>
          <w:trHeight w:val="612"/>
          <w:jc w:val="center"/>
        </w:trPr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11D7A" w:rsidRDefault="00DE02B1" w:rsidP="000E0757">
            <w:pPr>
              <w:spacing w:line="420" w:lineRule="exact"/>
              <w:jc w:val="center"/>
              <w:rPr>
                <w:rFonts w:ascii="宋体" w:hAnsi="宋体"/>
                <w:bCs/>
                <w:iCs/>
                <w:color w:val="000000"/>
                <w:kern w:val="0"/>
                <w:szCs w:val="21"/>
              </w:rPr>
            </w:pPr>
            <w:r>
              <w:rPr>
                <w:rFonts w:ascii="宋体" w:hAnsi="宋体"/>
                <w:bCs/>
                <w:iCs/>
                <w:color w:val="000000"/>
                <w:kern w:val="0"/>
                <w:szCs w:val="21"/>
              </w:rPr>
              <w:t>上市公司</w:t>
            </w:r>
            <w:r>
              <w:rPr>
                <w:rFonts w:ascii="宋体" w:hAnsi="宋体" w:hint="eastAsia"/>
                <w:bCs/>
                <w:iCs/>
                <w:color w:val="000000"/>
                <w:kern w:val="0"/>
                <w:szCs w:val="21"/>
              </w:rPr>
              <w:t>参与</w:t>
            </w:r>
            <w:r>
              <w:rPr>
                <w:rFonts w:ascii="宋体" w:hAnsi="宋体"/>
                <w:bCs/>
                <w:iCs/>
                <w:color w:val="000000"/>
                <w:kern w:val="0"/>
                <w:szCs w:val="21"/>
              </w:rPr>
              <w:t>人员姓名</w:t>
            </w:r>
          </w:p>
        </w:tc>
        <w:tc>
          <w:tcPr>
            <w:tcW w:w="6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1D7A" w:rsidRDefault="00DE02B1" w:rsidP="00FA57F7">
            <w:pPr>
              <w:spacing w:line="420" w:lineRule="exact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董事会秘书</w:t>
            </w:r>
            <w:r>
              <w:rPr>
                <w:rFonts w:ascii="宋体" w:hAnsi="宋体"/>
                <w:bCs/>
                <w:szCs w:val="21"/>
              </w:rPr>
              <w:t>刘东</w:t>
            </w:r>
            <w:r w:rsidR="00FA57F7">
              <w:rPr>
                <w:rFonts w:ascii="宋体" w:hAnsi="宋体" w:hint="eastAsia"/>
                <w:bCs/>
                <w:szCs w:val="21"/>
              </w:rPr>
              <w:t>及</w:t>
            </w:r>
            <w:r w:rsidR="00954981">
              <w:rPr>
                <w:rFonts w:ascii="宋体" w:hAnsi="宋体" w:hint="eastAsia"/>
                <w:bCs/>
                <w:szCs w:val="21"/>
              </w:rPr>
              <w:t>董事会办公室相关人员</w:t>
            </w:r>
          </w:p>
        </w:tc>
      </w:tr>
      <w:tr w:rsidR="00C11D7A" w:rsidTr="000E0757">
        <w:trPr>
          <w:jc w:val="center"/>
        </w:trPr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1D7A" w:rsidRDefault="00DE02B1" w:rsidP="000E0757">
            <w:pPr>
              <w:spacing w:line="420" w:lineRule="exact"/>
              <w:jc w:val="center"/>
              <w:rPr>
                <w:rFonts w:ascii="宋体" w:hAnsi="宋体"/>
                <w:bCs/>
                <w:iCs/>
                <w:color w:val="000000"/>
                <w:kern w:val="0"/>
                <w:szCs w:val="21"/>
              </w:rPr>
            </w:pPr>
            <w:r>
              <w:rPr>
                <w:rFonts w:ascii="宋体" w:hAnsi="宋体"/>
                <w:bCs/>
                <w:iCs/>
                <w:color w:val="000000"/>
                <w:kern w:val="0"/>
                <w:szCs w:val="21"/>
              </w:rPr>
              <w:t>投资者关系活动主要内容介绍</w:t>
            </w:r>
          </w:p>
          <w:p w:rsidR="00C11D7A" w:rsidRDefault="00C11D7A">
            <w:pPr>
              <w:spacing w:line="420" w:lineRule="exact"/>
              <w:rPr>
                <w:rFonts w:ascii="宋体" w:hAnsi="宋体"/>
                <w:bCs/>
                <w:iCs/>
                <w:color w:val="000000"/>
                <w:szCs w:val="21"/>
              </w:rPr>
            </w:pPr>
          </w:p>
        </w:tc>
        <w:tc>
          <w:tcPr>
            <w:tcW w:w="6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43BB8" w:rsidRDefault="007902B3" w:rsidP="007D6E40">
            <w:pPr>
              <w:spacing w:beforeLines="50" w:line="400" w:lineRule="exact"/>
              <w:rPr>
                <w:rFonts w:asciiTheme="minorEastAsia" w:eastAsiaTheme="minorEastAsia" w:hAnsiTheme="minorEastAsia"/>
                <w:b/>
                <w:color w:val="000000"/>
                <w:szCs w:val="21"/>
              </w:rPr>
            </w:pPr>
            <w:r w:rsidRPr="002F43CB">
              <w:rPr>
                <w:rFonts w:asciiTheme="minorEastAsia" w:eastAsiaTheme="minorEastAsia" w:hAnsiTheme="minorEastAsia"/>
                <w:b/>
                <w:color w:val="000000"/>
                <w:szCs w:val="21"/>
              </w:rPr>
              <w:t>投资者提出的问题及公司回复情况</w:t>
            </w:r>
            <w:r w:rsidRPr="002F43CB">
              <w:rPr>
                <w:rFonts w:asciiTheme="minorEastAsia" w:eastAsiaTheme="minorEastAsia" w:hAnsiTheme="minorEastAsia" w:hint="eastAsia"/>
                <w:b/>
                <w:color w:val="000000"/>
                <w:szCs w:val="21"/>
              </w:rPr>
              <w:t>:</w:t>
            </w:r>
          </w:p>
          <w:p w:rsidR="0088383B" w:rsidRDefault="0088383B" w:rsidP="007D6E40">
            <w:pPr>
              <w:spacing w:beforeLines="50" w:line="400" w:lineRule="exact"/>
              <w:ind w:firstLineChars="200" w:firstLine="420"/>
              <w:rPr>
                <w:rFonts w:asciiTheme="minorEastAsia" w:eastAsiaTheme="minorEastAsia" w:hAnsiTheme="minorEastAsia"/>
                <w:color w:val="000000"/>
                <w:szCs w:val="21"/>
              </w:rPr>
            </w:pPr>
            <w:r w:rsidRPr="0088383B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公司董事会秘书刘东先生</w:t>
            </w:r>
            <w:r w:rsidR="00FD2FE2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从报告期内</w:t>
            </w:r>
            <w:r w:rsidR="0030341E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将</w:t>
            </w:r>
            <w:r w:rsidR="00FD2FE2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公司所处行业</w:t>
            </w:r>
            <w:r w:rsidR="00FD2FE2" w:rsidRPr="00FD2FE2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供强需弱复杂外部环境下</w:t>
            </w:r>
            <w:r w:rsidR="00FD2FE2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，围绕“一体两翼”发展格局，高效应对复杂环境挑战，持续推进产业升级、攻坚重点项目、拓展产业版图，关键领域突破成效显著，</w:t>
            </w:r>
            <w:r w:rsidRPr="0088383B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公司发展彰显出</w:t>
            </w:r>
            <w:r w:rsidR="00FD2FE2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了</w:t>
            </w:r>
            <w:r w:rsidRPr="0088383B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强大韧劲与内生动力。</w:t>
            </w:r>
            <w:r w:rsidR="00343EFC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同时，</w:t>
            </w:r>
            <w:r w:rsidR="005F0279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从公司煤层气、天然气生</w:t>
            </w:r>
            <w:r w:rsidR="005F0279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lastRenderedPageBreak/>
              <w:t>产经营情况表明公司存量资源经营稳健，进而</w:t>
            </w:r>
            <w:r w:rsidR="00442EF0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分析了</w:t>
            </w:r>
            <w:r w:rsidR="005F0279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公司在生产经营情况</w:t>
            </w:r>
            <w:r w:rsidR="003020D1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正常、营业收入稳步增长的情况下，净利润、归母净利润同比</w:t>
            </w:r>
            <w:r w:rsidR="005F0279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降低的原因</w:t>
            </w:r>
            <w:r w:rsidR="00760D55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，</w:t>
            </w:r>
            <w:r w:rsidR="00442EF0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即</w:t>
            </w:r>
            <w:r w:rsidR="00442EF0" w:rsidRPr="00442EF0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主要是非经营性损益的影响</w:t>
            </w:r>
            <w:r w:rsidR="00442EF0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。最后，有重点地介绍了公司上游资源储备及推进情况。具体交流如下：</w:t>
            </w:r>
          </w:p>
          <w:p w:rsidR="00943BB8" w:rsidRDefault="005A7DF2" w:rsidP="006F5AC4">
            <w:pPr>
              <w:pStyle w:val="a6"/>
              <w:numPr>
                <w:ilvl w:val="0"/>
                <w:numId w:val="10"/>
              </w:numPr>
              <w:spacing w:line="400" w:lineRule="exact"/>
              <w:ind w:firstLineChars="0"/>
              <w:rPr>
                <w:rFonts w:asciiTheme="minorEastAsia" w:eastAsiaTheme="minorEastAsia" w:hAnsiTheme="minorEastAsia"/>
                <w:b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/>
                <w:szCs w:val="21"/>
              </w:rPr>
              <w:t>2</w:t>
            </w:r>
            <w:r>
              <w:rPr>
                <w:rFonts w:asciiTheme="minorEastAsia" w:eastAsiaTheme="minorEastAsia" w:hAnsiTheme="minorEastAsia"/>
                <w:b/>
                <w:szCs w:val="21"/>
              </w:rPr>
              <w:t>025</w:t>
            </w:r>
            <w:r>
              <w:rPr>
                <w:rFonts w:asciiTheme="minorEastAsia" w:eastAsiaTheme="minorEastAsia" w:hAnsiTheme="minorEastAsia" w:hint="eastAsia"/>
                <w:b/>
                <w:szCs w:val="21"/>
              </w:rPr>
              <w:t>年，在公司实现营业收入3</w:t>
            </w:r>
            <w:r>
              <w:rPr>
                <w:rFonts w:asciiTheme="minorEastAsia" w:eastAsiaTheme="minorEastAsia" w:hAnsiTheme="minorEastAsia"/>
                <w:b/>
                <w:szCs w:val="21"/>
              </w:rPr>
              <w:t>9.24</w:t>
            </w:r>
            <w:r>
              <w:rPr>
                <w:rFonts w:asciiTheme="minorEastAsia" w:eastAsiaTheme="minorEastAsia" w:hAnsiTheme="minorEastAsia" w:hint="eastAsia"/>
                <w:b/>
                <w:szCs w:val="21"/>
              </w:rPr>
              <w:t>亿元，同比增长3</w:t>
            </w:r>
            <w:r>
              <w:rPr>
                <w:rFonts w:asciiTheme="minorEastAsia" w:eastAsiaTheme="minorEastAsia" w:hAnsiTheme="minorEastAsia"/>
                <w:b/>
                <w:szCs w:val="21"/>
              </w:rPr>
              <w:t>.89%</w:t>
            </w:r>
            <w:r>
              <w:rPr>
                <w:rFonts w:asciiTheme="minorEastAsia" w:eastAsiaTheme="minorEastAsia" w:hAnsiTheme="minorEastAsia" w:hint="eastAsia"/>
                <w:b/>
                <w:szCs w:val="21"/>
              </w:rPr>
              <w:t>的情况下，净利润、归母净利润同比大幅降低的原因？</w:t>
            </w:r>
          </w:p>
          <w:p w:rsidR="00943BB8" w:rsidRPr="00943BB8" w:rsidRDefault="00943BB8" w:rsidP="00943BB8">
            <w:pPr>
              <w:pStyle w:val="a6"/>
              <w:spacing w:line="400" w:lineRule="exact"/>
              <w:ind w:left="420" w:firstLineChars="0" w:firstLine="0"/>
              <w:rPr>
                <w:rFonts w:asciiTheme="minorEastAsia" w:eastAsiaTheme="minorEastAsia" w:hAnsiTheme="minorEastAsia"/>
                <w:b/>
                <w:szCs w:val="21"/>
              </w:rPr>
            </w:pPr>
            <w:r w:rsidRPr="005A7DF2">
              <w:rPr>
                <w:rFonts w:asciiTheme="minorEastAsia" w:eastAsiaTheme="minorEastAsia" w:hAnsiTheme="minorEastAsia" w:hint="eastAsia"/>
                <w:szCs w:val="21"/>
              </w:rPr>
              <w:t>答：</w:t>
            </w:r>
            <w:r w:rsidR="005A7DF2">
              <w:rPr>
                <w:rFonts w:asciiTheme="minorEastAsia" w:eastAsiaTheme="minorEastAsia" w:hAnsiTheme="minorEastAsia" w:hint="eastAsia"/>
                <w:szCs w:val="21"/>
              </w:rPr>
              <w:t>2</w:t>
            </w:r>
            <w:r w:rsidR="005A7DF2">
              <w:rPr>
                <w:rFonts w:asciiTheme="minorEastAsia" w:eastAsiaTheme="minorEastAsia" w:hAnsiTheme="minorEastAsia"/>
                <w:szCs w:val="21"/>
              </w:rPr>
              <w:t>025</w:t>
            </w:r>
            <w:r w:rsidR="005A7DF2">
              <w:rPr>
                <w:rFonts w:asciiTheme="minorEastAsia" w:eastAsiaTheme="minorEastAsia" w:hAnsiTheme="minorEastAsia" w:hint="eastAsia"/>
                <w:szCs w:val="21"/>
              </w:rPr>
              <w:t>年，公司净利润、归母净利润分别为5</w:t>
            </w:r>
            <w:r w:rsidR="005A7DF2">
              <w:rPr>
                <w:rFonts w:asciiTheme="minorEastAsia" w:eastAsiaTheme="minorEastAsia" w:hAnsiTheme="minorEastAsia"/>
                <w:szCs w:val="21"/>
              </w:rPr>
              <w:t>.75</w:t>
            </w:r>
            <w:r w:rsidR="005A7DF2">
              <w:rPr>
                <w:rFonts w:asciiTheme="minorEastAsia" w:eastAsiaTheme="minorEastAsia" w:hAnsiTheme="minorEastAsia" w:hint="eastAsia"/>
                <w:szCs w:val="21"/>
              </w:rPr>
              <w:t>亿元、8</w:t>
            </w:r>
            <w:r w:rsidR="005A7DF2">
              <w:rPr>
                <w:rFonts w:asciiTheme="minorEastAsia" w:eastAsiaTheme="minorEastAsia" w:hAnsiTheme="minorEastAsia"/>
                <w:szCs w:val="21"/>
              </w:rPr>
              <w:t>.07</w:t>
            </w:r>
            <w:r w:rsidR="005A7DF2">
              <w:rPr>
                <w:rFonts w:asciiTheme="minorEastAsia" w:eastAsiaTheme="minorEastAsia" w:hAnsiTheme="minorEastAsia" w:hint="eastAsia"/>
                <w:szCs w:val="21"/>
              </w:rPr>
              <w:t>亿元，同比分别减少5</w:t>
            </w:r>
            <w:r w:rsidR="005A7DF2">
              <w:rPr>
                <w:rFonts w:asciiTheme="minorEastAsia" w:eastAsiaTheme="minorEastAsia" w:hAnsiTheme="minorEastAsia"/>
                <w:szCs w:val="21"/>
              </w:rPr>
              <w:t>2.28%</w:t>
            </w:r>
            <w:r w:rsidR="005A7DF2">
              <w:rPr>
                <w:rFonts w:asciiTheme="minorEastAsia" w:eastAsiaTheme="minorEastAsia" w:hAnsiTheme="minorEastAsia" w:hint="eastAsia"/>
                <w:szCs w:val="21"/>
              </w:rPr>
              <w:t>、3</w:t>
            </w:r>
            <w:r w:rsidR="005A7DF2">
              <w:rPr>
                <w:rFonts w:asciiTheme="minorEastAsia" w:eastAsiaTheme="minorEastAsia" w:hAnsiTheme="minorEastAsia"/>
                <w:szCs w:val="21"/>
              </w:rPr>
              <w:t>1.92%</w:t>
            </w:r>
            <w:r w:rsidR="005A7DF2">
              <w:rPr>
                <w:rFonts w:asciiTheme="minorEastAsia" w:eastAsiaTheme="minorEastAsia" w:hAnsiTheme="minorEastAsia" w:hint="eastAsia"/>
                <w:szCs w:val="21"/>
              </w:rPr>
              <w:t>。</w:t>
            </w:r>
            <w:r w:rsidR="005A7DF2" w:rsidRPr="00CA1FA5">
              <w:rPr>
                <w:rFonts w:asciiTheme="minorEastAsia" w:eastAsiaTheme="minorEastAsia" w:hAnsiTheme="minorEastAsia" w:hint="eastAsia"/>
                <w:b/>
                <w:szCs w:val="21"/>
              </w:rPr>
              <w:t>主要原因：</w:t>
            </w:r>
            <w:r w:rsidR="005A7DF2">
              <w:rPr>
                <w:rFonts w:asciiTheme="minorEastAsia" w:eastAsiaTheme="minorEastAsia" w:hAnsiTheme="minorEastAsia" w:hint="eastAsia"/>
                <w:szCs w:val="21"/>
              </w:rPr>
              <w:t>一是根据财务审慎性原则，计提了约5</w:t>
            </w:r>
            <w:r w:rsidR="005A7DF2">
              <w:rPr>
                <w:rFonts w:asciiTheme="minorEastAsia" w:eastAsiaTheme="minorEastAsia" w:hAnsiTheme="minorEastAsia"/>
                <w:szCs w:val="21"/>
              </w:rPr>
              <w:t>.2</w:t>
            </w:r>
            <w:r w:rsidR="005A7DF2">
              <w:rPr>
                <w:rFonts w:asciiTheme="minorEastAsia" w:eastAsiaTheme="minorEastAsia" w:hAnsiTheme="minorEastAsia" w:hint="eastAsia"/>
                <w:szCs w:val="21"/>
              </w:rPr>
              <w:t>亿元的</w:t>
            </w:r>
            <w:r w:rsidR="00E32474">
              <w:rPr>
                <w:rFonts w:asciiTheme="minorEastAsia" w:eastAsiaTheme="minorEastAsia" w:hAnsiTheme="minorEastAsia" w:hint="eastAsia"/>
                <w:szCs w:val="21"/>
              </w:rPr>
              <w:t>资产</w:t>
            </w:r>
            <w:r w:rsidR="005A7DF2">
              <w:rPr>
                <w:rFonts w:asciiTheme="minorEastAsia" w:eastAsiaTheme="minorEastAsia" w:hAnsiTheme="minorEastAsia" w:hint="eastAsia"/>
                <w:szCs w:val="21"/>
              </w:rPr>
              <w:t>减值准备；二是财务费用增加了约1亿元；三是增值税退税取消影响约0</w:t>
            </w:r>
            <w:r w:rsidR="005A7DF2">
              <w:rPr>
                <w:rFonts w:asciiTheme="minorEastAsia" w:eastAsiaTheme="minorEastAsia" w:hAnsiTheme="minorEastAsia"/>
                <w:szCs w:val="21"/>
              </w:rPr>
              <w:t>.3</w:t>
            </w:r>
            <w:r w:rsidR="005A7DF2">
              <w:rPr>
                <w:rFonts w:asciiTheme="minorEastAsia" w:eastAsiaTheme="minorEastAsia" w:hAnsiTheme="minorEastAsia" w:hint="eastAsia"/>
                <w:szCs w:val="21"/>
              </w:rPr>
              <w:t>亿元；四是</w:t>
            </w:r>
            <w:r w:rsidR="00CA1FA5">
              <w:rPr>
                <w:rFonts w:asciiTheme="minorEastAsia" w:eastAsiaTheme="minorEastAsia" w:hAnsiTheme="minorEastAsia" w:hint="eastAsia"/>
                <w:szCs w:val="21"/>
              </w:rPr>
              <w:t>新疆</w:t>
            </w:r>
            <w:r w:rsidR="005A7DF2">
              <w:rPr>
                <w:rFonts w:asciiTheme="minorEastAsia" w:eastAsiaTheme="minorEastAsia" w:hAnsiTheme="minorEastAsia" w:hint="eastAsia"/>
                <w:szCs w:val="21"/>
              </w:rPr>
              <w:t>城燃业务顺价机制不畅影响</w:t>
            </w:r>
            <w:r w:rsidR="00CA1FA5">
              <w:rPr>
                <w:rFonts w:asciiTheme="minorEastAsia" w:eastAsiaTheme="minorEastAsia" w:hAnsiTheme="minorEastAsia" w:hint="eastAsia"/>
                <w:szCs w:val="21"/>
              </w:rPr>
              <w:t>约</w:t>
            </w:r>
            <w:r w:rsidR="005A7DF2">
              <w:rPr>
                <w:rFonts w:asciiTheme="minorEastAsia" w:eastAsiaTheme="minorEastAsia" w:hAnsiTheme="minorEastAsia" w:hint="eastAsia"/>
                <w:szCs w:val="21"/>
              </w:rPr>
              <w:t>0</w:t>
            </w:r>
            <w:r w:rsidR="005A7DF2">
              <w:rPr>
                <w:rFonts w:asciiTheme="minorEastAsia" w:eastAsiaTheme="minorEastAsia" w:hAnsiTheme="minorEastAsia"/>
                <w:szCs w:val="21"/>
              </w:rPr>
              <w:t>.22</w:t>
            </w:r>
            <w:r w:rsidR="005A7DF2">
              <w:rPr>
                <w:rFonts w:asciiTheme="minorEastAsia" w:eastAsiaTheme="minorEastAsia" w:hAnsiTheme="minorEastAsia" w:hint="eastAsia"/>
                <w:szCs w:val="21"/>
              </w:rPr>
              <w:t>亿元</w:t>
            </w:r>
            <w:r w:rsidR="00F75802" w:rsidRPr="00F75802">
              <w:rPr>
                <w:rFonts w:asciiTheme="minorEastAsia" w:eastAsiaTheme="minorEastAsia" w:hAnsiTheme="minorEastAsia" w:hint="eastAsia"/>
                <w:szCs w:val="21"/>
              </w:rPr>
              <w:t>。</w:t>
            </w:r>
          </w:p>
          <w:p w:rsidR="00C35862" w:rsidRDefault="00C35862" w:rsidP="006F5AC4">
            <w:pPr>
              <w:pStyle w:val="a6"/>
              <w:numPr>
                <w:ilvl w:val="0"/>
                <w:numId w:val="10"/>
              </w:numPr>
              <w:spacing w:line="400" w:lineRule="exact"/>
              <w:ind w:firstLineChars="0"/>
              <w:rPr>
                <w:rFonts w:asciiTheme="minorEastAsia" w:eastAsiaTheme="minorEastAsia" w:hAnsiTheme="minorEastAsia"/>
                <w:b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/>
                <w:szCs w:val="21"/>
              </w:rPr>
              <w:t>2</w:t>
            </w:r>
            <w:r>
              <w:rPr>
                <w:rFonts w:asciiTheme="minorEastAsia" w:eastAsiaTheme="minorEastAsia" w:hAnsiTheme="minorEastAsia"/>
                <w:b/>
                <w:szCs w:val="21"/>
              </w:rPr>
              <w:t>025</w:t>
            </w:r>
            <w:r>
              <w:rPr>
                <w:rFonts w:asciiTheme="minorEastAsia" w:eastAsiaTheme="minorEastAsia" w:hAnsiTheme="minorEastAsia" w:hint="eastAsia"/>
                <w:b/>
                <w:szCs w:val="21"/>
              </w:rPr>
              <w:t>年，公司计提约5</w:t>
            </w:r>
            <w:r>
              <w:rPr>
                <w:rFonts w:asciiTheme="minorEastAsia" w:eastAsiaTheme="minorEastAsia" w:hAnsiTheme="minorEastAsia"/>
                <w:b/>
                <w:szCs w:val="21"/>
              </w:rPr>
              <w:t>.2</w:t>
            </w:r>
            <w:r>
              <w:rPr>
                <w:rFonts w:asciiTheme="minorEastAsia" w:eastAsiaTheme="minorEastAsia" w:hAnsiTheme="minorEastAsia" w:hint="eastAsia"/>
                <w:b/>
                <w:szCs w:val="21"/>
              </w:rPr>
              <w:t>亿元的</w:t>
            </w:r>
            <w:r w:rsidR="0026052E">
              <w:rPr>
                <w:rFonts w:asciiTheme="minorEastAsia" w:eastAsiaTheme="minorEastAsia" w:hAnsiTheme="minorEastAsia" w:hint="eastAsia"/>
                <w:b/>
                <w:szCs w:val="21"/>
              </w:rPr>
              <w:t>资产</w:t>
            </w:r>
            <w:r>
              <w:rPr>
                <w:rFonts w:asciiTheme="minorEastAsia" w:eastAsiaTheme="minorEastAsia" w:hAnsiTheme="minorEastAsia" w:hint="eastAsia"/>
                <w:b/>
                <w:szCs w:val="21"/>
              </w:rPr>
              <w:t>减值准备的情况说明？</w:t>
            </w:r>
          </w:p>
          <w:p w:rsidR="00C35862" w:rsidRDefault="00C35862" w:rsidP="00C35862">
            <w:pPr>
              <w:pStyle w:val="a6"/>
              <w:spacing w:line="400" w:lineRule="exact"/>
              <w:ind w:left="420" w:firstLineChars="0" w:firstLine="0"/>
              <w:rPr>
                <w:rFonts w:asciiTheme="minorEastAsia" w:eastAsiaTheme="minorEastAsia" w:hAnsiTheme="minorEastAsia"/>
                <w:b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答：</w:t>
            </w:r>
            <w:r w:rsidRPr="00CA1FA5">
              <w:rPr>
                <w:rFonts w:asciiTheme="minorEastAsia" w:eastAsiaTheme="minorEastAsia" w:hAnsiTheme="minorEastAsia" w:hint="eastAsia"/>
                <w:szCs w:val="21"/>
              </w:rPr>
              <w:t>关于</w:t>
            </w:r>
            <w:r>
              <w:rPr>
                <w:rFonts w:asciiTheme="minorEastAsia" w:eastAsiaTheme="minorEastAsia" w:hAnsiTheme="minorEastAsia" w:hint="eastAsia"/>
                <w:szCs w:val="21"/>
              </w:rPr>
              <w:t>计提的5</w:t>
            </w:r>
            <w:r>
              <w:rPr>
                <w:rFonts w:asciiTheme="minorEastAsia" w:eastAsiaTheme="minorEastAsia" w:hAnsiTheme="minorEastAsia"/>
                <w:szCs w:val="21"/>
              </w:rPr>
              <w:t>.2</w:t>
            </w:r>
            <w:r>
              <w:rPr>
                <w:rFonts w:asciiTheme="minorEastAsia" w:eastAsiaTheme="minorEastAsia" w:hAnsiTheme="minorEastAsia" w:hint="eastAsia"/>
                <w:szCs w:val="21"/>
              </w:rPr>
              <w:t>亿元</w:t>
            </w:r>
            <w:r w:rsidR="00404B92">
              <w:rPr>
                <w:rFonts w:asciiTheme="minorEastAsia" w:eastAsiaTheme="minorEastAsia" w:hAnsiTheme="minorEastAsia" w:hint="eastAsia"/>
                <w:szCs w:val="21"/>
              </w:rPr>
              <w:t>资产</w:t>
            </w:r>
            <w:r>
              <w:rPr>
                <w:rFonts w:asciiTheme="minorEastAsia" w:eastAsiaTheme="minorEastAsia" w:hAnsiTheme="minorEastAsia" w:hint="eastAsia"/>
                <w:szCs w:val="21"/>
              </w:rPr>
              <w:t>减值准备。其中，</w:t>
            </w:r>
            <w:r w:rsidRPr="00C35862">
              <w:rPr>
                <w:rFonts w:asciiTheme="minorEastAsia" w:eastAsiaTheme="minorEastAsia" w:hAnsiTheme="minorEastAsia" w:hint="eastAsia"/>
                <w:b/>
                <w:szCs w:val="21"/>
              </w:rPr>
              <w:t>一是</w:t>
            </w:r>
            <w:r w:rsidRPr="00306C87">
              <w:rPr>
                <w:rFonts w:asciiTheme="minorEastAsia" w:eastAsiaTheme="minorEastAsia" w:hAnsiTheme="minorEastAsia" w:hint="eastAsia"/>
                <w:szCs w:val="21"/>
              </w:rPr>
              <w:t>喀什北油气资产减值计提了约3</w:t>
            </w:r>
            <w:r w:rsidRPr="00306C87">
              <w:rPr>
                <w:rFonts w:asciiTheme="minorEastAsia" w:eastAsiaTheme="minorEastAsia" w:hAnsiTheme="minorEastAsia"/>
                <w:szCs w:val="21"/>
              </w:rPr>
              <w:t>.5</w:t>
            </w:r>
            <w:r w:rsidRPr="00306C87">
              <w:rPr>
                <w:rFonts w:asciiTheme="minorEastAsia" w:eastAsiaTheme="minorEastAsia" w:hAnsiTheme="minorEastAsia" w:hint="eastAsia"/>
                <w:szCs w:val="21"/>
              </w:rPr>
              <w:t>亿元，</w:t>
            </w:r>
            <w:r>
              <w:rPr>
                <w:rFonts w:asciiTheme="minorEastAsia" w:eastAsiaTheme="minorEastAsia" w:hAnsiTheme="minorEastAsia" w:hint="eastAsia"/>
                <w:szCs w:val="21"/>
              </w:rPr>
              <w:t>主要是</w:t>
            </w:r>
            <w:r w:rsidRPr="00CA1FA5">
              <w:rPr>
                <w:rFonts w:asciiTheme="minorEastAsia" w:eastAsiaTheme="minorEastAsia" w:hAnsiTheme="minorEastAsia" w:hint="eastAsia"/>
                <w:szCs w:val="21"/>
              </w:rPr>
              <w:t>喀什北阿克莫木气田因产量下降，销售价格较低，优化增产方案暂未批复等原因，导致报告期内的资产评估数据较低，由此形成了资产减值损失。此次计提，意味着未来折旧等指标会降低，有利于后期报表的良好表现，尤其是随着优化增产方案审批实施及或销售价格的提升，资产价值将凸显</w:t>
            </w:r>
            <w:r>
              <w:rPr>
                <w:rFonts w:asciiTheme="minorEastAsia" w:eastAsiaTheme="minorEastAsia" w:hAnsiTheme="minorEastAsia" w:hint="eastAsia"/>
                <w:szCs w:val="21"/>
              </w:rPr>
              <w:t>。</w:t>
            </w:r>
            <w:r w:rsidRPr="00C35862">
              <w:rPr>
                <w:rFonts w:asciiTheme="minorEastAsia" w:eastAsiaTheme="minorEastAsia" w:hAnsiTheme="minorEastAsia" w:hint="eastAsia"/>
                <w:b/>
                <w:szCs w:val="21"/>
              </w:rPr>
              <w:t>二是</w:t>
            </w:r>
            <w:r w:rsidRPr="00306C87">
              <w:rPr>
                <w:rFonts w:asciiTheme="minorEastAsia" w:eastAsiaTheme="minorEastAsia" w:hAnsiTheme="minorEastAsia" w:hint="eastAsia"/>
                <w:szCs w:val="21"/>
              </w:rPr>
              <w:t>应收款计提了约1</w:t>
            </w:r>
            <w:r w:rsidRPr="00306C87">
              <w:rPr>
                <w:rFonts w:asciiTheme="minorEastAsia" w:eastAsiaTheme="minorEastAsia" w:hAnsiTheme="minorEastAsia"/>
                <w:szCs w:val="21"/>
              </w:rPr>
              <w:t>.1</w:t>
            </w:r>
            <w:r w:rsidRPr="00306C87">
              <w:rPr>
                <w:rFonts w:asciiTheme="minorEastAsia" w:eastAsiaTheme="minorEastAsia" w:hAnsiTheme="minorEastAsia" w:hint="eastAsia"/>
                <w:szCs w:val="21"/>
              </w:rPr>
              <w:t>亿元，</w:t>
            </w:r>
            <w:r>
              <w:rPr>
                <w:rFonts w:asciiTheme="minorEastAsia" w:eastAsiaTheme="minorEastAsia" w:hAnsiTheme="minorEastAsia" w:hint="eastAsia"/>
                <w:szCs w:val="21"/>
              </w:rPr>
              <w:t>主要涉及应收山西通豫的款项约0</w:t>
            </w:r>
            <w:r>
              <w:rPr>
                <w:rFonts w:asciiTheme="minorEastAsia" w:eastAsiaTheme="minorEastAsia" w:hAnsiTheme="minorEastAsia"/>
                <w:szCs w:val="21"/>
              </w:rPr>
              <w:t>.6</w:t>
            </w:r>
            <w:r>
              <w:rPr>
                <w:rFonts w:asciiTheme="minorEastAsia" w:eastAsiaTheme="minorEastAsia" w:hAnsiTheme="minorEastAsia" w:hint="eastAsia"/>
                <w:szCs w:val="21"/>
              </w:rPr>
              <w:t>亿元和应收政府工程结算款项约0</w:t>
            </w:r>
            <w:r>
              <w:rPr>
                <w:rFonts w:asciiTheme="minorEastAsia" w:eastAsiaTheme="minorEastAsia" w:hAnsiTheme="minorEastAsia"/>
                <w:szCs w:val="21"/>
              </w:rPr>
              <w:t>.4</w:t>
            </w:r>
            <w:r>
              <w:rPr>
                <w:rFonts w:asciiTheme="minorEastAsia" w:eastAsiaTheme="minorEastAsia" w:hAnsiTheme="minorEastAsia" w:hint="eastAsia"/>
                <w:szCs w:val="21"/>
              </w:rPr>
              <w:t>亿元。前者</w:t>
            </w:r>
            <w:r w:rsidRPr="00CA1FA5">
              <w:rPr>
                <w:rFonts w:asciiTheme="minorEastAsia" w:eastAsiaTheme="minorEastAsia" w:hAnsiTheme="minorEastAsia" w:hint="eastAsia"/>
                <w:szCs w:val="21"/>
              </w:rPr>
              <w:t>自2025年5月13日复工复产时间较短，恢复试运营期间管输量较少，影响了</w:t>
            </w:r>
            <w:r>
              <w:rPr>
                <w:rFonts w:asciiTheme="minorEastAsia" w:eastAsiaTheme="minorEastAsia" w:hAnsiTheme="minorEastAsia" w:hint="eastAsia"/>
                <w:szCs w:val="21"/>
              </w:rPr>
              <w:t>山西</w:t>
            </w:r>
            <w:r w:rsidRPr="00CA1FA5">
              <w:rPr>
                <w:rFonts w:asciiTheme="minorEastAsia" w:eastAsiaTheme="minorEastAsia" w:hAnsiTheme="minorEastAsia" w:hint="eastAsia"/>
                <w:szCs w:val="21"/>
              </w:rPr>
              <w:t>通豫的自身营运能力，根据审计审慎性的原则，对其往来款项计提了减值。随着管输业务量和营运情况的显著提升，相关应收款项有望予以回收；</w:t>
            </w:r>
            <w:r>
              <w:rPr>
                <w:rFonts w:asciiTheme="minorEastAsia" w:eastAsiaTheme="minorEastAsia" w:hAnsiTheme="minorEastAsia" w:hint="eastAsia"/>
                <w:szCs w:val="21"/>
              </w:rPr>
              <w:t>后者</w:t>
            </w:r>
            <w:r w:rsidRPr="00CA1FA5">
              <w:rPr>
                <w:rFonts w:asciiTheme="minorEastAsia" w:eastAsiaTheme="minorEastAsia" w:hAnsiTheme="minorEastAsia" w:hint="eastAsia"/>
                <w:szCs w:val="21"/>
              </w:rPr>
              <w:t>主要涉及应收政府款项，公司相信有关款项后续会予以回收。上述情况消除后将会增加公司的业绩。</w:t>
            </w:r>
          </w:p>
          <w:p w:rsidR="00C35862" w:rsidRDefault="00C35862" w:rsidP="006F5AC4">
            <w:pPr>
              <w:pStyle w:val="a6"/>
              <w:numPr>
                <w:ilvl w:val="0"/>
                <w:numId w:val="10"/>
              </w:numPr>
              <w:spacing w:line="400" w:lineRule="exact"/>
              <w:ind w:firstLineChars="0"/>
              <w:rPr>
                <w:rFonts w:asciiTheme="minorEastAsia" w:eastAsiaTheme="minorEastAsia" w:hAnsiTheme="minorEastAsia"/>
                <w:b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/>
                <w:szCs w:val="21"/>
              </w:rPr>
              <w:t>2</w:t>
            </w:r>
            <w:r>
              <w:rPr>
                <w:rFonts w:asciiTheme="minorEastAsia" w:eastAsiaTheme="minorEastAsia" w:hAnsiTheme="minorEastAsia"/>
                <w:b/>
                <w:szCs w:val="21"/>
              </w:rPr>
              <w:t>025</w:t>
            </w:r>
            <w:r>
              <w:rPr>
                <w:rFonts w:asciiTheme="minorEastAsia" w:eastAsiaTheme="minorEastAsia" w:hAnsiTheme="minorEastAsia" w:hint="eastAsia"/>
                <w:b/>
                <w:szCs w:val="21"/>
              </w:rPr>
              <w:t>年，公司财务费用同比增加约1亿元的原因？</w:t>
            </w:r>
          </w:p>
          <w:p w:rsidR="00C35862" w:rsidRPr="00C35862" w:rsidRDefault="00C35862" w:rsidP="00C35862">
            <w:pPr>
              <w:pStyle w:val="a6"/>
              <w:spacing w:line="400" w:lineRule="exact"/>
              <w:ind w:left="420" w:firstLineChars="0" w:firstLine="0"/>
              <w:rPr>
                <w:rFonts w:asciiTheme="minorEastAsia" w:eastAsiaTheme="minorEastAsia" w:hAnsiTheme="minorEastAsia"/>
                <w:szCs w:val="21"/>
              </w:rPr>
            </w:pPr>
            <w:r w:rsidRPr="00C35862">
              <w:rPr>
                <w:rFonts w:asciiTheme="minorEastAsia" w:eastAsiaTheme="minorEastAsia" w:hAnsiTheme="minorEastAsia" w:hint="eastAsia"/>
                <w:szCs w:val="21"/>
              </w:rPr>
              <w:t>答：2025年财务费用约2.42亿元，较2024年1.40亿元增加1.02亿元，主要由于支付竞拍三塘湖煤炭项目款项，带来的借款约25亿元增加的利息支出，以及利息收入减少等原因所致。</w:t>
            </w:r>
          </w:p>
          <w:p w:rsidR="00B95753" w:rsidRDefault="00B95753" w:rsidP="006F5AC4">
            <w:pPr>
              <w:pStyle w:val="a6"/>
              <w:numPr>
                <w:ilvl w:val="0"/>
                <w:numId w:val="10"/>
              </w:numPr>
              <w:spacing w:line="400" w:lineRule="exact"/>
              <w:ind w:firstLineChars="0"/>
              <w:rPr>
                <w:rFonts w:asciiTheme="minorEastAsia" w:eastAsiaTheme="minorEastAsia" w:hAnsiTheme="minorEastAsia"/>
                <w:b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/>
                <w:szCs w:val="21"/>
              </w:rPr>
              <w:t>2</w:t>
            </w:r>
            <w:r>
              <w:rPr>
                <w:rFonts w:asciiTheme="minorEastAsia" w:eastAsiaTheme="minorEastAsia" w:hAnsiTheme="minorEastAsia"/>
                <w:b/>
                <w:szCs w:val="21"/>
              </w:rPr>
              <w:t>025</w:t>
            </w:r>
            <w:r>
              <w:rPr>
                <w:rFonts w:asciiTheme="minorEastAsia" w:eastAsiaTheme="minorEastAsia" w:hAnsiTheme="minorEastAsia" w:hint="eastAsia"/>
                <w:b/>
                <w:szCs w:val="21"/>
              </w:rPr>
              <w:t>年，公司净利润远小于归母净利润的原因？</w:t>
            </w:r>
          </w:p>
          <w:p w:rsidR="00D61108" w:rsidRDefault="00EF2047" w:rsidP="00EF2047">
            <w:pPr>
              <w:pStyle w:val="a6"/>
              <w:spacing w:line="400" w:lineRule="exact"/>
              <w:ind w:left="420" w:firstLineChars="0" w:firstLine="0"/>
              <w:rPr>
                <w:rFonts w:asciiTheme="minorEastAsia" w:eastAsiaTheme="minorEastAsia" w:hAnsiTheme="minorEastAsia"/>
                <w:szCs w:val="21"/>
              </w:rPr>
            </w:pPr>
            <w:r w:rsidRPr="00EF2047">
              <w:rPr>
                <w:rFonts w:asciiTheme="minorEastAsia" w:eastAsiaTheme="minorEastAsia" w:hAnsiTheme="minorEastAsia" w:hint="eastAsia"/>
                <w:szCs w:val="21"/>
              </w:rPr>
              <w:t>答：</w:t>
            </w:r>
            <w:r w:rsidR="00404B92">
              <w:rPr>
                <w:rFonts w:asciiTheme="minorEastAsia" w:eastAsiaTheme="minorEastAsia" w:hAnsiTheme="minorEastAsia" w:hint="eastAsia"/>
                <w:szCs w:val="21"/>
              </w:rPr>
              <w:t>主要是</w:t>
            </w:r>
            <w:r w:rsidR="00096D99">
              <w:rPr>
                <w:rFonts w:asciiTheme="minorEastAsia" w:eastAsiaTheme="minorEastAsia" w:hAnsiTheme="minorEastAsia" w:hint="eastAsia"/>
                <w:szCs w:val="21"/>
              </w:rPr>
              <w:t>公司计提了喀什北油气资产减值准备约3</w:t>
            </w:r>
            <w:r w:rsidR="00096D99">
              <w:rPr>
                <w:rFonts w:asciiTheme="minorEastAsia" w:eastAsiaTheme="minorEastAsia" w:hAnsiTheme="minorEastAsia"/>
                <w:szCs w:val="21"/>
              </w:rPr>
              <w:t>.5</w:t>
            </w:r>
            <w:r w:rsidR="00096D99">
              <w:rPr>
                <w:rFonts w:asciiTheme="minorEastAsia" w:eastAsiaTheme="minorEastAsia" w:hAnsiTheme="minorEastAsia" w:hint="eastAsia"/>
                <w:szCs w:val="21"/>
              </w:rPr>
              <w:t>亿元，该油气资产</w:t>
            </w:r>
            <w:r w:rsidR="00D61108">
              <w:rPr>
                <w:rFonts w:asciiTheme="minorEastAsia" w:eastAsiaTheme="minorEastAsia" w:hAnsiTheme="minorEastAsia" w:hint="eastAsia"/>
                <w:szCs w:val="21"/>
              </w:rPr>
              <w:t>间接为公司所控制，但在报告期内归属于公司股东的权益较少，由此计提的减值全额影响公司净利润的同时，仅有少部分影响公司归母净利润所致。</w:t>
            </w:r>
          </w:p>
          <w:p w:rsidR="00B95753" w:rsidRDefault="00B95753" w:rsidP="006F5AC4">
            <w:pPr>
              <w:pStyle w:val="a6"/>
              <w:numPr>
                <w:ilvl w:val="0"/>
                <w:numId w:val="10"/>
              </w:numPr>
              <w:spacing w:line="400" w:lineRule="exact"/>
              <w:ind w:firstLineChars="0"/>
              <w:rPr>
                <w:rFonts w:asciiTheme="minorEastAsia" w:eastAsiaTheme="minorEastAsia" w:hAnsiTheme="minorEastAsia"/>
                <w:b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/>
                <w:szCs w:val="21"/>
              </w:rPr>
              <w:lastRenderedPageBreak/>
              <w:t>2</w:t>
            </w:r>
            <w:r>
              <w:rPr>
                <w:rFonts w:asciiTheme="minorEastAsia" w:eastAsiaTheme="minorEastAsia" w:hAnsiTheme="minorEastAsia"/>
                <w:b/>
                <w:szCs w:val="21"/>
              </w:rPr>
              <w:t>025</w:t>
            </w:r>
            <w:r>
              <w:rPr>
                <w:rFonts w:asciiTheme="minorEastAsia" w:eastAsiaTheme="minorEastAsia" w:hAnsiTheme="minorEastAsia" w:hint="eastAsia"/>
                <w:b/>
                <w:szCs w:val="21"/>
              </w:rPr>
              <w:t>年，公司营业成本同比有较大幅度增长的原因？</w:t>
            </w:r>
          </w:p>
          <w:p w:rsidR="00D61108" w:rsidRPr="00D61108" w:rsidRDefault="00D61108" w:rsidP="00D61108">
            <w:pPr>
              <w:pStyle w:val="a6"/>
              <w:spacing w:line="400" w:lineRule="exact"/>
              <w:ind w:left="420" w:firstLineChars="0" w:firstLine="0"/>
              <w:rPr>
                <w:rFonts w:asciiTheme="minorEastAsia" w:eastAsiaTheme="minorEastAsia" w:hAnsiTheme="minorEastAsia"/>
                <w:szCs w:val="21"/>
              </w:rPr>
            </w:pPr>
            <w:r w:rsidRPr="00D61108">
              <w:rPr>
                <w:rFonts w:asciiTheme="minorEastAsia" w:eastAsiaTheme="minorEastAsia" w:hAnsiTheme="minorEastAsia" w:hint="eastAsia"/>
                <w:szCs w:val="21"/>
              </w:rPr>
              <w:t>答：</w:t>
            </w:r>
            <w:r w:rsidR="00C37529">
              <w:rPr>
                <w:rFonts w:asciiTheme="minorEastAsia" w:eastAsiaTheme="minorEastAsia" w:hAnsiTheme="minorEastAsia" w:hint="eastAsia"/>
                <w:szCs w:val="21"/>
              </w:rPr>
              <w:t>主要是潘庄、马必区块</w:t>
            </w:r>
            <w:r w:rsidR="00404B92">
              <w:rPr>
                <w:rFonts w:asciiTheme="minorEastAsia" w:eastAsiaTheme="minorEastAsia" w:hAnsiTheme="minorEastAsia" w:hint="eastAsia"/>
                <w:szCs w:val="21"/>
              </w:rPr>
              <w:t>因用电优惠政策取消，单位用</w:t>
            </w:r>
            <w:r w:rsidR="00C37529">
              <w:rPr>
                <w:rFonts w:asciiTheme="minorEastAsia" w:eastAsiaTheme="minorEastAsia" w:hAnsiTheme="minorEastAsia" w:hint="eastAsia"/>
                <w:szCs w:val="21"/>
              </w:rPr>
              <w:t>电成本同比增加，及马必区块前期勘探支出转</w:t>
            </w:r>
            <w:r w:rsidR="005D2129">
              <w:rPr>
                <w:rFonts w:asciiTheme="minorEastAsia" w:eastAsiaTheme="minorEastAsia" w:hAnsiTheme="minorEastAsia" w:hint="eastAsia"/>
                <w:szCs w:val="21"/>
              </w:rPr>
              <w:t>固</w:t>
            </w:r>
            <w:r w:rsidR="00C37529">
              <w:rPr>
                <w:rFonts w:asciiTheme="minorEastAsia" w:eastAsiaTheme="minorEastAsia" w:hAnsiTheme="minorEastAsia" w:hint="eastAsia"/>
                <w:szCs w:val="21"/>
              </w:rPr>
              <w:t>，根据产量法计提折旧增加之故。</w:t>
            </w:r>
          </w:p>
          <w:p w:rsidR="00BF5C4D" w:rsidRDefault="00BF5C4D" w:rsidP="006F5AC4">
            <w:pPr>
              <w:pStyle w:val="a6"/>
              <w:numPr>
                <w:ilvl w:val="0"/>
                <w:numId w:val="10"/>
              </w:numPr>
              <w:spacing w:line="400" w:lineRule="exact"/>
              <w:ind w:firstLineChars="0"/>
              <w:rPr>
                <w:rFonts w:asciiTheme="minorEastAsia" w:eastAsiaTheme="minorEastAsia" w:hAnsiTheme="minorEastAsia"/>
                <w:b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/>
                <w:szCs w:val="21"/>
              </w:rPr>
              <w:t>马必区块产量继续保持增长，但增长幅度有所放缓，请问原因及该区块后续产能接续情况？</w:t>
            </w:r>
          </w:p>
          <w:p w:rsidR="00D5301C" w:rsidRPr="00D5301C" w:rsidRDefault="00D5301C" w:rsidP="00561FDB">
            <w:pPr>
              <w:pStyle w:val="a6"/>
              <w:spacing w:line="400" w:lineRule="exact"/>
              <w:ind w:left="420" w:firstLineChars="0" w:firstLine="0"/>
              <w:rPr>
                <w:rFonts w:asciiTheme="minorEastAsia" w:eastAsiaTheme="minorEastAsia" w:hAnsiTheme="minorEastAsia"/>
                <w:szCs w:val="21"/>
              </w:rPr>
            </w:pPr>
            <w:r w:rsidRPr="00D5301C">
              <w:rPr>
                <w:rFonts w:asciiTheme="minorEastAsia" w:eastAsiaTheme="minorEastAsia" w:hAnsiTheme="minorEastAsia" w:hint="eastAsia"/>
                <w:szCs w:val="21"/>
              </w:rPr>
              <w:t>答：</w:t>
            </w:r>
            <w:r w:rsidR="005D2129">
              <w:rPr>
                <w:rFonts w:asciiTheme="minorEastAsia" w:eastAsiaTheme="minorEastAsia" w:hAnsiTheme="minorEastAsia" w:hint="eastAsia"/>
                <w:szCs w:val="21"/>
              </w:rPr>
              <w:t>马必区块产量增长放缓主要</w:t>
            </w:r>
            <w:r w:rsidR="005D2129" w:rsidRPr="005D2129">
              <w:rPr>
                <w:rFonts w:asciiTheme="minorEastAsia" w:eastAsiaTheme="minorEastAsia" w:hAnsiTheme="minorEastAsia" w:hint="eastAsia"/>
                <w:szCs w:val="21"/>
              </w:rPr>
              <w:t>由于北区MB076井区总体开发方案</w:t>
            </w:r>
            <w:r w:rsidR="005D2129">
              <w:rPr>
                <w:rFonts w:asciiTheme="minorEastAsia" w:eastAsiaTheme="minorEastAsia" w:hAnsiTheme="minorEastAsia" w:hint="eastAsia"/>
                <w:szCs w:val="21"/>
              </w:rPr>
              <w:t>审批时间较长</w:t>
            </w:r>
            <w:r w:rsidR="005D2129" w:rsidRPr="005D2129">
              <w:rPr>
                <w:rFonts w:asciiTheme="minorEastAsia" w:eastAsiaTheme="minorEastAsia" w:hAnsiTheme="minorEastAsia" w:hint="eastAsia"/>
                <w:szCs w:val="21"/>
              </w:rPr>
              <w:t>，开发进度受到影响，导致产量虽增长但未达预期</w:t>
            </w:r>
            <w:r w:rsidR="00561FDB">
              <w:rPr>
                <w:rFonts w:asciiTheme="minorEastAsia" w:eastAsiaTheme="minorEastAsia" w:hAnsiTheme="minorEastAsia" w:hint="eastAsia"/>
                <w:szCs w:val="21"/>
              </w:rPr>
              <w:t>之故</w:t>
            </w:r>
            <w:r w:rsidR="005D2129" w:rsidRPr="005D2129">
              <w:rPr>
                <w:rFonts w:asciiTheme="minorEastAsia" w:eastAsiaTheme="minorEastAsia" w:hAnsiTheme="minorEastAsia" w:hint="eastAsia"/>
                <w:szCs w:val="21"/>
              </w:rPr>
              <w:t>。</w:t>
            </w:r>
            <w:r w:rsidR="00561FDB">
              <w:rPr>
                <w:rFonts w:asciiTheme="minorEastAsia" w:eastAsiaTheme="minorEastAsia" w:hAnsiTheme="minorEastAsia" w:hint="eastAsia"/>
                <w:szCs w:val="21"/>
              </w:rPr>
              <w:t>马必区块</w:t>
            </w:r>
            <w:r w:rsidR="00561FDB" w:rsidRPr="00561FDB">
              <w:rPr>
                <w:rFonts w:asciiTheme="minorEastAsia" w:eastAsiaTheme="minorEastAsia" w:hAnsiTheme="minorEastAsia" w:hint="eastAsia"/>
                <w:szCs w:val="21"/>
              </w:rPr>
              <w:t>累计探明含气面积424.6平方公里，地质储量654.93亿方，规划分三期建设，目前初步总</w:t>
            </w:r>
            <w:r w:rsidR="00561FDB">
              <w:rPr>
                <w:rFonts w:asciiTheme="minorEastAsia" w:eastAsiaTheme="minorEastAsia" w:hAnsiTheme="minorEastAsia" w:hint="eastAsia"/>
                <w:szCs w:val="21"/>
              </w:rPr>
              <w:t>规划</w:t>
            </w:r>
            <w:r w:rsidR="00561FDB" w:rsidRPr="00561FDB">
              <w:rPr>
                <w:rFonts w:asciiTheme="minorEastAsia" w:eastAsiaTheme="minorEastAsia" w:hAnsiTheme="minorEastAsia" w:hint="eastAsia"/>
                <w:szCs w:val="21"/>
              </w:rPr>
              <w:t>建产规模为21.5亿方每年。其中：</w:t>
            </w:r>
            <w:r w:rsidR="00561FDB" w:rsidRPr="00561FDB">
              <w:rPr>
                <w:rFonts w:asciiTheme="minorEastAsia" w:eastAsiaTheme="minorEastAsia" w:hAnsiTheme="minorEastAsia" w:hint="eastAsia"/>
                <w:b/>
                <w:szCs w:val="21"/>
              </w:rPr>
              <w:t>一是</w:t>
            </w:r>
            <w:r w:rsidR="00561FDB" w:rsidRPr="00561FDB">
              <w:rPr>
                <w:rFonts w:asciiTheme="minorEastAsia" w:eastAsiaTheme="minorEastAsia" w:hAnsiTheme="minorEastAsia" w:hint="eastAsia"/>
                <w:szCs w:val="21"/>
              </w:rPr>
              <w:t>南区年设计产能10亿方已基本达产，开发效果优于方案设计，涉及探明面积131.7平方公里，地质储量202.9亿方；</w:t>
            </w:r>
            <w:r w:rsidR="00561FDB" w:rsidRPr="00561FDB">
              <w:rPr>
                <w:rFonts w:asciiTheme="minorEastAsia" w:eastAsiaTheme="minorEastAsia" w:hAnsiTheme="minorEastAsia" w:hint="eastAsia"/>
                <w:b/>
                <w:szCs w:val="21"/>
              </w:rPr>
              <w:t>二是</w:t>
            </w:r>
            <w:r w:rsidR="00561FDB" w:rsidRPr="00561FDB">
              <w:rPr>
                <w:rFonts w:asciiTheme="minorEastAsia" w:eastAsiaTheme="minorEastAsia" w:hAnsiTheme="minorEastAsia" w:hint="eastAsia"/>
                <w:szCs w:val="21"/>
              </w:rPr>
              <w:t>北区076井区总体开发方案近期已获中方审议通过，即将进入大规模开发期，076井区涉及探明面积68.8平方公里，地质储量140.02亿方，建产规模4.5亿方/年，预计1-2年内建成达成，稳产期6年。</w:t>
            </w:r>
            <w:r w:rsidR="00561FDB" w:rsidRPr="00561FDB">
              <w:rPr>
                <w:rFonts w:asciiTheme="minorEastAsia" w:eastAsiaTheme="minorEastAsia" w:hAnsiTheme="minorEastAsia" w:hint="eastAsia"/>
                <w:b/>
                <w:szCs w:val="21"/>
              </w:rPr>
              <w:t>三是</w:t>
            </w:r>
            <w:r w:rsidR="00561FDB" w:rsidRPr="00561FDB">
              <w:rPr>
                <w:rFonts w:asciiTheme="minorEastAsia" w:eastAsiaTheme="minorEastAsia" w:hAnsiTheme="minorEastAsia" w:hint="eastAsia"/>
                <w:szCs w:val="21"/>
              </w:rPr>
              <w:t>接续MB076井区的MB105井区和NS02井区（涉及动用面积118平方公里，动用储量163.61亿方）的总体开发方案正在编制，计划今年报批方案；</w:t>
            </w:r>
            <w:r w:rsidR="00561FDB" w:rsidRPr="00561FDB">
              <w:rPr>
                <w:rFonts w:asciiTheme="minorEastAsia" w:eastAsiaTheme="minorEastAsia" w:hAnsiTheme="minorEastAsia" w:hint="eastAsia"/>
                <w:b/>
                <w:szCs w:val="21"/>
              </w:rPr>
              <w:t>四是</w:t>
            </w:r>
            <w:r w:rsidR="00561FDB" w:rsidRPr="00561FDB">
              <w:rPr>
                <w:rFonts w:asciiTheme="minorEastAsia" w:eastAsiaTheme="minorEastAsia" w:hAnsiTheme="minorEastAsia" w:hint="eastAsia"/>
                <w:szCs w:val="21"/>
              </w:rPr>
              <w:t>未探明有利区MB127井区储量报告已经审批通过</w:t>
            </w:r>
            <w:r w:rsidR="00561FDB">
              <w:rPr>
                <w:rFonts w:asciiTheme="minorEastAsia" w:eastAsiaTheme="minorEastAsia" w:hAnsiTheme="minorEastAsia" w:hint="eastAsia"/>
                <w:szCs w:val="21"/>
              </w:rPr>
              <w:t>，以及</w:t>
            </w:r>
            <w:r w:rsidR="00561FDB" w:rsidRPr="00561FDB">
              <w:rPr>
                <w:rFonts w:asciiTheme="minorEastAsia" w:eastAsiaTheme="minorEastAsia" w:hAnsiTheme="minorEastAsia" w:hint="eastAsia"/>
                <w:szCs w:val="21"/>
              </w:rPr>
              <w:t>南区薄煤层正在推进勘探提储。</w:t>
            </w:r>
            <w:r w:rsidR="00561FDB">
              <w:rPr>
                <w:rFonts w:asciiTheme="minorEastAsia" w:eastAsiaTheme="minorEastAsia" w:hAnsiTheme="minorEastAsia" w:hint="eastAsia"/>
                <w:szCs w:val="21"/>
              </w:rPr>
              <w:t>马必区块阶梯推进相关井区提储，储量报告、总体开发方案的编制及审批工作，</w:t>
            </w:r>
            <w:r w:rsidR="00561FDB" w:rsidRPr="00561FDB">
              <w:rPr>
                <w:rFonts w:asciiTheme="minorEastAsia" w:eastAsiaTheme="minorEastAsia" w:hAnsiTheme="minorEastAsia" w:hint="eastAsia"/>
                <w:szCs w:val="21"/>
              </w:rPr>
              <w:t>为产能建设接续及产量提升奠定基础。</w:t>
            </w:r>
            <w:r w:rsidR="00561FDB">
              <w:rPr>
                <w:rFonts w:asciiTheme="minorEastAsia" w:eastAsiaTheme="minorEastAsia" w:hAnsiTheme="minorEastAsia" w:hint="eastAsia"/>
                <w:szCs w:val="21"/>
              </w:rPr>
              <w:t>随着马必0</w:t>
            </w:r>
            <w:r w:rsidR="00561FDB">
              <w:rPr>
                <w:rFonts w:asciiTheme="minorEastAsia" w:eastAsiaTheme="minorEastAsia" w:hAnsiTheme="minorEastAsia"/>
                <w:szCs w:val="21"/>
              </w:rPr>
              <w:t>76</w:t>
            </w:r>
            <w:r w:rsidR="00561FDB">
              <w:rPr>
                <w:rFonts w:asciiTheme="minorEastAsia" w:eastAsiaTheme="minorEastAsia" w:hAnsiTheme="minorEastAsia" w:hint="eastAsia"/>
                <w:szCs w:val="21"/>
              </w:rPr>
              <w:t>井区总体开发方案的获批，及接续井区的加速推进，马必区块将会迎来更大规模开发和生产。</w:t>
            </w:r>
          </w:p>
          <w:p w:rsidR="00B95753" w:rsidRDefault="00B95753" w:rsidP="006F5AC4">
            <w:pPr>
              <w:pStyle w:val="a6"/>
              <w:numPr>
                <w:ilvl w:val="0"/>
                <w:numId w:val="10"/>
              </w:numPr>
              <w:spacing w:line="400" w:lineRule="exact"/>
              <w:ind w:firstLineChars="0"/>
              <w:rPr>
                <w:rFonts w:asciiTheme="minorEastAsia" w:eastAsiaTheme="minorEastAsia" w:hAnsiTheme="minorEastAsia"/>
                <w:b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/>
                <w:szCs w:val="21"/>
              </w:rPr>
              <w:t>马必区块单方气成本情况，及未来是否有进一步下降空间？</w:t>
            </w:r>
          </w:p>
          <w:p w:rsidR="00561FDB" w:rsidRPr="00561FDB" w:rsidRDefault="00561FDB" w:rsidP="00561FDB">
            <w:pPr>
              <w:pStyle w:val="a6"/>
              <w:spacing w:line="400" w:lineRule="exact"/>
              <w:ind w:left="420" w:firstLineChars="0" w:firstLine="0"/>
              <w:rPr>
                <w:rFonts w:asciiTheme="minorEastAsia" w:eastAsiaTheme="minorEastAsia" w:hAnsiTheme="minorEastAsia"/>
                <w:szCs w:val="21"/>
              </w:rPr>
            </w:pPr>
            <w:r w:rsidRPr="00561FDB">
              <w:rPr>
                <w:rFonts w:asciiTheme="minorEastAsia" w:eastAsiaTheme="minorEastAsia" w:hAnsiTheme="minorEastAsia" w:hint="eastAsia"/>
                <w:szCs w:val="21"/>
              </w:rPr>
              <w:t>答：</w:t>
            </w:r>
            <w:r w:rsidR="007F0724">
              <w:rPr>
                <w:rFonts w:asciiTheme="minorEastAsia" w:eastAsiaTheme="minorEastAsia" w:hAnsiTheme="minorEastAsia" w:hint="eastAsia"/>
                <w:szCs w:val="21"/>
              </w:rPr>
              <w:t>因用电优惠政策取消，马必区块单位用</w:t>
            </w:r>
            <w:r>
              <w:rPr>
                <w:rFonts w:asciiTheme="minorEastAsia" w:eastAsiaTheme="minorEastAsia" w:hAnsiTheme="minorEastAsia" w:hint="eastAsia"/>
                <w:szCs w:val="21"/>
              </w:rPr>
              <w:t>电成本及前期勘探支出转固等影响，同比有一定幅度上升。随着马必0</w:t>
            </w:r>
            <w:r>
              <w:rPr>
                <w:rFonts w:asciiTheme="minorEastAsia" w:eastAsiaTheme="minorEastAsia" w:hAnsiTheme="minorEastAsia"/>
                <w:szCs w:val="21"/>
              </w:rPr>
              <w:t>76</w:t>
            </w:r>
            <w:r>
              <w:rPr>
                <w:rFonts w:asciiTheme="minorEastAsia" w:eastAsiaTheme="minorEastAsia" w:hAnsiTheme="minorEastAsia" w:hint="eastAsia"/>
                <w:szCs w:val="21"/>
              </w:rPr>
              <w:t>井区总体开发方案批复，以及其他井区的接续，在产量增加的情况下，单方气成本会摊薄</w:t>
            </w:r>
            <w:r w:rsidR="00353CEB">
              <w:rPr>
                <w:rFonts w:asciiTheme="minorEastAsia" w:eastAsiaTheme="minorEastAsia" w:hAnsiTheme="minorEastAsia" w:hint="eastAsia"/>
                <w:szCs w:val="21"/>
              </w:rPr>
              <w:t>，及在达到设计产能后，单方气成本有望控制在1元以内。</w:t>
            </w:r>
          </w:p>
          <w:p w:rsidR="00B95753" w:rsidRDefault="00B95753" w:rsidP="006F5AC4">
            <w:pPr>
              <w:pStyle w:val="a6"/>
              <w:numPr>
                <w:ilvl w:val="0"/>
                <w:numId w:val="10"/>
              </w:numPr>
              <w:spacing w:line="400" w:lineRule="exact"/>
              <w:ind w:firstLineChars="0"/>
              <w:rPr>
                <w:rFonts w:asciiTheme="minorEastAsia" w:eastAsiaTheme="minorEastAsia" w:hAnsiTheme="minorEastAsia"/>
                <w:b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/>
                <w:szCs w:val="21"/>
              </w:rPr>
              <w:t>近期，美以伊战争爆发，国际油气价格明显上涨，对公司煤层气销售价格影响？</w:t>
            </w:r>
          </w:p>
          <w:p w:rsidR="00353CEB" w:rsidRPr="00353CEB" w:rsidRDefault="00353CEB" w:rsidP="00353CEB">
            <w:pPr>
              <w:pStyle w:val="a6"/>
              <w:spacing w:line="400" w:lineRule="exact"/>
              <w:ind w:left="420" w:firstLineChars="0" w:firstLine="0"/>
              <w:rPr>
                <w:rFonts w:asciiTheme="minorEastAsia" w:eastAsiaTheme="minorEastAsia" w:hAnsiTheme="minorEastAsia"/>
                <w:szCs w:val="21"/>
              </w:rPr>
            </w:pPr>
            <w:r w:rsidRPr="00353CEB">
              <w:rPr>
                <w:rFonts w:asciiTheme="minorEastAsia" w:eastAsiaTheme="minorEastAsia" w:hAnsiTheme="minorEastAsia" w:hint="eastAsia"/>
                <w:szCs w:val="21"/>
              </w:rPr>
              <w:t>答：</w:t>
            </w:r>
            <w:r>
              <w:rPr>
                <w:rFonts w:asciiTheme="minorEastAsia" w:eastAsiaTheme="minorEastAsia" w:hAnsiTheme="minorEastAsia" w:hint="eastAsia"/>
                <w:szCs w:val="21"/>
              </w:rPr>
              <w:t>国际油气价格明显上涨，整体是有利于公司煤层气销售价格的。其中，马必区块主要是管道气销售，影响相对滞后，目前价格尚未有显著提高；潘庄区块约一半销往周边L</w:t>
            </w:r>
            <w:r>
              <w:rPr>
                <w:rFonts w:asciiTheme="minorEastAsia" w:eastAsiaTheme="minorEastAsia" w:hAnsiTheme="minorEastAsia"/>
                <w:szCs w:val="21"/>
              </w:rPr>
              <w:t>NG</w:t>
            </w:r>
            <w:r>
              <w:rPr>
                <w:rFonts w:asciiTheme="minorEastAsia" w:eastAsiaTheme="minorEastAsia" w:hAnsiTheme="minorEastAsia" w:hint="eastAsia"/>
                <w:szCs w:val="21"/>
              </w:rPr>
              <w:t>工厂，目前周边液化天然气挂牌价格已经有所体现，但囿于结算周期之故，</w:t>
            </w:r>
            <w:r w:rsidR="007B7FD2">
              <w:rPr>
                <w:rFonts w:asciiTheme="minorEastAsia" w:eastAsiaTheme="minorEastAsia" w:hAnsiTheme="minorEastAsia" w:hint="eastAsia"/>
                <w:szCs w:val="21"/>
              </w:rPr>
              <w:t>目前暂时</w:t>
            </w:r>
            <w:r>
              <w:rPr>
                <w:rFonts w:asciiTheme="minorEastAsia" w:eastAsiaTheme="minorEastAsia" w:hAnsiTheme="minorEastAsia" w:hint="eastAsia"/>
                <w:szCs w:val="21"/>
              </w:rPr>
              <w:t>未</w:t>
            </w:r>
            <w:r w:rsidR="00FF2DA1">
              <w:rPr>
                <w:rFonts w:asciiTheme="minorEastAsia" w:eastAsiaTheme="minorEastAsia" w:hAnsiTheme="minorEastAsia" w:hint="eastAsia"/>
                <w:szCs w:val="21"/>
              </w:rPr>
              <w:t>直接</w:t>
            </w:r>
            <w:r>
              <w:rPr>
                <w:rFonts w:asciiTheme="minorEastAsia" w:eastAsiaTheme="minorEastAsia" w:hAnsiTheme="minorEastAsia" w:hint="eastAsia"/>
                <w:szCs w:val="21"/>
              </w:rPr>
              <w:t>反映到公司价格数据上。</w:t>
            </w:r>
          </w:p>
          <w:p w:rsidR="00B95753" w:rsidRDefault="00C93009" w:rsidP="006F5AC4">
            <w:pPr>
              <w:pStyle w:val="a6"/>
              <w:numPr>
                <w:ilvl w:val="0"/>
                <w:numId w:val="10"/>
              </w:numPr>
              <w:spacing w:line="400" w:lineRule="exact"/>
              <w:ind w:firstLineChars="0"/>
              <w:rPr>
                <w:rFonts w:asciiTheme="minorEastAsia" w:eastAsiaTheme="minorEastAsia" w:hAnsiTheme="minorEastAsia"/>
                <w:b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/>
                <w:szCs w:val="21"/>
              </w:rPr>
              <w:t>喀什北区块</w:t>
            </w:r>
            <w:r w:rsidR="00353CEB">
              <w:rPr>
                <w:rFonts w:asciiTheme="minorEastAsia" w:eastAsiaTheme="minorEastAsia" w:hAnsiTheme="minorEastAsia" w:hint="eastAsia"/>
                <w:b/>
                <w:szCs w:val="21"/>
              </w:rPr>
              <w:t>第一指定区产销情况及未来展望？</w:t>
            </w:r>
          </w:p>
          <w:p w:rsidR="00353CEB" w:rsidRPr="00353CEB" w:rsidRDefault="00353CEB" w:rsidP="00353CEB">
            <w:pPr>
              <w:pStyle w:val="a6"/>
              <w:spacing w:line="400" w:lineRule="exact"/>
              <w:ind w:left="420" w:firstLineChars="0" w:firstLine="0"/>
              <w:rPr>
                <w:rFonts w:asciiTheme="minorEastAsia" w:eastAsiaTheme="minorEastAsia" w:hAnsiTheme="minorEastAsia"/>
                <w:szCs w:val="21"/>
              </w:rPr>
            </w:pPr>
            <w:r w:rsidRPr="00353CEB">
              <w:rPr>
                <w:rFonts w:asciiTheme="minorEastAsia" w:eastAsiaTheme="minorEastAsia" w:hAnsiTheme="minorEastAsia" w:hint="eastAsia"/>
                <w:szCs w:val="21"/>
              </w:rPr>
              <w:lastRenderedPageBreak/>
              <w:t>答：因透水、优化增产方案暂未实施等原因，喀什北第一指定区产量有所下降。2025年，喀什北项目第一指定区产量约为4.13亿方，销量3.56亿方。</w:t>
            </w:r>
            <w:r w:rsidR="00690F52">
              <w:rPr>
                <w:rFonts w:asciiTheme="minorEastAsia" w:eastAsiaTheme="minorEastAsia" w:hAnsiTheme="minorEastAsia" w:hint="eastAsia"/>
                <w:szCs w:val="21"/>
              </w:rPr>
              <w:t>根据最新的数据，第一指定区</w:t>
            </w:r>
            <w:r w:rsidR="00690F52" w:rsidRPr="00690F52">
              <w:rPr>
                <w:rFonts w:asciiTheme="minorEastAsia" w:eastAsiaTheme="minorEastAsia" w:hAnsiTheme="minorEastAsia" w:hint="eastAsia"/>
                <w:szCs w:val="21"/>
              </w:rPr>
              <w:t>天然气储量约407亿方。公司计划通过完善调整开发技术，在现有井网基础上部署10口新井提高气藏采出率，扭转</w:t>
            </w:r>
            <w:r w:rsidR="00690F52">
              <w:rPr>
                <w:rFonts w:asciiTheme="minorEastAsia" w:eastAsiaTheme="minorEastAsia" w:hAnsiTheme="minorEastAsia" w:hint="eastAsia"/>
                <w:szCs w:val="21"/>
              </w:rPr>
              <w:t>第一指定区</w:t>
            </w:r>
            <w:r w:rsidR="00690F52" w:rsidRPr="00690F52">
              <w:rPr>
                <w:rFonts w:asciiTheme="minorEastAsia" w:eastAsiaTheme="minorEastAsia" w:hAnsiTheme="minorEastAsia" w:hint="eastAsia"/>
                <w:szCs w:val="21"/>
              </w:rPr>
              <w:t>产量下跌的趋势，并</w:t>
            </w:r>
            <w:r w:rsidR="00690F52">
              <w:rPr>
                <w:rFonts w:asciiTheme="minorEastAsia" w:eastAsiaTheme="minorEastAsia" w:hAnsiTheme="minorEastAsia" w:hint="eastAsia"/>
                <w:szCs w:val="21"/>
              </w:rPr>
              <w:t>从6亿方、8亿方</w:t>
            </w:r>
            <w:r w:rsidR="00690F52" w:rsidRPr="00690F52">
              <w:rPr>
                <w:rFonts w:asciiTheme="minorEastAsia" w:eastAsiaTheme="minorEastAsia" w:hAnsiTheme="minorEastAsia" w:hint="eastAsia"/>
                <w:szCs w:val="21"/>
              </w:rPr>
              <w:t>逐步提升产量到预设产能。目前，该优化增产方案已经上报至中石油总部，根据最新国际国内动态，预计审批会加快。同时，公司通过中能控股供股+要约的方式，由持有中能控股29.84%</w:t>
            </w:r>
            <w:r w:rsidR="00743112">
              <w:rPr>
                <w:rFonts w:asciiTheme="minorEastAsia" w:eastAsiaTheme="minorEastAsia" w:hAnsiTheme="minorEastAsia" w:hint="eastAsia"/>
                <w:szCs w:val="21"/>
              </w:rPr>
              <w:t>股权</w:t>
            </w:r>
            <w:r w:rsidR="00690F52" w:rsidRPr="00690F52">
              <w:rPr>
                <w:rFonts w:asciiTheme="minorEastAsia" w:eastAsiaTheme="minorEastAsia" w:hAnsiTheme="minorEastAsia" w:hint="eastAsia"/>
                <w:szCs w:val="21"/>
              </w:rPr>
              <w:t>增加至59.15%</w:t>
            </w:r>
            <w:r w:rsidR="00743112">
              <w:rPr>
                <w:rFonts w:asciiTheme="minorEastAsia" w:eastAsiaTheme="minorEastAsia" w:hAnsiTheme="minorEastAsia" w:hint="eastAsia"/>
                <w:szCs w:val="21"/>
              </w:rPr>
              <w:t>股权</w:t>
            </w:r>
            <w:r w:rsidR="00690F52" w:rsidRPr="00690F52">
              <w:rPr>
                <w:rFonts w:asciiTheme="minorEastAsia" w:eastAsiaTheme="minorEastAsia" w:hAnsiTheme="minorEastAsia" w:hint="eastAsia"/>
                <w:szCs w:val="21"/>
              </w:rPr>
              <w:t>，提高了公司在</w:t>
            </w:r>
            <w:r w:rsidR="00690F52">
              <w:rPr>
                <w:rFonts w:asciiTheme="minorEastAsia" w:eastAsiaTheme="minorEastAsia" w:hAnsiTheme="minorEastAsia" w:hint="eastAsia"/>
                <w:szCs w:val="21"/>
              </w:rPr>
              <w:t>第一指定区</w:t>
            </w:r>
            <w:r w:rsidR="00690F52" w:rsidRPr="00690F52">
              <w:rPr>
                <w:rFonts w:asciiTheme="minorEastAsia" w:eastAsiaTheme="minorEastAsia" w:hAnsiTheme="minorEastAsia" w:hint="eastAsia"/>
                <w:szCs w:val="21"/>
              </w:rPr>
              <w:t>的权益比例</w:t>
            </w:r>
            <w:r w:rsidR="00690F52">
              <w:rPr>
                <w:rFonts w:asciiTheme="minorEastAsia" w:eastAsiaTheme="minorEastAsia" w:hAnsiTheme="minorEastAsia" w:hint="eastAsia"/>
                <w:szCs w:val="21"/>
              </w:rPr>
              <w:t>。</w:t>
            </w:r>
          </w:p>
          <w:p w:rsidR="00BF5C4D" w:rsidRDefault="00BF5C4D" w:rsidP="006F5AC4">
            <w:pPr>
              <w:pStyle w:val="a6"/>
              <w:numPr>
                <w:ilvl w:val="0"/>
                <w:numId w:val="10"/>
              </w:numPr>
              <w:spacing w:line="400" w:lineRule="exact"/>
              <w:ind w:firstLineChars="0"/>
              <w:rPr>
                <w:rFonts w:asciiTheme="minorEastAsia" w:eastAsiaTheme="minorEastAsia" w:hAnsiTheme="minorEastAsia"/>
                <w:b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/>
                <w:szCs w:val="21"/>
              </w:rPr>
              <w:t>紫金山区块勘探开发进展？</w:t>
            </w:r>
          </w:p>
          <w:p w:rsidR="00690F52" w:rsidRPr="00690F52" w:rsidRDefault="00690F52" w:rsidP="00690F52">
            <w:pPr>
              <w:pStyle w:val="a6"/>
              <w:spacing w:line="400" w:lineRule="exact"/>
              <w:ind w:left="420" w:firstLineChars="0" w:firstLine="0"/>
              <w:rPr>
                <w:rFonts w:asciiTheme="minorEastAsia" w:eastAsiaTheme="minorEastAsia" w:hAnsiTheme="minorEastAsia"/>
                <w:szCs w:val="21"/>
              </w:rPr>
            </w:pPr>
            <w:r w:rsidRPr="00690F52">
              <w:rPr>
                <w:rFonts w:asciiTheme="minorEastAsia" w:eastAsiaTheme="minorEastAsia" w:hAnsiTheme="minorEastAsia" w:hint="eastAsia"/>
                <w:szCs w:val="21"/>
              </w:rPr>
              <w:t>答：紫金山区块在前期勘探认知的基础上，调整为以中深部煤层气勘探为主、兼探致密气的思路，规划勘探提储中深部煤层气和致密气。2025年，紫金山区块共完成钻井28口</w:t>
            </w:r>
            <w:r w:rsidR="00306C87" w:rsidRPr="00306C87">
              <w:rPr>
                <w:rFonts w:asciiTheme="minorEastAsia" w:eastAsiaTheme="minorEastAsia" w:hAnsiTheme="minorEastAsia" w:hint="eastAsia"/>
                <w:szCs w:val="21"/>
              </w:rPr>
              <w:t>，煤层气产量85.33万立方米，致密气产量146.65万立方米</w:t>
            </w:r>
            <w:r w:rsidRPr="00690F52">
              <w:rPr>
                <w:rFonts w:asciiTheme="minorEastAsia" w:eastAsiaTheme="minorEastAsia" w:hAnsiTheme="minorEastAsia" w:hint="eastAsia"/>
                <w:szCs w:val="21"/>
              </w:rPr>
              <w:t>。</w:t>
            </w:r>
            <w:r>
              <w:rPr>
                <w:rFonts w:asciiTheme="minorEastAsia" w:eastAsiaTheme="minorEastAsia" w:hAnsiTheme="minorEastAsia" w:hint="eastAsia"/>
                <w:szCs w:val="21"/>
              </w:rPr>
              <w:t>2</w:t>
            </w:r>
            <w:r>
              <w:rPr>
                <w:rFonts w:asciiTheme="minorEastAsia" w:eastAsiaTheme="minorEastAsia" w:hAnsiTheme="minorEastAsia"/>
                <w:szCs w:val="21"/>
              </w:rPr>
              <w:t>026</w:t>
            </w:r>
            <w:r>
              <w:rPr>
                <w:rFonts w:asciiTheme="minorEastAsia" w:eastAsiaTheme="minorEastAsia" w:hAnsiTheme="minorEastAsia" w:hint="eastAsia"/>
                <w:szCs w:val="21"/>
              </w:rPr>
              <w:t>年，公司将全力</w:t>
            </w:r>
            <w:r w:rsidRPr="00690F52">
              <w:rPr>
                <w:rFonts w:asciiTheme="minorEastAsia" w:eastAsiaTheme="minorEastAsia" w:hAnsiTheme="minorEastAsia" w:hint="eastAsia"/>
                <w:szCs w:val="21"/>
              </w:rPr>
              <w:t>加速紫金山区块煤层气探明储量提储，编制提交煤层气开发方案，并通过“双气合采”尽快实现一定规模气量的生产和销售。</w:t>
            </w:r>
          </w:p>
          <w:p w:rsidR="00BF5C4D" w:rsidRDefault="00BF5C4D" w:rsidP="006F5AC4">
            <w:pPr>
              <w:pStyle w:val="a6"/>
              <w:numPr>
                <w:ilvl w:val="0"/>
                <w:numId w:val="10"/>
              </w:numPr>
              <w:spacing w:line="400" w:lineRule="exact"/>
              <w:ind w:firstLineChars="0"/>
              <w:rPr>
                <w:rFonts w:asciiTheme="minorEastAsia" w:eastAsiaTheme="minorEastAsia" w:hAnsiTheme="minorEastAsia"/>
                <w:b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/>
                <w:szCs w:val="21"/>
              </w:rPr>
              <w:t>三塘湖煤炭资源项目进展？</w:t>
            </w:r>
          </w:p>
          <w:p w:rsidR="00690F52" w:rsidRPr="00690F52" w:rsidRDefault="00690F52" w:rsidP="00690F52">
            <w:pPr>
              <w:pStyle w:val="a6"/>
              <w:spacing w:line="400" w:lineRule="exact"/>
              <w:ind w:left="420" w:firstLineChars="0" w:firstLine="0"/>
              <w:rPr>
                <w:rFonts w:asciiTheme="minorEastAsia" w:eastAsiaTheme="minorEastAsia" w:hAnsiTheme="minorEastAsia"/>
                <w:szCs w:val="21"/>
              </w:rPr>
            </w:pPr>
            <w:r w:rsidRPr="00690F52">
              <w:rPr>
                <w:rFonts w:asciiTheme="minorEastAsia" w:eastAsiaTheme="minorEastAsia" w:hAnsiTheme="minorEastAsia" w:hint="eastAsia"/>
                <w:szCs w:val="21"/>
              </w:rPr>
              <w:t>答：公司于2024年11月18日竞拍成功后，按照目标节点超常规、高质量开展详查钻探、勘探钻探、三维地震等工作，煤炭勘探报告顺利通过自治区自然资源厅评审中心组织的专家评审，落实煤炭资源量18.9亿吨。同时，得益于勘探工作的迅速开展，详查进度超常规推进，公司及时抓住修编时机，在地方政府初评规定时限内完成了初评，为三塘湖及时进入“十四五”总规修编内，进而未来列入“十五五”地方煤矿开发时序奠定了基础。</w:t>
            </w:r>
          </w:p>
          <w:p w:rsidR="00690F52" w:rsidRDefault="00690F52" w:rsidP="00690F52">
            <w:pPr>
              <w:pStyle w:val="a6"/>
              <w:spacing w:line="400" w:lineRule="exact"/>
              <w:ind w:left="420"/>
              <w:rPr>
                <w:rFonts w:asciiTheme="minorEastAsia" w:eastAsiaTheme="minorEastAsia" w:hAnsiTheme="minorEastAsia"/>
                <w:szCs w:val="21"/>
              </w:rPr>
            </w:pPr>
            <w:r w:rsidRPr="00690F52">
              <w:rPr>
                <w:rFonts w:asciiTheme="minorEastAsia" w:eastAsiaTheme="minorEastAsia" w:hAnsiTheme="minorEastAsia" w:hint="eastAsia"/>
                <w:szCs w:val="21"/>
              </w:rPr>
              <w:t>三塘湖煤炭资源项目勘探报告评审与备案的完成，标志着公司核心资源获得官方“法定认证”，是获取采矿权、开展项目融资的核心前提与资产证明，更是推动一体化项目群从规划阶段迈向实质开发的根本基础。另外，需要提及的是20亿立方米煤制气示范项目”及“1500万吨/年长焰煤分级分质清洁综合利用示范项目”也已经通过哈密市发改委上报，拟纳入自治区“十五五”能源化工重点储备项目库。</w:t>
            </w:r>
          </w:p>
          <w:p w:rsidR="00710BA4" w:rsidRPr="00690F52" w:rsidRDefault="00710BA4" w:rsidP="00690F52">
            <w:pPr>
              <w:pStyle w:val="a6"/>
              <w:spacing w:line="400" w:lineRule="exact"/>
              <w:ind w:left="420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下一步，公司将</w:t>
            </w:r>
            <w:r w:rsidRPr="00710BA4">
              <w:rPr>
                <w:rFonts w:asciiTheme="minorEastAsia" w:eastAsiaTheme="minorEastAsia" w:hAnsiTheme="minorEastAsia" w:hint="eastAsia"/>
                <w:szCs w:val="21"/>
              </w:rPr>
              <w:t>围绕立项攻坚，取得煤矿项目网上申报与项目赋码、1500万吨煤炭清洁高效利用项目赋码，加速推动三塘湖矿区修编规划获批，完成可研报告及立项报批所需专业报告的编制，实现“十五五”新疆煤矿产能规划入列。</w:t>
            </w:r>
          </w:p>
          <w:p w:rsidR="007377CD" w:rsidRDefault="007377CD" w:rsidP="006F5AC4">
            <w:pPr>
              <w:pStyle w:val="a6"/>
              <w:numPr>
                <w:ilvl w:val="0"/>
                <w:numId w:val="10"/>
              </w:numPr>
              <w:spacing w:line="400" w:lineRule="exact"/>
              <w:ind w:firstLineChars="0"/>
              <w:rPr>
                <w:rFonts w:asciiTheme="minorEastAsia" w:eastAsiaTheme="minorEastAsia" w:hAnsiTheme="minorEastAsia"/>
                <w:b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/>
                <w:szCs w:val="21"/>
              </w:rPr>
              <w:lastRenderedPageBreak/>
              <w:t>公司在U</w:t>
            </w:r>
            <w:r>
              <w:rPr>
                <w:rFonts w:asciiTheme="minorEastAsia" w:eastAsiaTheme="minorEastAsia" w:hAnsiTheme="minorEastAsia"/>
                <w:b/>
                <w:szCs w:val="21"/>
              </w:rPr>
              <w:t>CG</w:t>
            </w:r>
            <w:r>
              <w:rPr>
                <w:rFonts w:asciiTheme="minorEastAsia" w:eastAsiaTheme="minorEastAsia" w:hAnsiTheme="minorEastAsia" w:hint="eastAsia"/>
                <w:b/>
                <w:szCs w:val="21"/>
              </w:rPr>
              <w:t>技术方面的优势？</w:t>
            </w:r>
          </w:p>
          <w:p w:rsidR="007377CD" w:rsidRPr="007377CD" w:rsidRDefault="007377CD" w:rsidP="007377CD">
            <w:pPr>
              <w:pStyle w:val="a6"/>
              <w:spacing w:line="400" w:lineRule="exact"/>
              <w:ind w:left="420" w:firstLineChars="0" w:firstLine="0"/>
              <w:rPr>
                <w:rFonts w:asciiTheme="minorEastAsia" w:eastAsiaTheme="minorEastAsia" w:hAnsiTheme="minorEastAsia"/>
                <w:szCs w:val="21"/>
              </w:rPr>
            </w:pPr>
            <w:r w:rsidRPr="007377CD">
              <w:rPr>
                <w:rFonts w:asciiTheme="minorEastAsia" w:eastAsiaTheme="minorEastAsia" w:hAnsiTheme="minorEastAsia" w:hint="eastAsia"/>
                <w:szCs w:val="21"/>
              </w:rPr>
              <w:t>答：</w:t>
            </w:r>
            <w:r>
              <w:rPr>
                <w:rFonts w:asciiTheme="minorEastAsia" w:eastAsiaTheme="minorEastAsia" w:hAnsiTheme="minorEastAsia" w:hint="eastAsia"/>
                <w:szCs w:val="21"/>
              </w:rPr>
              <w:t>公司在U</w:t>
            </w:r>
            <w:r>
              <w:rPr>
                <w:rFonts w:asciiTheme="minorEastAsia" w:eastAsiaTheme="minorEastAsia" w:hAnsiTheme="minorEastAsia"/>
                <w:szCs w:val="21"/>
              </w:rPr>
              <w:t>CG</w:t>
            </w:r>
            <w:r>
              <w:rPr>
                <w:rFonts w:asciiTheme="minorEastAsia" w:eastAsiaTheme="minorEastAsia" w:hAnsiTheme="minorEastAsia" w:hint="eastAsia"/>
                <w:szCs w:val="21"/>
              </w:rPr>
              <w:t>方面进行了多年的布局和合作，通过自身在煤层气领域深厚的技术积淀、经营丰富的技术和生产团队，</w:t>
            </w:r>
            <w:r w:rsidRPr="007377CD">
              <w:rPr>
                <w:rFonts w:asciiTheme="minorEastAsia" w:eastAsiaTheme="minorEastAsia" w:hAnsiTheme="minorEastAsia" w:hint="eastAsia"/>
                <w:szCs w:val="21"/>
              </w:rPr>
              <w:t>与业内顶级研究院</w:t>
            </w:r>
            <w:r w:rsidR="00CB7B1C">
              <w:rPr>
                <w:rFonts w:asciiTheme="minorEastAsia" w:eastAsiaTheme="minorEastAsia" w:hAnsiTheme="minorEastAsia" w:hint="eastAsia"/>
                <w:szCs w:val="21"/>
              </w:rPr>
              <w:t>进行合作</w:t>
            </w:r>
            <w:r>
              <w:rPr>
                <w:rFonts w:asciiTheme="minorEastAsia" w:eastAsiaTheme="minorEastAsia" w:hAnsiTheme="minorEastAsia" w:hint="eastAsia"/>
                <w:szCs w:val="21"/>
              </w:rPr>
              <w:t>，</w:t>
            </w:r>
            <w:r w:rsidR="00CB7B1C">
              <w:rPr>
                <w:rFonts w:asciiTheme="minorEastAsia" w:eastAsiaTheme="minorEastAsia" w:hAnsiTheme="minorEastAsia" w:hint="eastAsia"/>
                <w:szCs w:val="21"/>
              </w:rPr>
              <w:t>系统整合业内前沿技术与重点技术攻关</w:t>
            </w:r>
            <w:r w:rsidRPr="007377CD">
              <w:rPr>
                <w:rFonts w:asciiTheme="minorEastAsia" w:eastAsiaTheme="minorEastAsia" w:hAnsiTheme="minorEastAsia" w:hint="eastAsia"/>
                <w:szCs w:val="21"/>
              </w:rPr>
              <w:t>，近年来分别在山西、内蒙古、甘肃等地推进实施煤炭地下气化实验和试验。</w:t>
            </w:r>
            <w:r w:rsidR="00CB7B1C">
              <w:rPr>
                <w:rFonts w:asciiTheme="minorEastAsia" w:eastAsiaTheme="minorEastAsia" w:hAnsiTheme="minorEastAsia" w:hint="eastAsia"/>
                <w:szCs w:val="21"/>
              </w:rPr>
              <w:t>目前，已攻克深部煤制气多项关键技术及装备的</w:t>
            </w:r>
            <w:r w:rsidR="00455DFD">
              <w:rPr>
                <w:rFonts w:asciiTheme="minorEastAsia" w:eastAsiaTheme="minorEastAsia" w:hAnsiTheme="minorEastAsia" w:hint="eastAsia"/>
                <w:szCs w:val="21"/>
              </w:rPr>
              <w:t>研发。</w:t>
            </w:r>
          </w:p>
          <w:p w:rsidR="00455DFD" w:rsidRDefault="00455DFD" w:rsidP="006F5AC4">
            <w:pPr>
              <w:pStyle w:val="a6"/>
              <w:numPr>
                <w:ilvl w:val="0"/>
                <w:numId w:val="10"/>
              </w:numPr>
              <w:spacing w:line="400" w:lineRule="exact"/>
              <w:ind w:firstLineChars="0"/>
              <w:rPr>
                <w:rFonts w:asciiTheme="minorEastAsia" w:eastAsiaTheme="minorEastAsia" w:hAnsiTheme="minorEastAsia"/>
                <w:b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/>
                <w:szCs w:val="21"/>
              </w:rPr>
              <w:t>U</w:t>
            </w:r>
            <w:r>
              <w:rPr>
                <w:rFonts w:asciiTheme="minorEastAsia" w:eastAsiaTheme="minorEastAsia" w:hAnsiTheme="minorEastAsia"/>
                <w:b/>
                <w:szCs w:val="21"/>
              </w:rPr>
              <w:t>CG</w:t>
            </w:r>
            <w:r>
              <w:rPr>
                <w:rFonts w:asciiTheme="minorEastAsia" w:eastAsiaTheme="minorEastAsia" w:hAnsiTheme="minorEastAsia" w:hint="eastAsia"/>
                <w:b/>
                <w:szCs w:val="21"/>
              </w:rPr>
              <w:t>技术较传统采煤的优势？</w:t>
            </w:r>
          </w:p>
          <w:p w:rsidR="00455DFD" w:rsidRPr="00455DFD" w:rsidRDefault="00455DFD" w:rsidP="00455DFD">
            <w:pPr>
              <w:pStyle w:val="a6"/>
              <w:spacing w:line="400" w:lineRule="exact"/>
              <w:ind w:left="420" w:firstLineChars="0" w:firstLine="0"/>
              <w:rPr>
                <w:rFonts w:asciiTheme="minorEastAsia" w:eastAsiaTheme="minorEastAsia" w:hAnsiTheme="minorEastAsia"/>
                <w:szCs w:val="21"/>
              </w:rPr>
            </w:pPr>
            <w:r w:rsidRPr="00455DFD">
              <w:rPr>
                <w:rFonts w:asciiTheme="minorEastAsia" w:eastAsiaTheme="minorEastAsia" w:hAnsiTheme="minorEastAsia" w:hint="eastAsia"/>
                <w:szCs w:val="21"/>
              </w:rPr>
              <w:t>答：UCG简称深部煤制气，核心工艺采用煤炭地下气化技术，通过对地下煤炭的可控燃烧与化学转化，将原位煤炭转化为富氢可燃气体（含CH4、H2等），是继传统采煤后可实现超1000m深部煤炭开发的第二代采煤技术</w:t>
            </w:r>
            <w:r>
              <w:rPr>
                <w:rFonts w:asciiTheme="minorEastAsia" w:eastAsiaTheme="minorEastAsia" w:hAnsiTheme="minorEastAsia" w:hint="eastAsia"/>
                <w:szCs w:val="21"/>
              </w:rPr>
              <w:t>，相对传统采煤具有“高效、安全、清洁、经济”的特点</w:t>
            </w:r>
            <w:r w:rsidRPr="00455DFD">
              <w:rPr>
                <w:rFonts w:asciiTheme="minorEastAsia" w:eastAsiaTheme="minorEastAsia" w:hAnsiTheme="minorEastAsia" w:hint="eastAsia"/>
                <w:szCs w:val="21"/>
              </w:rPr>
              <w:t>。</w:t>
            </w:r>
            <w:r>
              <w:rPr>
                <w:rFonts w:asciiTheme="minorEastAsia" w:eastAsiaTheme="minorEastAsia" w:hAnsiTheme="minorEastAsia" w:hint="eastAsia"/>
                <w:szCs w:val="21"/>
              </w:rPr>
              <w:t>根据初步预测数据显示，深部煤制气较传统煤制气总投资金额下降3</w:t>
            </w:r>
            <w:r>
              <w:rPr>
                <w:rFonts w:asciiTheme="minorEastAsia" w:eastAsiaTheme="minorEastAsia" w:hAnsiTheme="minorEastAsia"/>
                <w:szCs w:val="21"/>
              </w:rPr>
              <w:t>0%-40%</w:t>
            </w:r>
            <w:r>
              <w:rPr>
                <w:rFonts w:asciiTheme="minorEastAsia" w:eastAsiaTheme="minorEastAsia" w:hAnsiTheme="minorEastAsia" w:hint="eastAsia"/>
                <w:szCs w:val="21"/>
              </w:rPr>
              <w:t>，单方气成本较常规煤制气成本低2</w:t>
            </w:r>
            <w:r>
              <w:rPr>
                <w:rFonts w:asciiTheme="minorEastAsia" w:eastAsiaTheme="minorEastAsia" w:hAnsiTheme="minorEastAsia"/>
                <w:szCs w:val="21"/>
              </w:rPr>
              <w:t>0%</w:t>
            </w:r>
            <w:r>
              <w:rPr>
                <w:rFonts w:asciiTheme="minorEastAsia" w:eastAsiaTheme="minorEastAsia" w:hAnsiTheme="minorEastAsia" w:hint="eastAsia"/>
                <w:szCs w:val="21"/>
              </w:rPr>
              <w:t>以上。</w:t>
            </w:r>
          </w:p>
          <w:p w:rsidR="00BF5C4D" w:rsidRDefault="00BF5C4D" w:rsidP="006F5AC4">
            <w:pPr>
              <w:pStyle w:val="a6"/>
              <w:numPr>
                <w:ilvl w:val="0"/>
                <w:numId w:val="10"/>
              </w:numPr>
              <w:spacing w:line="400" w:lineRule="exact"/>
              <w:ind w:firstLineChars="0"/>
              <w:rPr>
                <w:rFonts w:asciiTheme="minorEastAsia" w:eastAsiaTheme="minorEastAsia" w:hAnsiTheme="minorEastAsia"/>
                <w:b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/>
                <w:szCs w:val="21"/>
              </w:rPr>
              <w:t>甘肃庆阳</w:t>
            </w:r>
            <w:r w:rsidR="00455DFD">
              <w:rPr>
                <w:rFonts w:asciiTheme="minorEastAsia" w:eastAsiaTheme="minorEastAsia" w:hAnsiTheme="minorEastAsia" w:hint="eastAsia"/>
                <w:b/>
                <w:szCs w:val="21"/>
              </w:rPr>
              <w:t>深部煤制气</w:t>
            </w:r>
            <w:r>
              <w:rPr>
                <w:rFonts w:asciiTheme="minorEastAsia" w:eastAsiaTheme="minorEastAsia" w:hAnsiTheme="minorEastAsia" w:hint="eastAsia"/>
                <w:b/>
                <w:szCs w:val="21"/>
              </w:rPr>
              <w:t>项目进展？</w:t>
            </w:r>
          </w:p>
          <w:p w:rsidR="00690F52" w:rsidRPr="00690F52" w:rsidRDefault="00690F52" w:rsidP="00690F52">
            <w:pPr>
              <w:pStyle w:val="a6"/>
              <w:spacing w:line="400" w:lineRule="exact"/>
              <w:ind w:left="420" w:firstLineChars="0" w:firstLine="0"/>
              <w:rPr>
                <w:rFonts w:asciiTheme="minorEastAsia" w:eastAsiaTheme="minorEastAsia" w:hAnsiTheme="minorEastAsia"/>
                <w:szCs w:val="21"/>
              </w:rPr>
            </w:pPr>
            <w:r w:rsidRPr="00690F52">
              <w:rPr>
                <w:rFonts w:asciiTheme="minorEastAsia" w:eastAsiaTheme="minorEastAsia" w:hAnsiTheme="minorEastAsia" w:hint="eastAsia"/>
                <w:szCs w:val="21"/>
              </w:rPr>
              <w:t>答：公司</w:t>
            </w:r>
            <w:r w:rsidR="00455DFD">
              <w:rPr>
                <w:rFonts w:asciiTheme="minorEastAsia" w:eastAsiaTheme="minorEastAsia" w:hAnsiTheme="minorEastAsia" w:hint="eastAsia"/>
                <w:szCs w:val="21"/>
              </w:rPr>
              <w:t>已</w:t>
            </w:r>
            <w:r w:rsidRPr="00690F52">
              <w:rPr>
                <w:rFonts w:asciiTheme="minorEastAsia" w:eastAsiaTheme="minorEastAsia" w:hAnsiTheme="minorEastAsia" w:hint="eastAsia"/>
                <w:szCs w:val="21"/>
              </w:rPr>
              <w:t>完成六个煤炭地下气化区块的竞拍工作，取得合计探矿权面积462平方公里，预测资源储量约42亿吨，其中，主要开展勘探工程的庆城县赤城镇煤炭区块煤炭储量估算约2.8亿吨，主采气化煤层储量约2.0亿吨，具有完整的顶底板及抗压能力，为下一步区域内连续建炉、气化奠定基础。同时，公司</w:t>
            </w:r>
            <w:r w:rsidR="00455DFD">
              <w:rPr>
                <w:rFonts w:asciiTheme="minorEastAsia" w:eastAsiaTheme="minorEastAsia" w:hAnsiTheme="minorEastAsia" w:hint="eastAsia"/>
                <w:szCs w:val="21"/>
              </w:rPr>
              <w:t>会同国内顶级研究院所</w:t>
            </w:r>
            <w:r w:rsidRPr="00690F52">
              <w:rPr>
                <w:rFonts w:asciiTheme="minorEastAsia" w:eastAsiaTheme="minorEastAsia" w:hAnsiTheme="minorEastAsia" w:hint="eastAsia"/>
                <w:szCs w:val="21"/>
              </w:rPr>
              <w:t>，以甲烷气、氢气生产为导向，开展针对深部煤制气技术的基础研究和关键技术攻关，推进核心工程装备研发和控制技术开发，为目标试验示范工程提供理论及技术支持，确保示范工程所采用的技术保持世界先进水平。</w:t>
            </w:r>
          </w:p>
          <w:p w:rsidR="00690F52" w:rsidRPr="00690F52" w:rsidRDefault="00690F52" w:rsidP="00690F52">
            <w:pPr>
              <w:pStyle w:val="a6"/>
              <w:spacing w:line="400" w:lineRule="exact"/>
              <w:ind w:left="420"/>
              <w:rPr>
                <w:rFonts w:asciiTheme="minorEastAsia" w:eastAsiaTheme="minorEastAsia" w:hAnsiTheme="minorEastAsia"/>
                <w:szCs w:val="21"/>
              </w:rPr>
            </w:pPr>
            <w:r w:rsidRPr="00690F52">
              <w:rPr>
                <w:rFonts w:asciiTheme="minorEastAsia" w:eastAsiaTheme="minorEastAsia" w:hAnsiTheme="minorEastAsia" w:hint="eastAsia"/>
                <w:szCs w:val="21"/>
              </w:rPr>
              <w:t>2026年，测试工程立项已经完成，甘肃庆阳深部煤制气项目将结合立项，按照审批路径完成各项前期准备与手续办理，开展测试工程试验，按设计完成地下气化炉钻井、地上装置建设等，完成气化炉点火运行、数据采集及总结报告编制</w:t>
            </w:r>
            <w:r w:rsidR="00710BA4">
              <w:rPr>
                <w:rFonts w:asciiTheme="minorEastAsia" w:eastAsiaTheme="minorEastAsia" w:hAnsiTheme="minorEastAsia" w:hint="eastAsia"/>
                <w:szCs w:val="21"/>
              </w:rPr>
              <w:t>等</w:t>
            </w:r>
            <w:r w:rsidRPr="00690F52">
              <w:rPr>
                <w:rFonts w:asciiTheme="minorEastAsia" w:eastAsiaTheme="minorEastAsia" w:hAnsiTheme="minorEastAsia" w:hint="eastAsia"/>
                <w:szCs w:val="21"/>
              </w:rPr>
              <w:t>。</w:t>
            </w:r>
          </w:p>
          <w:p w:rsidR="00CB731F" w:rsidRPr="00ED2093" w:rsidRDefault="00CB731F" w:rsidP="00CB731F">
            <w:pPr>
              <w:pStyle w:val="a6"/>
              <w:numPr>
                <w:ilvl w:val="0"/>
                <w:numId w:val="10"/>
              </w:numPr>
              <w:spacing w:line="400" w:lineRule="exact"/>
              <w:ind w:firstLineChars="0"/>
              <w:rPr>
                <w:rFonts w:asciiTheme="minorEastAsia" w:eastAsiaTheme="minorEastAsia" w:hAnsiTheme="minorEastAsia"/>
                <w:b/>
                <w:szCs w:val="21"/>
              </w:rPr>
            </w:pPr>
            <w:r w:rsidRPr="00ED2093">
              <w:rPr>
                <w:rFonts w:asciiTheme="minorEastAsia" w:eastAsiaTheme="minorEastAsia" w:hAnsiTheme="minorEastAsia" w:hint="eastAsia"/>
                <w:b/>
                <w:szCs w:val="21"/>
              </w:rPr>
              <w:t>公司的分红</w:t>
            </w:r>
            <w:r w:rsidR="00E46AE2">
              <w:rPr>
                <w:rFonts w:asciiTheme="minorEastAsia" w:eastAsiaTheme="minorEastAsia" w:hAnsiTheme="minorEastAsia" w:hint="eastAsia"/>
                <w:b/>
                <w:szCs w:val="21"/>
              </w:rPr>
              <w:t>规划</w:t>
            </w:r>
            <w:r w:rsidRPr="00ED2093">
              <w:rPr>
                <w:rFonts w:asciiTheme="minorEastAsia" w:eastAsiaTheme="minorEastAsia" w:hAnsiTheme="minorEastAsia" w:hint="eastAsia"/>
                <w:b/>
                <w:szCs w:val="21"/>
              </w:rPr>
              <w:t>？</w:t>
            </w:r>
          </w:p>
          <w:p w:rsidR="00383541" w:rsidRPr="00383541" w:rsidRDefault="005B36ED" w:rsidP="000F6502">
            <w:pPr>
              <w:pStyle w:val="a6"/>
              <w:spacing w:line="400" w:lineRule="exact"/>
              <w:ind w:left="420" w:firstLineChars="0" w:firstLine="0"/>
              <w:rPr>
                <w:rFonts w:asciiTheme="minorEastAsia" w:eastAsiaTheme="minorEastAsia" w:hAnsiTheme="minorEastAsia"/>
                <w:szCs w:val="21"/>
              </w:rPr>
            </w:pPr>
            <w:r w:rsidRPr="00353CEB">
              <w:rPr>
                <w:rFonts w:asciiTheme="minorEastAsia" w:eastAsiaTheme="minorEastAsia" w:hAnsiTheme="minorEastAsia" w:hint="eastAsia"/>
                <w:szCs w:val="21"/>
              </w:rPr>
              <w:t>答：公司一贯重视投资者合理投资回报，并兼顾可持续发展原则，自2016年IPO 上市至202</w:t>
            </w:r>
            <w:r w:rsidR="00ED2093" w:rsidRPr="00353CEB">
              <w:rPr>
                <w:rFonts w:asciiTheme="minorEastAsia" w:eastAsiaTheme="minorEastAsia" w:hAnsiTheme="minorEastAsia"/>
                <w:szCs w:val="21"/>
              </w:rPr>
              <w:t>3</w:t>
            </w:r>
            <w:r w:rsidRPr="00353CEB">
              <w:rPr>
                <w:rFonts w:asciiTheme="minorEastAsia" w:eastAsiaTheme="minorEastAsia" w:hAnsiTheme="minorEastAsia" w:hint="eastAsia"/>
                <w:szCs w:val="21"/>
              </w:rPr>
              <w:t>年，</w:t>
            </w:r>
            <w:r w:rsidR="00ED2093" w:rsidRPr="00353CEB">
              <w:rPr>
                <w:rFonts w:asciiTheme="minorEastAsia" w:eastAsiaTheme="minorEastAsia" w:hAnsiTheme="minorEastAsia" w:hint="eastAsia"/>
                <w:szCs w:val="21"/>
              </w:rPr>
              <w:t>公司分红金额持续提升，</w:t>
            </w:r>
            <w:r w:rsidRPr="00353CEB">
              <w:rPr>
                <w:rFonts w:asciiTheme="minorEastAsia" w:eastAsiaTheme="minorEastAsia" w:hAnsiTheme="minorEastAsia" w:hint="eastAsia"/>
                <w:szCs w:val="21"/>
              </w:rPr>
              <w:t>累计现金分红</w:t>
            </w:r>
            <w:r w:rsidR="00ED2093" w:rsidRPr="00353CEB">
              <w:rPr>
                <w:rFonts w:asciiTheme="minorEastAsia" w:eastAsiaTheme="minorEastAsia" w:hAnsiTheme="minorEastAsia"/>
                <w:szCs w:val="21"/>
              </w:rPr>
              <w:t>16.66</w:t>
            </w:r>
            <w:r w:rsidRPr="00353CEB">
              <w:rPr>
                <w:rFonts w:asciiTheme="minorEastAsia" w:eastAsiaTheme="minorEastAsia" w:hAnsiTheme="minorEastAsia" w:hint="eastAsia"/>
                <w:szCs w:val="21"/>
              </w:rPr>
              <w:t>亿元，远超上市时募集资金的10.66 亿元，年均增长率近</w:t>
            </w:r>
            <w:r w:rsidR="00ED2093" w:rsidRPr="00353CEB">
              <w:rPr>
                <w:rFonts w:asciiTheme="minorEastAsia" w:eastAsiaTheme="minorEastAsia" w:hAnsiTheme="minorEastAsia"/>
                <w:szCs w:val="21"/>
              </w:rPr>
              <w:t>19</w:t>
            </w:r>
            <w:r w:rsidRPr="00353CEB">
              <w:rPr>
                <w:rFonts w:asciiTheme="minorEastAsia" w:eastAsiaTheme="minorEastAsia" w:hAnsiTheme="minorEastAsia" w:hint="eastAsia"/>
                <w:szCs w:val="21"/>
              </w:rPr>
              <w:t>%。</w:t>
            </w:r>
            <w:r w:rsidR="00E46AE2">
              <w:rPr>
                <w:rFonts w:asciiTheme="minorEastAsia" w:eastAsiaTheme="minorEastAsia" w:hAnsiTheme="minorEastAsia" w:hint="eastAsia"/>
                <w:szCs w:val="21"/>
              </w:rPr>
              <w:t>2</w:t>
            </w:r>
            <w:r w:rsidR="00E46AE2">
              <w:rPr>
                <w:rFonts w:asciiTheme="minorEastAsia" w:eastAsiaTheme="minorEastAsia" w:hAnsiTheme="minorEastAsia"/>
                <w:szCs w:val="21"/>
              </w:rPr>
              <w:t>024</w:t>
            </w:r>
            <w:r w:rsidR="00E46AE2">
              <w:rPr>
                <w:rFonts w:asciiTheme="minorEastAsia" w:eastAsiaTheme="minorEastAsia" w:hAnsiTheme="minorEastAsia" w:hint="eastAsia"/>
                <w:szCs w:val="21"/>
              </w:rPr>
              <w:t>年度、2</w:t>
            </w:r>
            <w:r w:rsidR="00E46AE2">
              <w:rPr>
                <w:rFonts w:asciiTheme="minorEastAsia" w:eastAsiaTheme="minorEastAsia" w:hAnsiTheme="minorEastAsia"/>
                <w:szCs w:val="21"/>
              </w:rPr>
              <w:t>025</w:t>
            </w:r>
            <w:r w:rsidR="00E46AE2">
              <w:rPr>
                <w:rFonts w:asciiTheme="minorEastAsia" w:eastAsiaTheme="minorEastAsia" w:hAnsiTheme="minorEastAsia" w:hint="eastAsia"/>
                <w:szCs w:val="21"/>
              </w:rPr>
              <w:t>年度，</w:t>
            </w:r>
            <w:r w:rsidR="005A74D9">
              <w:rPr>
                <w:rFonts w:asciiTheme="minorEastAsia" w:eastAsiaTheme="minorEastAsia" w:hAnsiTheme="minorEastAsia" w:hint="eastAsia"/>
                <w:szCs w:val="21"/>
              </w:rPr>
              <w:t>在合并财务报表层面实现的利润，以及可供分配利润充足的情况下，因单体财务报表未分配利润为负，无法如期进行年度现金分红。公司正积极推进境内外渠道</w:t>
            </w:r>
            <w:r w:rsidR="00710BA4">
              <w:rPr>
                <w:rFonts w:asciiTheme="minorEastAsia" w:eastAsiaTheme="minorEastAsia" w:hAnsiTheme="minorEastAsia" w:hint="eastAsia"/>
                <w:szCs w:val="21"/>
              </w:rPr>
              <w:t>打通工作，争取尽快</w:t>
            </w:r>
            <w:r w:rsidR="00710BA4">
              <w:rPr>
                <w:rFonts w:asciiTheme="minorEastAsia" w:eastAsiaTheme="minorEastAsia" w:hAnsiTheme="minorEastAsia" w:hint="eastAsia"/>
                <w:szCs w:val="21"/>
              </w:rPr>
              <w:lastRenderedPageBreak/>
              <w:t>实现单体财务报表未分配利润转正，</w:t>
            </w:r>
            <w:r w:rsidR="005A74D9">
              <w:rPr>
                <w:rFonts w:asciiTheme="minorEastAsia" w:eastAsiaTheme="minorEastAsia" w:hAnsiTheme="minorEastAsia" w:hint="eastAsia"/>
                <w:szCs w:val="21"/>
              </w:rPr>
              <w:t>积极履行分红</w:t>
            </w:r>
            <w:r w:rsidR="00710BA4">
              <w:rPr>
                <w:rFonts w:asciiTheme="minorEastAsia" w:eastAsiaTheme="minorEastAsia" w:hAnsiTheme="minorEastAsia" w:hint="eastAsia"/>
                <w:szCs w:val="21"/>
              </w:rPr>
              <w:t>程序和安排分红</w:t>
            </w:r>
            <w:r w:rsidR="00ED2093" w:rsidRPr="00353CEB">
              <w:rPr>
                <w:rFonts w:asciiTheme="minorEastAsia" w:eastAsiaTheme="minorEastAsia" w:hAnsiTheme="minorEastAsia" w:hint="eastAsia"/>
                <w:szCs w:val="21"/>
              </w:rPr>
              <w:t>。</w:t>
            </w:r>
          </w:p>
        </w:tc>
      </w:tr>
      <w:tr w:rsidR="00C11D7A" w:rsidTr="000E0757">
        <w:trPr>
          <w:jc w:val="center"/>
        </w:trPr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1D7A" w:rsidRDefault="006C0B43" w:rsidP="000E0757">
            <w:pPr>
              <w:spacing w:line="420" w:lineRule="exact"/>
              <w:jc w:val="center"/>
              <w:rPr>
                <w:bCs/>
                <w:iCs/>
                <w:color w:val="000000"/>
                <w:kern w:val="0"/>
                <w:sz w:val="24"/>
              </w:rPr>
            </w:pPr>
            <w:r>
              <w:rPr>
                <w:rFonts w:hint="eastAsia"/>
                <w:bCs/>
                <w:iCs/>
                <w:color w:val="000000"/>
                <w:kern w:val="0"/>
                <w:sz w:val="24"/>
              </w:rPr>
              <w:lastRenderedPageBreak/>
              <w:t>风险提示</w:t>
            </w:r>
          </w:p>
        </w:tc>
        <w:tc>
          <w:tcPr>
            <w:tcW w:w="6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11D7A" w:rsidRDefault="007D6E40">
            <w:pPr>
              <w:spacing w:line="420" w:lineRule="exact"/>
              <w:rPr>
                <w:bCs/>
                <w:iCs/>
                <w:color w:val="000000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 xml:space="preserve">    </w:t>
            </w:r>
            <w:r w:rsidR="007902B3" w:rsidRPr="007902B3">
              <w:rPr>
                <w:rFonts w:asciiTheme="minorEastAsia" w:eastAsiaTheme="minorEastAsia" w:hAnsiTheme="minorEastAsia" w:hint="eastAsia"/>
                <w:szCs w:val="21"/>
              </w:rPr>
              <w:t>以上如涉及对行业的预测、公司发展战略规划等相关内容，不能视作公司或公司管理层对行业、公司发展或业绩的承诺和保证，敬请广大投资者注意投资风险。</w:t>
            </w:r>
          </w:p>
        </w:tc>
      </w:tr>
      <w:tr w:rsidR="006C0B43" w:rsidTr="000E0757">
        <w:trPr>
          <w:jc w:val="center"/>
        </w:trPr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C0B43" w:rsidRDefault="006C0B43" w:rsidP="000E0757">
            <w:pPr>
              <w:spacing w:line="420" w:lineRule="exact"/>
              <w:jc w:val="center"/>
              <w:rPr>
                <w:rFonts w:hAnsi="宋体"/>
                <w:bCs/>
                <w:iCs/>
                <w:color w:val="000000"/>
                <w:kern w:val="0"/>
                <w:sz w:val="24"/>
              </w:rPr>
            </w:pPr>
            <w:r>
              <w:rPr>
                <w:rFonts w:hAnsi="宋体" w:hint="eastAsia"/>
                <w:bCs/>
                <w:iCs/>
                <w:color w:val="000000"/>
                <w:kern w:val="0"/>
                <w:sz w:val="24"/>
              </w:rPr>
              <w:t>是否涉及应当披露重大信息</w:t>
            </w:r>
          </w:p>
        </w:tc>
        <w:tc>
          <w:tcPr>
            <w:tcW w:w="6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C0B43" w:rsidRDefault="006C0B43">
            <w:pPr>
              <w:spacing w:line="420" w:lineRule="exact"/>
              <w:rPr>
                <w:bCs/>
                <w:iCs/>
                <w:color w:val="000000"/>
                <w:sz w:val="24"/>
              </w:rPr>
            </w:pPr>
            <w:r w:rsidRPr="000E0757">
              <w:rPr>
                <w:rFonts w:ascii="宋体" w:hAnsi="宋体" w:hint="eastAsia"/>
                <w:bCs/>
                <w:szCs w:val="21"/>
              </w:rPr>
              <w:t>否</w:t>
            </w:r>
          </w:p>
        </w:tc>
      </w:tr>
      <w:tr w:rsidR="00C11D7A" w:rsidTr="000E0757">
        <w:trPr>
          <w:jc w:val="center"/>
        </w:trPr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1D7A" w:rsidRDefault="00DE02B1" w:rsidP="000E0757">
            <w:pPr>
              <w:spacing w:line="420" w:lineRule="exact"/>
              <w:jc w:val="center"/>
              <w:rPr>
                <w:bCs/>
                <w:iCs/>
                <w:color w:val="000000"/>
                <w:kern w:val="0"/>
                <w:sz w:val="24"/>
              </w:rPr>
            </w:pPr>
            <w:r>
              <w:rPr>
                <w:rFonts w:hAnsi="宋体"/>
                <w:bCs/>
                <w:iCs/>
                <w:color w:val="000000"/>
                <w:kern w:val="0"/>
                <w:sz w:val="24"/>
              </w:rPr>
              <w:t>日期</w:t>
            </w:r>
          </w:p>
        </w:tc>
        <w:tc>
          <w:tcPr>
            <w:tcW w:w="6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11D7A" w:rsidRDefault="00DE02B1" w:rsidP="0088383B">
            <w:pPr>
              <w:spacing w:line="420" w:lineRule="exact"/>
              <w:rPr>
                <w:bCs/>
                <w:iCs/>
                <w:color w:val="000000"/>
                <w:sz w:val="24"/>
              </w:rPr>
            </w:pPr>
            <w:r w:rsidRPr="000E0757">
              <w:rPr>
                <w:rFonts w:ascii="宋体" w:hAnsi="宋体" w:hint="eastAsia"/>
                <w:bCs/>
                <w:szCs w:val="21"/>
              </w:rPr>
              <w:t>202</w:t>
            </w:r>
            <w:r w:rsidR="0088383B">
              <w:rPr>
                <w:rFonts w:ascii="宋体" w:hAnsi="宋体"/>
                <w:bCs/>
                <w:szCs w:val="21"/>
              </w:rPr>
              <w:t>6</w:t>
            </w:r>
            <w:r w:rsidRPr="000E0757">
              <w:rPr>
                <w:rFonts w:ascii="宋体" w:hAnsi="宋体" w:hint="eastAsia"/>
                <w:bCs/>
                <w:szCs w:val="21"/>
              </w:rPr>
              <w:t>年</w:t>
            </w:r>
            <w:r w:rsidR="0088383B">
              <w:rPr>
                <w:rFonts w:ascii="宋体" w:hAnsi="宋体"/>
                <w:bCs/>
                <w:szCs w:val="21"/>
              </w:rPr>
              <w:t>3</w:t>
            </w:r>
            <w:r w:rsidRPr="000E0757">
              <w:rPr>
                <w:rFonts w:ascii="宋体" w:hAnsi="宋体" w:hint="eastAsia"/>
                <w:bCs/>
                <w:szCs w:val="21"/>
              </w:rPr>
              <w:t>月</w:t>
            </w:r>
            <w:r w:rsidR="0088383B">
              <w:rPr>
                <w:rFonts w:ascii="宋体" w:hAnsi="宋体"/>
                <w:bCs/>
                <w:szCs w:val="21"/>
              </w:rPr>
              <w:t>29</w:t>
            </w:r>
            <w:r w:rsidRPr="000E0757">
              <w:rPr>
                <w:rFonts w:ascii="宋体" w:hAnsi="宋体" w:hint="eastAsia"/>
                <w:bCs/>
                <w:szCs w:val="21"/>
              </w:rPr>
              <w:t>日</w:t>
            </w:r>
          </w:p>
        </w:tc>
      </w:tr>
    </w:tbl>
    <w:p w:rsidR="00C11D7A" w:rsidRDefault="00C11D7A"/>
    <w:sectPr w:rsidR="00C11D7A" w:rsidSect="005E0FF9">
      <w:headerReference w:type="default" r:id="rId8"/>
      <w:footerReference w:type="default" r:id="rId9"/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50D96" w:rsidRDefault="00550D96">
      <w:r>
        <w:separator/>
      </w:r>
    </w:p>
  </w:endnote>
  <w:endnote w:type="continuationSeparator" w:id="1">
    <w:p w:rsidR="00550D96" w:rsidRDefault="00550D9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等线">
    <w:altName w:val="DengXian"/>
    <w:charset w:val="86"/>
    <w:family w:val="auto"/>
    <w:pitch w:val="variable"/>
    <w:sig w:usb0="A00002BF" w:usb1="38CF7CFA" w:usb2="00000016" w:usb3="00000000" w:csb0="0004000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11D7A" w:rsidRDefault="00C11D7A">
    <w:pPr>
      <w:pStyle w:val="a4"/>
      <w:jc w:val="righ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50D96" w:rsidRDefault="00550D96">
      <w:r>
        <w:separator/>
      </w:r>
    </w:p>
  </w:footnote>
  <w:footnote w:type="continuationSeparator" w:id="1">
    <w:p w:rsidR="00550D96" w:rsidRDefault="00550D9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11D7A" w:rsidRDefault="00C11D7A">
    <w:pPr>
      <w:pStyle w:val="a5"/>
      <w:pBdr>
        <w:bottom w:val="none" w:sz="0" w:space="0" w:color="auto"/>
      </w:pBdr>
      <w:jc w:val="left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7F7490"/>
    <w:multiLevelType w:val="hybridMultilevel"/>
    <w:tmpl w:val="C3202362"/>
    <w:lvl w:ilvl="0" w:tplc="7DB89D52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314905B1"/>
    <w:multiLevelType w:val="hybridMultilevel"/>
    <w:tmpl w:val="0F9E6D8E"/>
    <w:lvl w:ilvl="0" w:tplc="0409000F">
      <w:start w:val="1"/>
      <w:numFmt w:val="decimal"/>
      <w:lvlText w:val="%1."/>
      <w:lvlJc w:val="left"/>
      <w:pPr>
        <w:ind w:left="840" w:hanging="420"/>
      </w:p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2">
    <w:nsid w:val="450E64F3"/>
    <w:multiLevelType w:val="hybridMultilevel"/>
    <w:tmpl w:val="28ACBA72"/>
    <w:lvl w:ilvl="0" w:tplc="0409000F">
      <w:start w:val="1"/>
      <w:numFmt w:val="decimal"/>
      <w:lvlText w:val="%1."/>
      <w:lvlJc w:val="left"/>
      <w:pPr>
        <w:ind w:left="840" w:hanging="420"/>
      </w:p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3">
    <w:nsid w:val="4F2C0BD3"/>
    <w:multiLevelType w:val="hybridMultilevel"/>
    <w:tmpl w:val="D04A2D8C"/>
    <w:lvl w:ilvl="0" w:tplc="04090013">
      <w:start w:val="1"/>
      <w:numFmt w:val="chineseCountingThousand"/>
      <w:lvlText w:val="%1、"/>
      <w:lvlJc w:val="left"/>
      <w:pPr>
        <w:ind w:left="840" w:hanging="420"/>
      </w:p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4">
    <w:nsid w:val="4FC56EAE"/>
    <w:multiLevelType w:val="hybridMultilevel"/>
    <w:tmpl w:val="28AC9762"/>
    <w:lvl w:ilvl="0" w:tplc="0409000F">
      <w:start w:val="1"/>
      <w:numFmt w:val="decimal"/>
      <w:lvlText w:val="%1."/>
      <w:lvlJc w:val="left"/>
      <w:pPr>
        <w:ind w:left="42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>
    <w:nsid w:val="62BD4B94"/>
    <w:multiLevelType w:val="hybridMultilevel"/>
    <w:tmpl w:val="467C6D9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8794A1C0">
      <w:start w:val="2022"/>
      <w:numFmt w:val="decimal"/>
      <w:lvlText w:val="%2年，"/>
      <w:lvlJc w:val="left"/>
      <w:pPr>
        <w:ind w:left="1300" w:hanging="88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6">
    <w:nsid w:val="786A5983"/>
    <w:multiLevelType w:val="hybridMultilevel"/>
    <w:tmpl w:val="6CEAACB2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7">
    <w:nsid w:val="7CF937CD"/>
    <w:multiLevelType w:val="hybridMultilevel"/>
    <w:tmpl w:val="C8D2A0EA"/>
    <w:lvl w:ilvl="0" w:tplc="0409000F">
      <w:start w:val="1"/>
      <w:numFmt w:val="decimal"/>
      <w:lvlText w:val="%1."/>
      <w:lvlJc w:val="left"/>
      <w:pPr>
        <w:ind w:left="840" w:hanging="420"/>
      </w:p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num w:numId="1">
    <w:abstractNumId w:val="5"/>
  </w:num>
  <w:num w:numId="2">
    <w:abstractNumId w:val="6"/>
  </w:num>
  <w:num w:numId="3">
    <w:abstractNumId w:val="0"/>
  </w:num>
  <w:num w:numId="4">
    <w:abstractNumId w:val="5"/>
    <w:lvlOverride w:ilvl="0">
      <w:lvl w:ilvl="0" w:tplc="0409000F">
        <w:start w:val="1"/>
        <w:numFmt w:val="decimal"/>
        <w:lvlText w:val="%1、"/>
        <w:lvlJc w:val="left"/>
        <w:pPr>
          <w:ind w:left="170" w:hanging="170"/>
        </w:pPr>
        <w:rPr>
          <w:rFonts w:hint="default"/>
        </w:rPr>
      </w:lvl>
    </w:lvlOverride>
    <w:lvlOverride w:ilvl="1">
      <w:lvl w:ilvl="1" w:tplc="8794A1C0" w:tentative="1">
        <w:start w:val="1"/>
        <w:numFmt w:val="lowerLetter"/>
        <w:lvlText w:val="%2)"/>
        <w:lvlJc w:val="left"/>
        <w:pPr>
          <w:ind w:left="840" w:hanging="420"/>
        </w:pPr>
      </w:lvl>
    </w:lvlOverride>
    <w:lvlOverride w:ilvl="2">
      <w:lvl w:ilvl="2" w:tplc="0409001B" w:tentative="1">
        <w:start w:val="1"/>
        <w:numFmt w:val="lowerRoman"/>
        <w:lvlText w:val="%3."/>
        <w:lvlJc w:val="right"/>
        <w:pPr>
          <w:ind w:left="1260" w:hanging="420"/>
        </w:pPr>
      </w:lvl>
    </w:lvlOverride>
    <w:lvlOverride w:ilvl="3">
      <w:lvl w:ilvl="3" w:tplc="0409000F" w:tentative="1">
        <w:start w:val="1"/>
        <w:numFmt w:val="decimal"/>
        <w:lvlText w:val="%4."/>
        <w:lvlJc w:val="left"/>
        <w:pPr>
          <w:ind w:left="1680" w:hanging="420"/>
        </w:pPr>
      </w:lvl>
    </w:lvlOverride>
    <w:lvlOverride w:ilvl="4">
      <w:lvl w:ilvl="4" w:tplc="04090019" w:tentative="1">
        <w:start w:val="1"/>
        <w:numFmt w:val="lowerLetter"/>
        <w:lvlText w:val="%5)"/>
        <w:lvlJc w:val="left"/>
        <w:pPr>
          <w:ind w:left="2100" w:hanging="420"/>
        </w:pPr>
      </w:lvl>
    </w:lvlOverride>
    <w:lvlOverride w:ilvl="5">
      <w:lvl w:ilvl="5" w:tplc="0409001B" w:tentative="1">
        <w:start w:val="1"/>
        <w:numFmt w:val="lowerRoman"/>
        <w:lvlText w:val="%6."/>
        <w:lvlJc w:val="right"/>
        <w:pPr>
          <w:ind w:left="2520" w:hanging="420"/>
        </w:pPr>
      </w:lvl>
    </w:lvlOverride>
    <w:lvlOverride w:ilvl="6">
      <w:lvl w:ilvl="6" w:tplc="0409000F" w:tentative="1">
        <w:start w:val="1"/>
        <w:numFmt w:val="decimal"/>
        <w:lvlText w:val="%7."/>
        <w:lvlJc w:val="left"/>
        <w:pPr>
          <w:ind w:left="2940" w:hanging="420"/>
        </w:pPr>
      </w:lvl>
    </w:lvlOverride>
    <w:lvlOverride w:ilvl="7">
      <w:lvl w:ilvl="7" w:tplc="04090019" w:tentative="1">
        <w:start w:val="1"/>
        <w:numFmt w:val="lowerLetter"/>
        <w:lvlText w:val="%8)"/>
        <w:lvlJc w:val="left"/>
        <w:pPr>
          <w:ind w:left="3360" w:hanging="420"/>
        </w:pPr>
      </w:lvl>
    </w:lvlOverride>
    <w:lvlOverride w:ilvl="8">
      <w:lvl w:ilvl="8" w:tplc="0409001B" w:tentative="1">
        <w:start w:val="1"/>
        <w:numFmt w:val="lowerRoman"/>
        <w:lvlText w:val="%9."/>
        <w:lvlJc w:val="right"/>
        <w:pPr>
          <w:ind w:left="3780" w:hanging="420"/>
        </w:pPr>
      </w:lvl>
    </w:lvlOverride>
  </w:num>
  <w:num w:numId="5">
    <w:abstractNumId w:val="5"/>
    <w:lvlOverride w:ilvl="0">
      <w:lvl w:ilvl="0" w:tplc="0409000F">
        <w:start w:val="1"/>
        <w:numFmt w:val="decimal"/>
        <w:lvlText w:val="%1、"/>
        <w:lvlJc w:val="left"/>
        <w:pPr>
          <w:ind w:left="0" w:firstLine="0"/>
        </w:pPr>
        <w:rPr>
          <w:rFonts w:hint="default"/>
        </w:rPr>
      </w:lvl>
    </w:lvlOverride>
    <w:lvlOverride w:ilvl="1">
      <w:lvl w:ilvl="1" w:tplc="8794A1C0" w:tentative="1">
        <w:start w:val="1"/>
        <w:numFmt w:val="lowerLetter"/>
        <w:lvlText w:val="%2)"/>
        <w:lvlJc w:val="left"/>
        <w:pPr>
          <w:ind w:left="840" w:hanging="420"/>
        </w:pPr>
      </w:lvl>
    </w:lvlOverride>
    <w:lvlOverride w:ilvl="2">
      <w:lvl w:ilvl="2" w:tplc="0409001B" w:tentative="1">
        <w:start w:val="1"/>
        <w:numFmt w:val="lowerRoman"/>
        <w:lvlText w:val="%3."/>
        <w:lvlJc w:val="right"/>
        <w:pPr>
          <w:ind w:left="1260" w:hanging="420"/>
        </w:pPr>
      </w:lvl>
    </w:lvlOverride>
    <w:lvlOverride w:ilvl="3">
      <w:lvl w:ilvl="3" w:tplc="0409000F" w:tentative="1">
        <w:start w:val="1"/>
        <w:numFmt w:val="decimal"/>
        <w:lvlText w:val="%4."/>
        <w:lvlJc w:val="left"/>
        <w:pPr>
          <w:ind w:left="1680" w:hanging="420"/>
        </w:pPr>
      </w:lvl>
    </w:lvlOverride>
    <w:lvlOverride w:ilvl="4">
      <w:lvl w:ilvl="4" w:tplc="04090019" w:tentative="1">
        <w:start w:val="1"/>
        <w:numFmt w:val="lowerLetter"/>
        <w:lvlText w:val="%5)"/>
        <w:lvlJc w:val="left"/>
        <w:pPr>
          <w:ind w:left="2100" w:hanging="420"/>
        </w:pPr>
      </w:lvl>
    </w:lvlOverride>
    <w:lvlOverride w:ilvl="5">
      <w:lvl w:ilvl="5" w:tplc="0409001B" w:tentative="1">
        <w:start w:val="1"/>
        <w:numFmt w:val="lowerRoman"/>
        <w:lvlText w:val="%6."/>
        <w:lvlJc w:val="right"/>
        <w:pPr>
          <w:ind w:left="2520" w:hanging="420"/>
        </w:pPr>
      </w:lvl>
    </w:lvlOverride>
    <w:lvlOverride w:ilvl="6">
      <w:lvl w:ilvl="6" w:tplc="0409000F" w:tentative="1">
        <w:start w:val="1"/>
        <w:numFmt w:val="decimal"/>
        <w:lvlText w:val="%7."/>
        <w:lvlJc w:val="left"/>
        <w:pPr>
          <w:ind w:left="2940" w:hanging="420"/>
        </w:pPr>
      </w:lvl>
    </w:lvlOverride>
    <w:lvlOverride w:ilvl="7">
      <w:lvl w:ilvl="7" w:tplc="04090019" w:tentative="1">
        <w:start w:val="1"/>
        <w:numFmt w:val="lowerLetter"/>
        <w:lvlText w:val="%8)"/>
        <w:lvlJc w:val="left"/>
        <w:pPr>
          <w:ind w:left="3360" w:hanging="420"/>
        </w:pPr>
      </w:lvl>
    </w:lvlOverride>
    <w:lvlOverride w:ilvl="8">
      <w:lvl w:ilvl="8" w:tplc="0409001B" w:tentative="1">
        <w:start w:val="1"/>
        <w:numFmt w:val="lowerRoman"/>
        <w:lvlText w:val="%9."/>
        <w:lvlJc w:val="right"/>
        <w:pPr>
          <w:ind w:left="3780" w:hanging="420"/>
        </w:pPr>
      </w:lvl>
    </w:lvlOverride>
  </w:num>
  <w:num w:numId="6">
    <w:abstractNumId w:val="3"/>
  </w:num>
  <w:num w:numId="7">
    <w:abstractNumId w:val="7"/>
  </w:num>
  <w:num w:numId="8">
    <w:abstractNumId w:val="2"/>
  </w:num>
  <w:num w:numId="9">
    <w:abstractNumId w:val="1"/>
  </w:num>
  <w:num w:numId="10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activeWritingStyle w:appName="MSWord" w:lang="en-US" w:vendorID="64" w:dllVersion="131078" w:nlCheck="1" w:checkStyle="0"/>
  <w:activeWritingStyle w:appName="MSWord" w:lang="zh-CN" w:vendorID="64" w:dllVersion="131077" w:nlCheck="1" w:checkStyle="1"/>
  <w:activeWritingStyle w:appName="MSWord" w:lang="en-GB" w:vendorID="64" w:dllVersion="131078" w:nlCheck="1" w:checkStyle="0"/>
  <w:defaultTabStop w:val="420"/>
  <w:drawingGridVerticalSpacing w:val="156"/>
  <w:noPunctuationKerning/>
  <w:characterSpacingControl w:val="compressPunctuation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MDZhMmE5Njk0YTY2NmQ4YmRkMGZmMmFiNDFlODI1ODEifQ=="/>
  </w:docVars>
  <w:rsids>
    <w:rsidRoot w:val="00172A27"/>
    <w:rsid w:val="B7DDD54D"/>
    <w:rsid w:val="E3FFE6ED"/>
    <w:rsid w:val="F5DB8A63"/>
    <w:rsid w:val="F797912E"/>
    <w:rsid w:val="FE7B4896"/>
    <w:rsid w:val="0000675B"/>
    <w:rsid w:val="00006E63"/>
    <w:rsid w:val="0001090E"/>
    <w:rsid w:val="00011913"/>
    <w:rsid w:val="00024410"/>
    <w:rsid w:val="000268C0"/>
    <w:rsid w:val="0003190A"/>
    <w:rsid w:val="0003197F"/>
    <w:rsid w:val="000363B5"/>
    <w:rsid w:val="000364E3"/>
    <w:rsid w:val="000375D7"/>
    <w:rsid w:val="00037F7D"/>
    <w:rsid w:val="00041A10"/>
    <w:rsid w:val="00043015"/>
    <w:rsid w:val="00044B16"/>
    <w:rsid w:val="00046944"/>
    <w:rsid w:val="00046DDE"/>
    <w:rsid w:val="00046EA6"/>
    <w:rsid w:val="00047EB9"/>
    <w:rsid w:val="00054BBE"/>
    <w:rsid w:val="00060A74"/>
    <w:rsid w:val="00067110"/>
    <w:rsid w:val="00067EF6"/>
    <w:rsid w:val="00070FD7"/>
    <w:rsid w:val="00071A9B"/>
    <w:rsid w:val="000740E0"/>
    <w:rsid w:val="000758C4"/>
    <w:rsid w:val="00080E62"/>
    <w:rsid w:val="00083500"/>
    <w:rsid w:val="0009298A"/>
    <w:rsid w:val="00093AB8"/>
    <w:rsid w:val="0009577F"/>
    <w:rsid w:val="0009686B"/>
    <w:rsid w:val="00096C3D"/>
    <w:rsid w:val="00096D99"/>
    <w:rsid w:val="000A2808"/>
    <w:rsid w:val="000A3BAC"/>
    <w:rsid w:val="000B171A"/>
    <w:rsid w:val="000C26FD"/>
    <w:rsid w:val="000C2D85"/>
    <w:rsid w:val="000C430F"/>
    <w:rsid w:val="000D0737"/>
    <w:rsid w:val="000D3A7A"/>
    <w:rsid w:val="000D4C61"/>
    <w:rsid w:val="000D7BE5"/>
    <w:rsid w:val="000E0757"/>
    <w:rsid w:val="000E5700"/>
    <w:rsid w:val="000F091D"/>
    <w:rsid w:val="000F0C4B"/>
    <w:rsid w:val="000F0E22"/>
    <w:rsid w:val="000F4C9E"/>
    <w:rsid w:val="000F6502"/>
    <w:rsid w:val="001020FB"/>
    <w:rsid w:val="00105A04"/>
    <w:rsid w:val="001119F8"/>
    <w:rsid w:val="001169A9"/>
    <w:rsid w:val="00125EB2"/>
    <w:rsid w:val="00137A92"/>
    <w:rsid w:val="00140FC8"/>
    <w:rsid w:val="001415BC"/>
    <w:rsid w:val="00142A4C"/>
    <w:rsid w:val="00144279"/>
    <w:rsid w:val="001452FF"/>
    <w:rsid w:val="00147419"/>
    <w:rsid w:val="001542FB"/>
    <w:rsid w:val="001555E5"/>
    <w:rsid w:val="00157998"/>
    <w:rsid w:val="0016461B"/>
    <w:rsid w:val="0016617A"/>
    <w:rsid w:val="00167E99"/>
    <w:rsid w:val="00172A27"/>
    <w:rsid w:val="0017671B"/>
    <w:rsid w:val="001771C1"/>
    <w:rsid w:val="00182AB6"/>
    <w:rsid w:val="0019056D"/>
    <w:rsid w:val="001975AB"/>
    <w:rsid w:val="001A00F5"/>
    <w:rsid w:val="001A1F65"/>
    <w:rsid w:val="001A5CE9"/>
    <w:rsid w:val="001B2633"/>
    <w:rsid w:val="001B4C3C"/>
    <w:rsid w:val="001B5FE4"/>
    <w:rsid w:val="001B72DA"/>
    <w:rsid w:val="001B7385"/>
    <w:rsid w:val="001C50AD"/>
    <w:rsid w:val="001C54BE"/>
    <w:rsid w:val="001D22EE"/>
    <w:rsid w:val="001D4C89"/>
    <w:rsid w:val="001D6FEB"/>
    <w:rsid w:val="001E1838"/>
    <w:rsid w:val="001E3145"/>
    <w:rsid w:val="001E6509"/>
    <w:rsid w:val="001E7968"/>
    <w:rsid w:val="001F1975"/>
    <w:rsid w:val="001F6AEA"/>
    <w:rsid w:val="00210DE4"/>
    <w:rsid w:val="0021125A"/>
    <w:rsid w:val="0022180A"/>
    <w:rsid w:val="0022322D"/>
    <w:rsid w:val="00223ABC"/>
    <w:rsid w:val="002241B9"/>
    <w:rsid w:val="00226B7C"/>
    <w:rsid w:val="002274BC"/>
    <w:rsid w:val="002274D9"/>
    <w:rsid w:val="0023455A"/>
    <w:rsid w:val="00236184"/>
    <w:rsid w:val="00237994"/>
    <w:rsid w:val="00244C90"/>
    <w:rsid w:val="00245939"/>
    <w:rsid w:val="00247E30"/>
    <w:rsid w:val="00250080"/>
    <w:rsid w:val="00251D58"/>
    <w:rsid w:val="002526C4"/>
    <w:rsid w:val="002530EE"/>
    <w:rsid w:val="002547FC"/>
    <w:rsid w:val="002549E6"/>
    <w:rsid w:val="002558F7"/>
    <w:rsid w:val="002562BB"/>
    <w:rsid w:val="00256602"/>
    <w:rsid w:val="00257E27"/>
    <w:rsid w:val="00260398"/>
    <w:rsid w:val="0026052E"/>
    <w:rsid w:val="00263A24"/>
    <w:rsid w:val="00263DAB"/>
    <w:rsid w:val="002673C3"/>
    <w:rsid w:val="00271C8D"/>
    <w:rsid w:val="00273B53"/>
    <w:rsid w:val="002744E4"/>
    <w:rsid w:val="002755A6"/>
    <w:rsid w:val="00275BEF"/>
    <w:rsid w:val="0028080C"/>
    <w:rsid w:val="00280E7B"/>
    <w:rsid w:val="0028386C"/>
    <w:rsid w:val="00284774"/>
    <w:rsid w:val="00287CA1"/>
    <w:rsid w:val="00292DC0"/>
    <w:rsid w:val="00295257"/>
    <w:rsid w:val="0029702C"/>
    <w:rsid w:val="00297703"/>
    <w:rsid w:val="002979E3"/>
    <w:rsid w:val="002A0826"/>
    <w:rsid w:val="002A0984"/>
    <w:rsid w:val="002A3F8C"/>
    <w:rsid w:val="002A589B"/>
    <w:rsid w:val="002B0599"/>
    <w:rsid w:val="002B0DF7"/>
    <w:rsid w:val="002B1184"/>
    <w:rsid w:val="002B41A9"/>
    <w:rsid w:val="002B43B1"/>
    <w:rsid w:val="002B4697"/>
    <w:rsid w:val="002B46F1"/>
    <w:rsid w:val="002B65E6"/>
    <w:rsid w:val="002B71B8"/>
    <w:rsid w:val="002B7469"/>
    <w:rsid w:val="002C22C6"/>
    <w:rsid w:val="002C6568"/>
    <w:rsid w:val="002C723B"/>
    <w:rsid w:val="002D39BC"/>
    <w:rsid w:val="002E10AD"/>
    <w:rsid w:val="002E1B15"/>
    <w:rsid w:val="002E1D3A"/>
    <w:rsid w:val="002E797A"/>
    <w:rsid w:val="002F1559"/>
    <w:rsid w:val="002F2A39"/>
    <w:rsid w:val="002F43CB"/>
    <w:rsid w:val="003005F0"/>
    <w:rsid w:val="00301548"/>
    <w:rsid w:val="003020D1"/>
    <w:rsid w:val="003030BF"/>
    <w:rsid w:val="0030341E"/>
    <w:rsid w:val="00304F89"/>
    <w:rsid w:val="00305B06"/>
    <w:rsid w:val="00306023"/>
    <w:rsid w:val="003060BC"/>
    <w:rsid w:val="00306C87"/>
    <w:rsid w:val="00310F48"/>
    <w:rsid w:val="00314045"/>
    <w:rsid w:val="00316324"/>
    <w:rsid w:val="0031706B"/>
    <w:rsid w:val="00327D5D"/>
    <w:rsid w:val="00330D35"/>
    <w:rsid w:val="00343EFC"/>
    <w:rsid w:val="00344914"/>
    <w:rsid w:val="00346917"/>
    <w:rsid w:val="003520B4"/>
    <w:rsid w:val="00353CEB"/>
    <w:rsid w:val="00354A7B"/>
    <w:rsid w:val="00360FDA"/>
    <w:rsid w:val="00363075"/>
    <w:rsid w:val="00366C6B"/>
    <w:rsid w:val="00367D18"/>
    <w:rsid w:val="00372A1C"/>
    <w:rsid w:val="0037435A"/>
    <w:rsid w:val="003765AE"/>
    <w:rsid w:val="00377D8F"/>
    <w:rsid w:val="00383541"/>
    <w:rsid w:val="00383679"/>
    <w:rsid w:val="003919D3"/>
    <w:rsid w:val="00396044"/>
    <w:rsid w:val="003A1E68"/>
    <w:rsid w:val="003A2042"/>
    <w:rsid w:val="003A2A04"/>
    <w:rsid w:val="003B0122"/>
    <w:rsid w:val="003B0BE5"/>
    <w:rsid w:val="003B2BE1"/>
    <w:rsid w:val="003B2EB6"/>
    <w:rsid w:val="003D18F1"/>
    <w:rsid w:val="003E001E"/>
    <w:rsid w:val="003E08BA"/>
    <w:rsid w:val="003E2B56"/>
    <w:rsid w:val="003F1069"/>
    <w:rsid w:val="003F244D"/>
    <w:rsid w:val="003F7761"/>
    <w:rsid w:val="003F7C4D"/>
    <w:rsid w:val="0040075F"/>
    <w:rsid w:val="00401AEA"/>
    <w:rsid w:val="00403300"/>
    <w:rsid w:val="00404B92"/>
    <w:rsid w:val="00406992"/>
    <w:rsid w:val="00410CA6"/>
    <w:rsid w:val="004118C0"/>
    <w:rsid w:val="00412FF3"/>
    <w:rsid w:val="00414D8A"/>
    <w:rsid w:val="00415FE0"/>
    <w:rsid w:val="00417A31"/>
    <w:rsid w:val="0042004B"/>
    <w:rsid w:val="004265CB"/>
    <w:rsid w:val="00431436"/>
    <w:rsid w:val="00433384"/>
    <w:rsid w:val="0043777D"/>
    <w:rsid w:val="004413C8"/>
    <w:rsid w:val="00442EF0"/>
    <w:rsid w:val="0045291E"/>
    <w:rsid w:val="00452D83"/>
    <w:rsid w:val="00455DFD"/>
    <w:rsid w:val="00455EF7"/>
    <w:rsid w:val="00456EDA"/>
    <w:rsid w:val="0045767F"/>
    <w:rsid w:val="004624D2"/>
    <w:rsid w:val="00463E9B"/>
    <w:rsid w:val="004642A4"/>
    <w:rsid w:val="00467414"/>
    <w:rsid w:val="004716F5"/>
    <w:rsid w:val="00473904"/>
    <w:rsid w:val="00473F30"/>
    <w:rsid w:val="004846E3"/>
    <w:rsid w:val="0048591A"/>
    <w:rsid w:val="00486D86"/>
    <w:rsid w:val="00486FA4"/>
    <w:rsid w:val="0048721A"/>
    <w:rsid w:val="00492F5A"/>
    <w:rsid w:val="004A0BD5"/>
    <w:rsid w:val="004A1BBF"/>
    <w:rsid w:val="004A73E5"/>
    <w:rsid w:val="004A7705"/>
    <w:rsid w:val="004B2A79"/>
    <w:rsid w:val="004B46D4"/>
    <w:rsid w:val="004C020D"/>
    <w:rsid w:val="004C19BF"/>
    <w:rsid w:val="004C2431"/>
    <w:rsid w:val="004C38D2"/>
    <w:rsid w:val="004C5F03"/>
    <w:rsid w:val="004D46DE"/>
    <w:rsid w:val="004D7640"/>
    <w:rsid w:val="004E0479"/>
    <w:rsid w:val="004E0AD8"/>
    <w:rsid w:val="004E1609"/>
    <w:rsid w:val="004E1A9B"/>
    <w:rsid w:val="004E426C"/>
    <w:rsid w:val="004F30D6"/>
    <w:rsid w:val="004F441C"/>
    <w:rsid w:val="004F5756"/>
    <w:rsid w:val="004F5DEA"/>
    <w:rsid w:val="00500AB6"/>
    <w:rsid w:val="0050137D"/>
    <w:rsid w:val="0050297B"/>
    <w:rsid w:val="005155FB"/>
    <w:rsid w:val="00516FE6"/>
    <w:rsid w:val="005228AE"/>
    <w:rsid w:val="00523907"/>
    <w:rsid w:val="00537C53"/>
    <w:rsid w:val="005438F5"/>
    <w:rsid w:val="00544901"/>
    <w:rsid w:val="00544F5D"/>
    <w:rsid w:val="0054511D"/>
    <w:rsid w:val="005460B2"/>
    <w:rsid w:val="00546AD4"/>
    <w:rsid w:val="005474D3"/>
    <w:rsid w:val="00550737"/>
    <w:rsid w:val="00550D96"/>
    <w:rsid w:val="005522BB"/>
    <w:rsid w:val="00554427"/>
    <w:rsid w:val="00555DD2"/>
    <w:rsid w:val="00561350"/>
    <w:rsid w:val="00561FDB"/>
    <w:rsid w:val="00562C69"/>
    <w:rsid w:val="00565ED9"/>
    <w:rsid w:val="00565F2D"/>
    <w:rsid w:val="00574871"/>
    <w:rsid w:val="00575844"/>
    <w:rsid w:val="005760C6"/>
    <w:rsid w:val="00582C11"/>
    <w:rsid w:val="00585A1B"/>
    <w:rsid w:val="00585FD5"/>
    <w:rsid w:val="005873C1"/>
    <w:rsid w:val="00587C9E"/>
    <w:rsid w:val="00591260"/>
    <w:rsid w:val="00591314"/>
    <w:rsid w:val="00593D40"/>
    <w:rsid w:val="00595F1B"/>
    <w:rsid w:val="00596698"/>
    <w:rsid w:val="005A3BE0"/>
    <w:rsid w:val="005A57B6"/>
    <w:rsid w:val="005A74D9"/>
    <w:rsid w:val="005A7DF2"/>
    <w:rsid w:val="005B1026"/>
    <w:rsid w:val="005B23F1"/>
    <w:rsid w:val="005B36ED"/>
    <w:rsid w:val="005B642F"/>
    <w:rsid w:val="005B72A0"/>
    <w:rsid w:val="005C04C1"/>
    <w:rsid w:val="005C05B7"/>
    <w:rsid w:val="005C1785"/>
    <w:rsid w:val="005C4D5C"/>
    <w:rsid w:val="005D2129"/>
    <w:rsid w:val="005D2D87"/>
    <w:rsid w:val="005D3471"/>
    <w:rsid w:val="005D4794"/>
    <w:rsid w:val="005D6A09"/>
    <w:rsid w:val="005D7775"/>
    <w:rsid w:val="005D798B"/>
    <w:rsid w:val="005E0FF9"/>
    <w:rsid w:val="005E26EF"/>
    <w:rsid w:val="005E28F2"/>
    <w:rsid w:val="005E2B4B"/>
    <w:rsid w:val="005E5F63"/>
    <w:rsid w:val="005E6BA1"/>
    <w:rsid w:val="005F0279"/>
    <w:rsid w:val="00602EB3"/>
    <w:rsid w:val="0060364B"/>
    <w:rsid w:val="0060779A"/>
    <w:rsid w:val="00622F13"/>
    <w:rsid w:val="006245ED"/>
    <w:rsid w:val="00625503"/>
    <w:rsid w:val="0062662D"/>
    <w:rsid w:val="00627757"/>
    <w:rsid w:val="006313B7"/>
    <w:rsid w:val="00631CB1"/>
    <w:rsid w:val="00632E78"/>
    <w:rsid w:val="006344F1"/>
    <w:rsid w:val="00634916"/>
    <w:rsid w:val="00637186"/>
    <w:rsid w:val="006414DA"/>
    <w:rsid w:val="00646DF4"/>
    <w:rsid w:val="0065031F"/>
    <w:rsid w:val="006506BA"/>
    <w:rsid w:val="0065110A"/>
    <w:rsid w:val="00651DE6"/>
    <w:rsid w:val="006523BB"/>
    <w:rsid w:val="0065347E"/>
    <w:rsid w:val="006536B1"/>
    <w:rsid w:val="00654B49"/>
    <w:rsid w:val="00655859"/>
    <w:rsid w:val="00656297"/>
    <w:rsid w:val="006571F2"/>
    <w:rsid w:val="0066170F"/>
    <w:rsid w:val="00662505"/>
    <w:rsid w:val="0066674C"/>
    <w:rsid w:val="00667F46"/>
    <w:rsid w:val="006751C7"/>
    <w:rsid w:val="006760F7"/>
    <w:rsid w:val="00676510"/>
    <w:rsid w:val="00677CF4"/>
    <w:rsid w:val="00680D78"/>
    <w:rsid w:val="006813B8"/>
    <w:rsid w:val="00683CA6"/>
    <w:rsid w:val="006861C7"/>
    <w:rsid w:val="00686DDF"/>
    <w:rsid w:val="00690F52"/>
    <w:rsid w:val="00695FF3"/>
    <w:rsid w:val="00697037"/>
    <w:rsid w:val="00697B12"/>
    <w:rsid w:val="006A2260"/>
    <w:rsid w:val="006A5418"/>
    <w:rsid w:val="006A55BB"/>
    <w:rsid w:val="006A7613"/>
    <w:rsid w:val="006B0D06"/>
    <w:rsid w:val="006B2867"/>
    <w:rsid w:val="006B661A"/>
    <w:rsid w:val="006B7D00"/>
    <w:rsid w:val="006C0B43"/>
    <w:rsid w:val="006C6BC5"/>
    <w:rsid w:val="006D3BF8"/>
    <w:rsid w:val="006D3D57"/>
    <w:rsid w:val="006D61A2"/>
    <w:rsid w:val="006D7DF4"/>
    <w:rsid w:val="006E1DB4"/>
    <w:rsid w:val="006E2B57"/>
    <w:rsid w:val="006E55DA"/>
    <w:rsid w:val="006F2834"/>
    <w:rsid w:val="006F57A1"/>
    <w:rsid w:val="006F5AC4"/>
    <w:rsid w:val="006F7E21"/>
    <w:rsid w:val="00706DE1"/>
    <w:rsid w:val="00710527"/>
    <w:rsid w:val="00710BA4"/>
    <w:rsid w:val="007128E1"/>
    <w:rsid w:val="00713987"/>
    <w:rsid w:val="00715F0D"/>
    <w:rsid w:val="0072218D"/>
    <w:rsid w:val="007330E6"/>
    <w:rsid w:val="00734804"/>
    <w:rsid w:val="007377CD"/>
    <w:rsid w:val="00740AD5"/>
    <w:rsid w:val="00742E6F"/>
    <w:rsid w:val="00743112"/>
    <w:rsid w:val="00743B9B"/>
    <w:rsid w:val="00750E6C"/>
    <w:rsid w:val="00753DB6"/>
    <w:rsid w:val="00760D55"/>
    <w:rsid w:val="007615BC"/>
    <w:rsid w:val="00762316"/>
    <w:rsid w:val="00763847"/>
    <w:rsid w:val="00767073"/>
    <w:rsid w:val="0077066E"/>
    <w:rsid w:val="00771FE3"/>
    <w:rsid w:val="00776BDE"/>
    <w:rsid w:val="007837B6"/>
    <w:rsid w:val="007862F3"/>
    <w:rsid w:val="00786870"/>
    <w:rsid w:val="007902B3"/>
    <w:rsid w:val="00792237"/>
    <w:rsid w:val="0079272A"/>
    <w:rsid w:val="00792CF1"/>
    <w:rsid w:val="00794550"/>
    <w:rsid w:val="007A0A2B"/>
    <w:rsid w:val="007A1DA9"/>
    <w:rsid w:val="007A45E7"/>
    <w:rsid w:val="007A486B"/>
    <w:rsid w:val="007A677D"/>
    <w:rsid w:val="007B2252"/>
    <w:rsid w:val="007B2831"/>
    <w:rsid w:val="007B5138"/>
    <w:rsid w:val="007B6B54"/>
    <w:rsid w:val="007B72CD"/>
    <w:rsid w:val="007B79D9"/>
    <w:rsid w:val="007B7FD2"/>
    <w:rsid w:val="007C4561"/>
    <w:rsid w:val="007C5FF1"/>
    <w:rsid w:val="007C67B1"/>
    <w:rsid w:val="007C7B3D"/>
    <w:rsid w:val="007D6E40"/>
    <w:rsid w:val="007E354A"/>
    <w:rsid w:val="007E69C8"/>
    <w:rsid w:val="007F0724"/>
    <w:rsid w:val="007F07CD"/>
    <w:rsid w:val="007F2E99"/>
    <w:rsid w:val="007F4877"/>
    <w:rsid w:val="008005EF"/>
    <w:rsid w:val="0080525B"/>
    <w:rsid w:val="008062C5"/>
    <w:rsid w:val="0080741A"/>
    <w:rsid w:val="00814B5B"/>
    <w:rsid w:val="00815F4F"/>
    <w:rsid w:val="00822A8E"/>
    <w:rsid w:val="00835B76"/>
    <w:rsid w:val="00836F34"/>
    <w:rsid w:val="008372A1"/>
    <w:rsid w:val="00840FB3"/>
    <w:rsid w:val="00843E73"/>
    <w:rsid w:val="00844EBF"/>
    <w:rsid w:val="00852F46"/>
    <w:rsid w:val="00854F61"/>
    <w:rsid w:val="00860A23"/>
    <w:rsid w:val="00864202"/>
    <w:rsid w:val="00873B59"/>
    <w:rsid w:val="0087701F"/>
    <w:rsid w:val="0088383B"/>
    <w:rsid w:val="00886CFF"/>
    <w:rsid w:val="0089283D"/>
    <w:rsid w:val="00896993"/>
    <w:rsid w:val="008A0363"/>
    <w:rsid w:val="008A0438"/>
    <w:rsid w:val="008A0ADC"/>
    <w:rsid w:val="008A1AD2"/>
    <w:rsid w:val="008A1BAB"/>
    <w:rsid w:val="008B10F3"/>
    <w:rsid w:val="008B38B7"/>
    <w:rsid w:val="008B3F1C"/>
    <w:rsid w:val="008B458E"/>
    <w:rsid w:val="008B6778"/>
    <w:rsid w:val="008B7393"/>
    <w:rsid w:val="008C2689"/>
    <w:rsid w:val="008C4C8B"/>
    <w:rsid w:val="008C4D4A"/>
    <w:rsid w:val="008D13F4"/>
    <w:rsid w:val="008E0060"/>
    <w:rsid w:val="008E11AE"/>
    <w:rsid w:val="008E1708"/>
    <w:rsid w:val="008E4844"/>
    <w:rsid w:val="008E66D5"/>
    <w:rsid w:val="008F2016"/>
    <w:rsid w:val="008F592D"/>
    <w:rsid w:val="00902D2B"/>
    <w:rsid w:val="00904492"/>
    <w:rsid w:val="00904DFB"/>
    <w:rsid w:val="0091457B"/>
    <w:rsid w:val="0091704E"/>
    <w:rsid w:val="00921A1B"/>
    <w:rsid w:val="00923763"/>
    <w:rsid w:val="00924C4C"/>
    <w:rsid w:val="00930ED6"/>
    <w:rsid w:val="0093293F"/>
    <w:rsid w:val="00932B6D"/>
    <w:rsid w:val="00932F02"/>
    <w:rsid w:val="00933105"/>
    <w:rsid w:val="009341FD"/>
    <w:rsid w:val="00943BB8"/>
    <w:rsid w:val="00944DC5"/>
    <w:rsid w:val="009474EF"/>
    <w:rsid w:val="00954003"/>
    <w:rsid w:val="00954981"/>
    <w:rsid w:val="00962626"/>
    <w:rsid w:val="00963126"/>
    <w:rsid w:val="00964E44"/>
    <w:rsid w:val="009767DD"/>
    <w:rsid w:val="00977A90"/>
    <w:rsid w:val="00977AF2"/>
    <w:rsid w:val="00981C0D"/>
    <w:rsid w:val="00982BE3"/>
    <w:rsid w:val="00983534"/>
    <w:rsid w:val="00985FC5"/>
    <w:rsid w:val="00993BDD"/>
    <w:rsid w:val="009A06F5"/>
    <w:rsid w:val="009A1634"/>
    <w:rsid w:val="009A546E"/>
    <w:rsid w:val="009A6DFB"/>
    <w:rsid w:val="009B0C33"/>
    <w:rsid w:val="009B11BA"/>
    <w:rsid w:val="009B6EC0"/>
    <w:rsid w:val="009C7FAF"/>
    <w:rsid w:val="009D4199"/>
    <w:rsid w:val="009D4DF4"/>
    <w:rsid w:val="009E1670"/>
    <w:rsid w:val="009E3790"/>
    <w:rsid w:val="009E5E6A"/>
    <w:rsid w:val="009F0DD5"/>
    <w:rsid w:val="009F1B95"/>
    <w:rsid w:val="009F29D5"/>
    <w:rsid w:val="009F6B8A"/>
    <w:rsid w:val="009F6C05"/>
    <w:rsid w:val="009F7FDA"/>
    <w:rsid w:val="00A0181C"/>
    <w:rsid w:val="00A01E55"/>
    <w:rsid w:val="00A03C4E"/>
    <w:rsid w:val="00A0498F"/>
    <w:rsid w:val="00A07A1D"/>
    <w:rsid w:val="00A13CB6"/>
    <w:rsid w:val="00A14A1A"/>
    <w:rsid w:val="00A22CDD"/>
    <w:rsid w:val="00A25AEE"/>
    <w:rsid w:val="00A30026"/>
    <w:rsid w:val="00A31EB1"/>
    <w:rsid w:val="00A33AEA"/>
    <w:rsid w:val="00A37F42"/>
    <w:rsid w:val="00A403FF"/>
    <w:rsid w:val="00A41256"/>
    <w:rsid w:val="00A41C48"/>
    <w:rsid w:val="00A44BD1"/>
    <w:rsid w:val="00A45657"/>
    <w:rsid w:val="00A461CD"/>
    <w:rsid w:val="00A469C5"/>
    <w:rsid w:val="00A50ADC"/>
    <w:rsid w:val="00A5317D"/>
    <w:rsid w:val="00A53357"/>
    <w:rsid w:val="00A54673"/>
    <w:rsid w:val="00A6284E"/>
    <w:rsid w:val="00A63154"/>
    <w:rsid w:val="00A63E81"/>
    <w:rsid w:val="00A66332"/>
    <w:rsid w:val="00A70B13"/>
    <w:rsid w:val="00A7741D"/>
    <w:rsid w:val="00A80542"/>
    <w:rsid w:val="00A832E2"/>
    <w:rsid w:val="00A8775A"/>
    <w:rsid w:val="00A90B94"/>
    <w:rsid w:val="00A90D9B"/>
    <w:rsid w:val="00A930F6"/>
    <w:rsid w:val="00A94E5D"/>
    <w:rsid w:val="00A971E8"/>
    <w:rsid w:val="00AA1B05"/>
    <w:rsid w:val="00AA4F0D"/>
    <w:rsid w:val="00AA5998"/>
    <w:rsid w:val="00AB07E7"/>
    <w:rsid w:val="00AB2F6F"/>
    <w:rsid w:val="00AB4065"/>
    <w:rsid w:val="00AB54FA"/>
    <w:rsid w:val="00AC0D09"/>
    <w:rsid w:val="00AC4E85"/>
    <w:rsid w:val="00AD1BA8"/>
    <w:rsid w:val="00AD7FD5"/>
    <w:rsid w:val="00AE04BC"/>
    <w:rsid w:val="00AE126B"/>
    <w:rsid w:val="00AE64EB"/>
    <w:rsid w:val="00AE6E0A"/>
    <w:rsid w:val="00AE6E18"/>
    <w:rsid w:val="00B02A29"/>
    <w:rsid w:val="00B03522"/>
    <w:rsid w:val="00B04AD6"/>
    <w:rsid w:val="00B10640"/>
    <w:rsid w:val="00B14CAA"/>
    <w:rsid w:val="00B22B3B"/>
    <w:rsid w:val="00B22EEE"/>
    <w:rsid w:val="00B23CD1"/>
    <w:rsid w:val="00B24FDC"/>
    <w:rsid w:val="00B25623"/>
    <w:rsid w:val="00B257CE"/>
    <w:rsid w:val="00B30710"/>
    <w:rsid w:val="00B30B52"/>
    <w:rsid w:val="00B30C2D"/>
    <w:rsid w:val="00B3145D"/>
    <w:rsid w:val="00B34293"/>
    <w:rsid w:val="00B4015E"/>
    <w:rsid w:val="00B45A6B"/>
    <w:rsid w:val="00B4746C"/>
    <w:rsid w:val="00B4790A"/>
    <w:rsid w:val="00B5150A"/>
    <w:rsid w:val="00B534DA"/>
    <w:rsid w:val="00B626AA"/>
    <w:rsid w:val="00B62B11"/>
    <w:rsid w:val="00B65354"/>
    <w:rsid w:val="00B71A0E"/>
    <w:rsid w:val="00B80EE6"/>
    <w:rsid w:val="00B81765"/>
    <w:rsid w:val="00B832F5"/>
    <w:rsid w:val="00B83746"/>
    <w:rsid w:val="00B86BDC"/>
    <w:rsid w:val="00B922B0"/>
    <w:rsid w:val="00B930F6"/>
    <w:rsid w:val="00B95753"/>
    <w:rsid w:val="00B96B68"/>
    <w:rsid w:val="00BA25EE"/>
    <w:rsid w:val="00BA2FAB"/>
    <w:rsid w:val="00BA53D7"/>
    <w:rsid w:val="00BB5E28"/>
    <w:rsid w:val="00BB690C"/>
    <w:rsid w:val="00BC35CF"/>
    <w:rsid w:val="00BD09EB"/>
    <w:rsid w:val="00BD0F5F"/>
    <w:rsid w:val="00BD15F3"/>
    <w:rsid w:val="00BD17B6"/>
    <w:rsid w:val="00BD7986"/>
    <w:rsid w:val="00BD79D3"/>
    <w:rsid w:val="00BE725D"/>
    <w:rsid w:val="00BF08D9"/>
    <w:rsid w:val="00BF3EEA"/>
    <w:rsid w:val="00BF5C4D"/>
    <w:rsid w:val="00C014B7"/>
    <w:rsid w:val="00C04F82"/>
    <w:rsid w:val="00C111C4"/>
    <w:rsid w:val="00C11D7A"/>
    <w:rsid w:val="00C15AC0"/>
    <w:rsid w:val="00C21A22"/>
    <w:rsid w:val="00C223EA"/>
    <w:rsid w:val="00C26030"/>
    <w:rsid w:val="00C35862"/>
    <w:rsid w:val="00C36E61"/>
    <w:rsid w:val="00C36F9F"/>
    <w:rsid w:val="00C37529"/>
    <w:rsid w:val="00C400BA"/>
    <w:rsid w:val="00C41091"/>
    <w:rsid w:val="00C440E5"/>
    <w:rsid w:val="00C46691"/>
    <w:rsid w:val="00C46E0B"/>
    <w:rsid w:val="00C50DE2"/>
    <w:rsid w:val="00C519FD"/>
    <w:rsid w:val="00C63056"/>
    <w:rsid w:val="00C661D1"/>
    <w:rsid w:val="00C70BE6"/>
    <w:rsid w:val="00C731B9"/>
    <w:rsid w:val="00C75475"/>
    <w:rsid w:val="00C775BA"/>
    <w:rsid w:val="00C8184B"/>
    <w:rsid w:val="00C85331"/>
    <w:rsid w:val="00C85A50"/>
    <w:rsid w:val="00C92264"/>
    <w:rsid w:val="00C924AF"/>
    <w:rsid w:val="00C93009"/>
    <w:rsid w:val="00C94D46"/>
    <w:rsid w:val="00C951C8"/>
    <w:rsid w:val="00CA1FA5"/>
    <w:rsid w:val="00CA37E9"/>
    <w:rsid w:val="00CA443A"/>
    <w:rsid w:val="00CA53FE"/>
    <w:rsid w:val="00CA5A82"/>
    <w:rsid w:val="00CB2461"/>
    <w:rsid w:val="00CB37FD"/>
    <w:rsid w:val="00CB6E03"/>
    <w:rsid w:val="00CB731F"/>
    <w:rsid w:val="00CB7B1C"/>
    <w:rsid w:val="00CC31DE"/>
    <w:rsid w:val="00CC437D"/>
    <w:rsid w:val="00CC4D65"/>
    <w:rsid w:val="00CC61E7"/>
    <w:rsid w:val="00CD02BC"/>
    <w:rsid w:val="00CD1984"/>
    <w:rsid w:val="00CD25AD"/>
    <w:rsid w:val="00CD3FFC"/>
    <w:rsid w:val="00CF1216"/>
    <w:rsid w:val="00CF1468"/>
    <w:rsid w:val="00CF565C"/>
    <w:rsid w:val="00D016A3"/>
    <w:rsid w:val="00D10485"/>
    <w:rsid w:val="00D2008F"/>
    <w:rsid w:val="00D26049"/>
    <w:rsid w:val="00D33DC0"/>
    <w:rsid w:val="00D40D2C"/>
    <w:rsid w:val="00D45A13"/>
    <w:rsid w:val="00D504F3"/>
    <w:rsid w:val="00D506CC"/>
    <w:rsid w:val="00D512E3"/>
    <w:rsid w:val="00D5301C"/>
    <w:rsid w:val="00D54E80"/>
    <w:rsid w:val="00D5726A"/>
    <w:rsid w:val="00D572FB"/>
    <w:rsid w:val="00D602C9"/>
    <w:rsid w:val="00D60F96"/>
    <w:rsid w:val="00D61108"/>
    <w:rsid w:val="00D62AEA"/>
    <w:rsid w:val="00D6586E"/>
    <w:rsid w:val="00D75B6D"/>
    <w:rsid w:val="00D75DFE"/>
    <w:rsid w:val="00D76BCE"/>
    <w:rsid w:val="00D770DA"/>
    <w:rsid w:val="00D77988"/>
    <w:rsid w:val="00D828C5"/>
    <w:rsid w:val="00D838F1"/>
    <w:rsid w:val="00D8493B"/>
    <w:rsid w:val="00D92B5D"/>
    <w:rsid w:val="00D92BB1"/>
    <w:rsid w:val="00DA0681"/>
    <w:rsid w:val="00DA26A9"/>
    <w:rsid w:val="00DB01FF"/>
    <w:rsid w:val="00DB07E6"/>
    <w:rsid w:val="00DB771C"/>
    <w:rsid w:val="00DC7778"/>
    <w:rsid w:val="00DD054B"/>
    <w:rsid w:val="00DD178E"/>
    <w:rsid w:val="00DD42BB"/>
    <w:rsid w:val="00DE02B1"/>
    <w:rsid w:val="00DE4252"/>
    <w:rsid w:val="00DE4564"/>
    <w:rsid w:val="00DE4C56"/>
    <w:rsid w:val="00DE7391"/>
    <w:rsid w:val="00DF12F8"/>
    <w:rsid w:val="00DF18E7"/>
    <w:rsid w:val="00DF2DB5"/>
    <w:rsid w:val="00DF3343"/>
    <w:rsid w:val="00DF5C23"/>
    <w:rsid w:val="00DF6560"/>
    <w:rsid w:val="00E0253A"/>
    <w:rsid w:val="00E04CC0"/>
    <w:rsid w:val="00E136FF"/>
    <w:rsid w:val="00E16278"/>
    <w:rsid w:val="00E217CE"/>
    <w:rsid w:val="00E31AFA"/>
    <w:rsid w:val="00E32474"/>
    <w:rsid w:val="00E32528"/>
    <w:rsid w:val="00E35F26"/>
    <w:rsid w:val="00E36799"/>
    <w:rsid w:val="00E418F8"/>
    <w:rsid w:val="00E4307A"/>
    <w:rsid w:val="00E44C93"/>
    <w:rsid w:val="00E46AE2"/>
    <w:rsid w:val="00E53165"/>
    <w:rsid w:val="00E548B6"/>
    <w:rsid w:val="00E55AE8"/>
    <w:rsid w:val="00E61EF7"/>
    <w:rsid w:val="00E65445"/>
    <w:rsid w:val="00E663B4"/>
    <w:rsid w:val="00E80CEB"/>
    <w:rsid w:val="00E81238"/>
    <w:rsid w:val="00E85098"/>
    <w:rsid w:val="00E9131D"/>
    <w:rsid w:val="00E92419"/>
    <w:rsid w:val="00E9285A"/>
    <w:rsid w:val="00E92AAD"/>
    <w:rsid w:val="00EA27DA"/>
    <w:rsid w:val="00EA39CC"/>
    <w:rsid w:val="00EA5103"/>
    <w:rsid w:val="00EA5125"/>
    <w:rsid w:val="00EA6FB9"/>
    <w:rsid w:val="00EB1C66"/>
    <w:rsid w:val="00EB5E6A"/>
    <w:rsid w:val="00EC2AD7"/>
    <w:rsid w:val="00EC4380"/>
    <w:rsid w:val="00ED0901"/>
    <w:rsid w:val="00ED0A07"/>
    <w:rsid w:val="00ED1271"/>
    <w:rsid w:val="00ED2093"/>
    <w:rsid w:val="00ED4414"/>
    <w:rsid w:val="00ED7DE0"/>
    <w:rsid w:val="00EE7891"/>
    <w:rsid w:val="00EF01AE"/>
    <w:rsid w:val="00EF0325"/>
    <w:rsid w:val="00EF0927"/>
    <w:rsid w:val="00EF2047"/>
    <w:rsid w:val="00EF49FE"/>
    <w:rsid w:val="00EF5341"/>
    <w:rsid w:val="00EF589A"/>
    <w:rsid w:val="00F04908"/>
    <w:rsid w:val="00F04B8D"/>
    <w:rsid w:val="00F07C21"/>
    <w:rsid w:val="00F107E9"/>
    <w:rsid w:val="00F12EF6"/>
    <w:rsid w:val="00F21065"/>
    <w:rsid w:val="00F248CC"/>
    <w:rsid w:val="00F24CB4"/>
    <w:rsid w:val="00F25339"/>
    <w:rsid w:val="00F25E0A"/>
    <w:rsid w:val="00F43465"/>
    <w:rsid w:val="00F45475"/>
    <w:rsid w:val="00F45FB9"/>
    <w:rsid w:val="00F64E72"/>
    <w:rsid w:val="00F66FC1"/>
    <w:rsid w:val="00F70C7D"/>
    <w:rsid w:val="00F70DD3"/>
    <w:rsid w:val="00F73A72"/>
    <w:rsid w:val="00F73AC3"/>
    <w:rsid w:val="00F75802"/>
    <w:rsid w:val="00F75D23"/>
    <w:rsid w:val="00F77218"/>
    <w:rsid w:val="00F8752C"/>
    <w:rsid w:val="00F920C8"/>
    <w:rsid w:val="00F9272E"/>
    <w:rsid w:val="00F9630D"/>
    <w:rsid w:val="00F97743"/>
    <w:rsid w:val="00FA57F7"/>
    <w:rsid w:val="00FA6DAF"/>
    <w:rsid w:val="00FB19F7"/>
    <w:rsid w:val="00FB2DA7"/>
    <w:rsid w:val="00FB52A6"/>
    <w:rsid w:val="00FC6884"/>
    <w:rsid w:val="00FD2FE2"/>
    <w:rsid w:val="00FD7BEF"/>
    <w:rsid w:val="00FE0939"/>
    <w:rsid w:val="00FE4E74"/>
    <w:rsid w:val="00FE5957"/>
    <w:rsid w:val="00FE62F3"/>
    <w:rsid w:val="00FE6966"/>
    <w:rsid w:val="00FE7257"/>
    <w:rsid w:val="00FE7649"/>
    <w:rsid w:val="00FF1919"/>
    <w:rsid w:val="00FF2DA1"/>
    <w:rsid w:val="00FF71D2"/>
    <w:rsid w:val="00FF7536"/>
    <w:rsid w:val="08346486"/>
    <w:rsid w:val="0CC90014"/>
    <w:rsid w:val="1B2418A5"/>
    <w:rsid w:val="1FBFC074"/>
    <w:rsid w:val="36FB9E1F"/>
    <w:rsid w:val="3BFA3B96"/>
    <w:rsid w:val="3CEF3472"/>
    <w:rsid w:val="3EFF16E9"/>
    <w:rsid w:val="6975100E"/>
    <w:rsid w:val="77CF73AC"/>
    <w:rsid w:val="78FF011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semiHidden="0" w:unhideWhenUsed="0" w:qFormat="1"/>
    <w:lsdException w:name="footer" w:semiHidden="0" w:unhideWhenUsed="0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Default Paragraph Font" w:uiPriority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iPriority="22" w:unhideWhenUsed="0" w:qFormat="1"/>
    <w:lsdException w:name="Emphasis" w:semiHidden="0" w:unhideWhenUsed="0" w:qFormat="1"/>
    <w:lsdException w:name="HTML Top of Form" w:uiPriority="99"/>
    <w:lsdException w:name="HTML Bottom of Form" w:uiPriority="99"/>
    <w:lsdException w:name="Normal (Web)" w:uiPriority="99"/>
    <w:lsdException w:name="HTML Preformatted" w:semiHidden="0" w:unhideWhenUsed="0" w:qFormat="1"/>
    <w:lsdException w:name="Normal Table" w:uiPriority="99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Balloon Text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9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99" w:unhideWhenUsed="0"/>
    <w:lsdException w:name="Intense Quote" w:semiHidden="0" w:uiPriority="99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0FF9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qFormat/>
    <w:rsid w:val="005E0FF9"/>
    <w:rPr>
      <w:sz w:val="18"/>
      <w:szCs w:val="18"/>
    </w:rPr>
  </w:style>
  <w:style w:type="paragraph" w:styleId="a4">
    <w:name w:val="footer"/>
    <w:basedOn w:val="a"/>
    <w:link w:val="Char0"/>
    <w:qFormat/>
    <w:rsid w:val="005E0FF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qFormat/>
    <w:rsid w:val="005E0FF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HTML">
    <w:name w:val="HTML Preformatted"/>
    <w:basedOn w:val="a"/>
    <w:qFormat/>
    <w:rsid w:val="005E0FF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 w:hint="eastAsia"/>
      <w:kern w:val="0"/>
      <w:sz w:val="24"/>
    </w:rPr>
  </w:style>
  <w:style w:type="paragraph" w:customStyle="1" w:styleId="Style6">
    <w:name w:val="_Style 6"/>
    <w:basedOn w:val="a"/>
    <w:uiPriority w:val="34"/>
    <w:qFormat/>
    <w:rsid w:val="005E0FF9"/>
    <w:pPr>
      <w:ind w:firstLineChars="200" w:firstLine="420"/>
    </w:pPr>
    <w:rPr>
      <w:rFonts w:ascii="Calibri" w:hAnsi="Calibri"/>
      <w:szCs w:val="22"/>
    </w:rPr>
  </w:style>
  <w:style w:type="paragraph" w:customStyle="1" w:styleId="CharCharChar">
    <w:name w:val="Char Char Char"/>
    <w:basedOn w:val="a"/>
    <w:qFormat/>
    <w:rsid w:val="005E0FF9"/>
    <w:rPr>
      <w:szCs w:val="21"/>
    </w:rPr>
  </w:style>
  <w:style w:type="paragraph" w:customStyle="1" w:styleId="CharCharCharCharCharCharCharCharCharCharCharCharCharCharCharChar">
    <w:name w:val="Char Char Char Char Char Char Char Char Char Char Char Char Char Char Char Char"/>
    <w:basedOn w:val="a"/>
    <w:qFormat/>
    <w:rsid w:val="005E0FF9"/>
  </w:style>
  <w:style w:type="paragraph" w:customStyle="1" w:styleId="CharCharChar1">
    <w:name w:val="Char Char Char1"/>
    <w:basedOn w:val="a"/>
    <w:qFormat/>
    <w:rsid w:val="005E0FF9"/>
  </w:style>
  <w:style w:type="character" w:customStyle="1" w:styleId="Char0">
    <w:name w:val="页脚 Char"/>
    <w:link w:val="a4"/>
    <w:qFormat/>
    <w:rsid w:val="005E0FF9"/>
    <w:rPr>
      <w:kern w:val="2"/>
      <w:sz w:val="18"/>
      <w:szCs w:val="18"/>
    </w:rPr>
  </w:style>
  <w:style w:type="character" w:customStyle="1" w:styleId="Char1">
    <w:name w:val="页眉 Char"/>
    <w:link w:val="a5"/>
    <w:qFormat/>
    <w:rsid w:val="005E0FF9"/>
    <w:rPr>
      <w:kern w:val="2"/>
      <w:sz w:val="18"/>
      <w:szCs w:val="18"/>
    </w:rPr>
  </w:style>
  <w:style w:type="character" w:customStyle="1" w:styleId="Char">
    <w:name w:val="批注框文本 Char"/>
    <w:link w:val="a3"/>
    <w:qFormat/>
    <w:rsid w:val="005E0FF9"/>
    <w:rPr>
      <w:kern w:val="2"/>
      <w:sz w:val="18"/>
      <w:szCs w:val="18"/>
    </w:rPr>
  </w:style>
  <w:style w:type="paragraph" w:styleId="a6">
    <w:name w:val="List Paragraph"/>
    <w:basedOn w:val="a"/>
    <w:uiPriority w:val="34"/>
    <w:qFormat/>
    <w:rsid w:val="005E0FF9"/>
    <w:pPr>
      <w:ind w:firstLineChars="200" w:firstLine="420"/>
    </w:pPr>
    <w:rPr>
      <w:rFonts w:ascii="等线" w:eastAsia="等线" w:hAnsi="等线"/>
      <w:szCs w:val="22"/>
    </w:rPr>
  </w:style>
  <w:style w:type="character" w:styleId="a7">
    <w:name w:val="Strong"/>
    <w:basedOn w:val="a0"/>
    <w:uiPriority w:val="22"/>
    <w:qFormat/>
    <w:rsid w:val="00CF1468"/>
    <w:rPr>
      <w:b/>
      <w:bCs/>
    </w:rPr>
  </w:style>
  <w:style w:type="paragraph" w:styleId="a8">
    <w:name w:val="Normal (Web)"/>
    <w:basedOn w:val="a"/>
    <w:uiPriority w:val="99"/>
    <w:semiHidden/>
    <w:unhideWhenUsed/>
    <w:rsid w:val="005A57B6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2765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CAEACE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E492F98-6193-47E2-A1EC-858FD4B0A8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6</Pages>
  <Words>711</Words>
  <Characters>4056</Characters>
  <Application>Microsoft Office Word</Application>
  <DocSecurity>0</DocSecurity>
  <Lines>33</Lines>
  <Paragraphs>9</Paragraphs>
  <ScaleCrop>false</ScaleCrop>
  <Company>微软中国</Company>
  <LinksUpToDate>false</LinksUpToDate>
  <CharactersWithSpaces>4758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微软用户</dc:creator>
  <cp:lastModifiedBy>lenovo</cp:lastModifiedBy>
  <cp:revision>28</cp:revision>
  <cp:lastPrinted>2023-11-30T13:37:00Z</cp:lastPrinted>
  <dcterms:created xsi:type="dcterms:W3CDTF">2026-03-29T05:41:00Z</dcterms:created>
  <dcterms:modified xsi:type="dcterms:W3CDTF">2026-03-30T02:23:00Z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85BE8A87038140CE909BDA616D64B521_13</vt:lpwstr>
  </property>
</Properties>
</file>