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D7" w:rsidRDefault="00ED2BD7" w:rsidP="00ED2BD7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603967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 w:rsidR="007B0D60">
        <w:rPr>
          <w:rFonts w:ascii="宋体" w:hAnsi="宋体"/>
          <w:sz w:val="24"/>
          <w:szCs w:val="24"/>
        </w:rPr>
        <w:t xml:space="preserve">     </w:t>
      </w:r>
      <w:r w:rsidR="00E80F83">
        <w:rPr>
          <w:rFonts w:ascii="宋体" w:hAnsi="宋体"/>
          <w:sz w:val="24"/>
          <w:szCs w:val="24"/>
        </w:rPr>
        <w:t xml:space="preserve"> </w:t>
      </w:r>
      <w:r w:rsidR="007B0D60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中创物流</w:t>
      </w:r>
    </w:p>
    <w:p w:rsidR="007B0D60" w:rsidRDefault="007B0D60" w:rsidP="00ED2BD7">
      <w:pPr>
        <w:jc w:val="center"/>
        <w:rPr>
          <w:rFonts w:ascii="黑体" w:eastAsia="黑体" w:hAnsi="黑体"/>
          <w:sz w:val="36"/>
          <w:szCs w:val="36"/>
        </w:rPr>
      </w:pPr>
    </w:p>
    <w:p w:rsidR="00ED2BD7" w:rsidRPr="00D97462" w:rsidRDefault="00ED2BD7" w:rsidP="00ED2BD7">
      <w:pPr>
        <w:jc w:val="center"/>
        <w:rPr>
          <w:rFonts w:ascii="黑体" w:eastAsia="黑体" w:hAnsi="黑体"/>
          <w:sz w:val="32"/>
          <w:szCs w:val="32"/>
        </w:rPr>
      </w:pPr>
      <w:r w:rsidRPr="00D97462">
        <w:rPr>
          <w:rFonts w:ascii="黑体" w:eastAsia="黑体" w:hAnsi="黑体" w:hint="eastAsia"/>
          <w:sz w:val="32"/>
          <w:szCs w:val="32"/>
        </w:rPr>
        <w:t>中创物流股份有限公司</w:t>
      </w:r>
    </w:p>
    <w:p w:rsidR="00ED2BD7" w:rsidRPr="00D97462" w:rsidRDefault="00ED2BD7" w:rsidP="00ED2BD7">
      <w:pPr>
        <w:jc w:val="center"/>
        <w:rPr>
          <w:rFonts w:ascii="黑体" w:eastAsia="黑体" w:hAnsi="黑体"/>
          <w:sz w:val="32"/>
          <w:szCs w:val="32"/>
        </w:rPr>
      </w:pPr>
      <w:r w:rsidRPr="00D97462">
        <w:rPr>
          <w:rFonts w:ascii="黑体" w:eastAsia="黑体" w:hAnsi="黑体" w:hint="eastAsia"/>
          <w:sz w:val="32"/>
          <w:szCs w:val="32"/>
        </w:rPr>
        <w:t>投资者关系活动记录表</w:t>
      </w:r>
    </w:p>
    <w:p w:rsidR="00ED2BD7" w:rsidRDefault="00ED2BD7" w:rsidP="00ED2BD7">
      <w:pPr>
        <w:jc w:val="center"/>
        <w:rPr>
          <w:rFonts w:ascii="黑体" w:eastAsia="黑体" w:hAnsi="黑体"/>
          <w:sz w:val="24"/>
          <w:szCs w:val="24"/>
        </w:rPr>
      </w:pPr>
    </w:p>
    <w:p w:rsidR="00ED2BD7" w:rsidRPr="006B2C32" w:rsidRDefault="007B0D60" w:rsidP="007B0D60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</w:t>
      </w:r>
      <w:r w:rsidR="006B2C32">
        <w:rPr>
          <w:rFonts w:ascii="黑体" w:eastAsia="黑体" w:hAnsi="黑体"/>
          <w:sz w:val="24"/>
          <w:szCs w:val="24"/>
        </w:rPr>
        <w:t xml:space="preserve">  </w:t>
      </w:r>
      <w:r w:rsidR="006B2C32" w:rsidRPr="006B2C3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ED2BD7" w:rsidRPr="006B2C32">
        <w:rPr>
          <w:rFonts w:asciiTheme="minorEastAsia" w:eastAsiaTheme="minorEastAsia" w:hAnsiTheme="minorEastAsia" w:hint="eastAsia"/>
          <w:sz w:val="24"/>
          <w:szCs w:val="24"/>
        </w:rPr>
        <w:t>编号：</w:t>
      </w:r>
      <w:r w:rsidRPr="006B2C32">
        <w:rPr>
          <w:rFonts w:asciiTheme="minorEastAsia" w:eastAsiaTheme="minorEastAsia" w:hAnsiTheme="minorEastAsia" w:hint="eastAsia"/>
          <w:sz w:val="24"/>
          <w:szCs w:val="24"/>
        </w:rPr>
        <w:t>（2</w:t>
      </w:r>
      <w:r w:rsidRPr="006B2C32">
        <w:rPr>
          <w:rFonts w:asciiTheme="minorEastAsia" w:eastAsiaTheme="minorEastAsia" w:hAnsiTheme="minorEastAsia"/>
          <w:sz w:val="24"/>
          <w:szCs w:val="24"/>
        </w:rPr>
        <w:t>026-001</w:t>
      </w:r>
      <w:r w:rsidR="00ED2BD7" w:rsidRPr="006B2C3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41"/>
        <w:gridCol w:w="6755"/>
      </w:tblGrid>
      <w:tr w:rsidR="00ED2BD7" w:rsidTr="006B2C32">
        <w:trPr>
          <w:trHeight w:val="838"/>
        </w:trPr>
        <w:tc>
          <w:tcPr>
            <w:tcW w:w="929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4071" w:type="pct"/>
            <w:vAlign w:val="center"/>
          </w:tcPr>
          <w:p w:rsidR="00ED2BD7" w:rsidRDefault="00ED2BD7" w:rsidP="008A58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ED2BD7" w:rsidTr="006B2C32">
        <w:trPr>
          <w:trHeight w:val="838"/>
        </w:trPr>
        <w:tc>
          <w:tcPr>
            <w:tcW w:w="929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4071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中创物流2025年年度业绩说明会</w:t>
            </w:r>
          </w:p>
        </w:tc>
      </w:tr>
      <w:tr w:rsidR="00ED2BD7" w:rsidTr="006B2C32">
        <w:trPr>
          <w:trHeight w:val="799"/>
        </w:trPr>
        <w:tc>
          <w:tcPr>
            <w:tcW w:w="929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071" w:type="pct"/>
            <w:vAlign w:val="center"/>
          </w:tcPr>
          <w:p w:rsidR="00ED2BD7" w:rsidRDefault="004765D2" w:rsidP="008A587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2026年3月31日</w:t>
            </w:r>
            <w:r w:rsidR="00ED2BD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10:00-11:00</w:t>
            </w:r>
          </w:p>
        </w:tc>
      </w:tr>
      <w:tr w:rsidR="00ED2BD7" w:rsidTr="006B2C32">
        <w:trPr>
          <w:trHeight w:val="838"/>
        </w:trPr>
        <w:tc>
          <w:tcPr>
            <w:tcW w:w="929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4071" w:type="pct"/>
          </w:tcPr>
          <w:p w:rsidR="00ED2BD7" w:rsidRDefault="00ED2BD7" w:rsidP="007B0D60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7B0D60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 </w:t>
            </w:r>
            <w:hyperlink r:id="rId6" w:history="1">
              <w:r w:rsidRPr="007B0D60">
                <w:rPr>
                  <w:rStyle w:val="a6"/>
                  <w:rFonts w:ascii="宋体" w:hAnsi="宋体" w:hint="eastAsia"/>
                  <w:bCs/>
                  <w:color w:val="000000" w:themeColor="text1"/>
                  <w:sz w:val="24"/>
                  <w:u w:val="none"/>
                </w:rPr>
                <w:t>https://roadshow.sseinfo.com</w:t>
              </w:r>
            </w:hyperlink>
          </w:p>
          <w:p w:rsidR="00ED2BD7" w:rsidRDefault="00ED2BD7" w:rsidP="007B0D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D2BD7" w:rsidTr="006B2C32">
        <w:trPr>
          <w:trHeight w:val="838"/>
        </w:trPr>
        <w:tc>
          <w:tcPr>
            <w:tcW w:w="929" w:type="pct"/>
            <w:vAlign w:val="center"/>
          </w:tcPr>
          <w:p w:rsidR="00ED2BD7" w:rsidRDefault="00ED2BD7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4071" w:type="pct"/>
            <w:vAlign w:val="center"/>
          </w:tcPr>
          <w:p w:rsidR="007B0D60" w:rsidRDefault="007B0D60" w:rsidP="008A587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董事长：李松青</w:t>
            </w:r>
            <w:r w:rsidR="009610DC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  <w:p w:rsidR="00ED2BD7" w:rsidRDefault="00ED2BD7" w:rsidP="008A587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独立董事：孙军</w:t>
            </w:r>
            <w:r w:rsidR="009610DC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  <w:p w:rsidR="007B0D60" w:rsidRPr="007B0D60" w:rsidRDefault="007B0D60" w:rsidP="008A5872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董事会秘书兼财务总监：楚旭日</w:t>
            </w:r>
            <w:r w:rsidR="009610DC">
              <w:rPr>
                <w:rFonts w:ascii="宋体" w:hAnsi="宋体" w:cs="宋体" w:hint="eastAsia"/>
                <w:sz w:val="24"/>
                <w:szCs w:val="24"/>
              </w:rPr>
              <w:t>先生</w:t>
            </w:r>
            <w:bookmarkStart w:id="0" w:name="_GoBack"/>
            <w:bookmarkEnd w:id="0"/>
          </w:p>
        </w:tc>
      </w:tr>
      <w:tr w:rsidR="00ED2BD7" w:rsidTr="006B2C32">
        <w:trPr>
          <w:trHeight w:val="557"/>
        </w:trPr>
        <w:tc>
          <w:tcPr>
            <w:tcW w:w="929" w:type="pct"/>
            <w:vAlign w:val="center"/>
          </w:tcPr>
          <w:p w:rsidR="00ED2BD7" w:rsidRDefault="007B0D60" w:rsidP="008A58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主要问题及答复</w:t>
            </w:r>
          </w:p>
        </w:tc>
        <w:tc>
          <w:tcPr>
            <w:tcW w:w="4071" w:type="pct"/>
          </w:tcPr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一、公司25年业绩</w:t>
            </w:r>
            <w:proofErr w:type="gramStart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增长跟</w:t>
            </w:r>
            <w:proofErr w:type="gramEnd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25年初的预算有差距，能说说原因么？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答：2025年未能完成年初确定的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增长目标，主要存在以下几个方面原因：1、人民币升值和印尼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盾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 xml:space="preserve">贬值两方面造成的利润损失；2、冷链板块亏损额比年初预算增大；3、坏账的冲减带来的利润损失；4、印尼国家煤炭出口政策变动带来的出口下降而导致的过驳费率下降，影响了合资公司的利润。以上四个原因影响了公司经营的税前利润4000多万。 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二、公司2025年营业收入同比下降25.24%，但</w:t>
            </w:r>
            <w:proofErr w:type="gramStart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归母净利润</w:t>
            </w:r>
            <w:proofErr w:type="gramEnd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却同比增长3.22%。在营收大幅下滑的背景下，公司通过何种方式实现了利润的正增长？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答：营收下降比较大的核心原因是海运运价大幅下降，同时由于公司业务特点，运力采购成本也同比大幅下降。公司的主营</w:t>
            </w:r>
            <w:r w:rsidRPr="006B2C32">
              <w:rPr>
                <w:rFonts w:ascii="宋体" w:hAnsi="宋体" w:hint="eastAsia"/>
                <w:sz w:val="24"/>
                <w:szCs w:val="24"/>
              </w:rPr>
              <w:lastRenderedPageBreak/>
              <w:t>板块货运、场站、工程均创造了最好的利润水平，同时，公司的管理费用得到了很好的控制，下降了4.5%。本来公司的归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母利润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可以更好，但由于董事会报告中所表述的四个原因致使公司的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没有达到年初的预期。在此我们深表遗憾。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三、这种“降收增利”的趋势在未来是否具有可持续性？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答：这个问题应该从几方面看，从我们行业的特点看，营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收主要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受两方面影响，一是海运运价的波动，二是业务量的增长。我们不能把握运价的高低，但我们可以做好两件核心的事情，一是增加业务量来提升收入；二是把握运营成本的控制，包括运力采购成本的控制和内部管理成本的控制。通过上述两点来提升公司的利润率和盈利总量，实现健康、可持续发展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四、请问美以伊战争是否会对公司在沙特的发展带来很大影响？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眼前看，影响肯定是有的。如果伊朗抵抗力量坚持住并促成停战，中东格局将迎来重大改变，我国的影响力会有新的提升。中东在战后重建、发电、输变电、风电、光电、储电、石化等领域投资规模会很大，在上述领域对中国装备、设备需求量也会大幅增加，我们在这些领域的物流运输方面具备比较丰富的经验，并且公司在沙特</w:t>
            </w:r>
            <w:r w:rsidRPr="006B2C32">
              <w:rPr>
                <w:rFonts w:ascii="宋体" w:hAnsi="宋体"/>
                <w:sz w:val="24"/>
                <w:szCs w:val="24"/>
              </w:rPr>
              <w:t>C</w:t>
            </w:r>
            <w:r w:rsidRPr="006B2C32">
              <w:rPr>
                <w:rFonts w:ascii="宋体" w:hAnsi="宋体" w:hint="eastAsia"/>
                <w:sz w:val="24"/>
                <w:szCs w:val="24"/>
              </w:rPr>
              <w:t>端的运输能力也提供了坚实的基础。只要停战，仍然会有很大的商业机会。我们将持续关注战争进展情况并推进在沙特及中东地区的发展。</w:t>
            </w:r>
            <w:r w:rsidRPr="006B2C32">
              <w:rPr>
                <w:rFonts w:ascii="宋体" w:hAnsi="宋体" w:cs="宋体" w:hint="eastAsia"/>
                <w:sz w:val="24"/>
                <w:szCs w:val="24"/>
              </w:rPr>
              <w:t>ᯅᯅ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五、面对当下的环境，公司2026年的发展思路是怎样的？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公司整体的发展思路是：坚持“一体两翼、两个务必（务必做好集装箱等传统业务，务必做好工程物流及资源转运物流等新兴业务）”的指导思想不动摇，重点做好如下四方面的工作：既要开拓市场，增加收入；也要控制成本，提升效益；还要管控风险，健康发展；关键要调动一切积极因素共同努力建设好中创物流。用公司健康发展的确定性应对外部复杂环境的不确定性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六、您对2026年公司所处行业情况有怎样的判断？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2026年的行业形势总体上讲，在去年关税战仍未明朗的情况下，新的波斯湾战争突然爆发，对全球经济尤其国际航运物流带来了新的不利影响。战争持续多久，影响多大，现在还难以预测。战争对世界经济、国际航运的负面影响是一定存在的。但也要看到，近年来我国外贸出口通过主动调整区域结构与货物类别结构，展现了较强的韧性与竞争力。即使波斯湾中东地区出口货量影响较大，但从公司三月份业务量看，东南亚、中南美、欧洲、非洲、中亚地区的出口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量较好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地补充了中东地区的货量下降，整体影响不大。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七、公司的每</w:t>
            </w:r>
            <w:proofErr w:type="gramStart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股分</w:t>
            </w:r>
            <w:proofErr w:type="gramEnd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红又有新高，公司的资金情况怎么样，能支持么?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自上市以来，公司始终坚持持续、稳定的分红政策，分红率保持比较高的水平，并未影响公司发展。董事会每年的分红方案都是基于审慎的平衡公司货币资金、有息负债和未来发展需求后做出的决定。之所以能够高分红，主要得益于公司近几年特别是25年经营现金流的净流入大幅提升，使公司有良好的货币资金存储及极低的银行借款。截止今天，公司合并口径货币资金余额约为6.5亿元；长期和短期有息负债余额1000万元左右，去年同期为3.69亿元，同比大幅下降。请投资者放心，分红不会影响公司下一步的发展需求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八、1.</w:t>
            </w:r>
            <w:proofErr w:type="gramStart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海创智合核心</w:t>
            </w:r>
            <w:proofErr w:type="gramEnd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运营团队组建进度如何？2.一季度合资公司是否开始实质性营收，对26年业绩有无明显提升？3.管理层对未来三年合资公司的利润贡献预期多少？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 xml:space="preserve">答：①关于合资公司核心运营团队及系统 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公司于3月正式与MEDLOG S.A.完成股权交割。公司引入MEDLOG S.A.是采用增资的形式。目前，合资公司的核心运营团队已经确定，业务系统使用的是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中创冷链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智能平台。该平台目前是国内最先进的智冷管理服务系统，得到对方股东MSC的</w:t>
            </w:r>
            <w:r w:rsidRPr="006B2C32">
              <w:rPr>
                <w:rFonts w:ascii="宋体" w:hAnsi="宋体" w:hint="eastAsia"/>
                <w:sz w:val="24"/>
                <w:szCs w:val="24"/>
              </w:rPr>
              <w:lastRenderedPageBreak/>
              <w:t>高度认可，也是我们与MEDLOG能够合作的重要原因。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 xml:space="preserve">②关于2026年一季度营收及盈利情况 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随着上海冷链公司分类监管资质的取得以及业务量的稳步提升，该公司已于2026年1月、2月实现盈利。随着上海智冷公司经营情况的持续改善，以及MEDLOG优势资源的逐步注入，我们相信冷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链服务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板块的局面将得到很大改善，良好的盈利能力将逐步展现出来。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 xml:space="preserve">③关于未来3年净利润贡献预期 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合资公司对未来整体利润计划是有的，但是具体的净利润贡献预期不方便在此透露。相关财务数据请以公司未来发布的定期报告为准。感谢大家对公司的关注与支持。</w:t>
            </w:r>
            <w:r w:rsidRPr="006B2C3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6B2C32">
              <w:rPr>
                <w:rFonts w:ascii="宋体" w:hAnsi="宋体" w:cs="宋体" w:hint="eastAsia"/>
                <w:sz w:val="24"/>
                <w:szCs w:val="24"/>
              </w:rPr>
              <w:t>ᯅ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九、公司冷</w:t>
            </w:r>
            <w:proofErr w:type="gramStart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链业务</w:t>
            </w:r>
            <w:proofErr w:type="gramEnd"/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在MEDLOG加入后是否会有所改善？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答：感谢您的关注。我可以明确的讲，公司海关分类监管资质的获得所带来业务量的较大增长，以及合资以后MSC的优质业务资源的注入，冷链板块的利润贡献将在今年及以后明显的表现出来。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十、关于油价上涨，是否会对公司的效益产生大幅影响?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答：谢谢您的关心。关于油价上升对公司效益的影响，我们近期在密切的关注并反复</w:t>
            </w:r>
            <w:proofErr w:type="gramStart"/>
            <w:r w:rsidRPr="006B2C32"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  <w:r w:rsidRPr="006B2C32">
              <w:rPr>
                <w:rFonts w:ascii="宋体" w:hAnsi="宋体" w:hint="eastAsia"/>
                <w:sz w:val="24"/>
                <w:szCs w:val="24"/>
              </w:rPr>
              <w:t>判，从公司的情况看主要有四个方面的油量消耗较大：一是海运公司，二是场站板块，三是印尼公司，四是工程海外大件运输（主要是风电）。目前上述板块正在与货主、合作伙伴密切协商找到合适的方式共同承担成本上升的压力。战争刚开始时我们分析可能有大负面、中负面、小负面三种影响，现在看，对我们的影响尚处在小负面状态，即负面影响会有，但不会很大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十一、公司目前的股本不是很高，未来是否考虑扩股？这样是不是有助于提升市值？</w:t>
            </w:r>
          </w:p>
          <w:p w:rsidR="006B2C32" w:rsidRPr="006B2C32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答：谢谢您的建议。考虑到公司的规模，目前的股本总量较为合适。公司目前根本的目标和任务是保持公司的健康和利润的</w:t>
            </w:r>
            <w:r w:rsidRPr="006B2C32">
              <w:rPr>
                <w:rFonts w:ascii="宋体" w:hAnsi="宋体" w:hint="eastAsia"/>
                <w:sz w:val="24"/>
                <w:szCs w:val="24"/>
              </w:rPr>
              <w:lastRenderedPageBreak/>
              <w:t>稳定可持续增长，暂无股本扩股的计划。</w:t>
            </w:r>
          </w:p>
          <w:p w:rsidR="006B2C32" w:rsidRPr="00FA5173" w:rsidRDefault="006B2C32" w:rsidP="006B2C32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FA5173">
              <w:rPr>
                <w:rFonts w:ascii="宋体" w:hAnsi="宋体" w:hint="eastAsia"/>
                <w:b/>
                <w:sz w:val="24"/>
                <w:szCs w:val="24"/>
              </w:rPr>
              <w:t>十二、公司未来是否会考虑通过并购加快发展步伐？</w:t>
            </w:r>
          </w:p>
          <w:p w:rsidR="00ED2BD7" w:rsidRDefault="006B2C32" w:rsidP="006B2C3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B2C32">
              <w:rPr>
                <w:rFonts w:ascii="宋体" w:hAnsi="宋体" w:hint="eastAsia"/>
                <w:sz w:val="24"/>
                <w:szCs w:val="24"/>
              </w:rPr>
              <w:t>答：谢谢关心。并购确实是公司快速发展的重要途径，考虑到行业的特点及并购的风险，公司对并购一直秉持积极而又慎重的态度，密切关注此事。如有合适的标的，公司会认真调研论证推进。</w:t>
            </w:r>
          </w:p>
        </w:tc>
      </w:tr>
    </w:tbl>
    <w:p w:rsidR="00ED2BD7" w:rsidRDefault="00ED2BD7" w:rsidP="00ED2BD7"/>
    <w:p w:rsidR="009A78C7" w:rsidRDefault="009A78C7">
      <w:pPr>
        <w:rPr>
          <w:rFonts w:hint="eastAsia"/>
        </w:rPr>
      </w:pPr>
    </w:p>
    <w:sectPr w:rsidR="009A78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88" w:rsidRDefault="00D40688" w:rsidP="00ED2BD7">
      <w:r>
        <w:separator/>
      </w:r>
    </w:p>
  </w:endnote>
  <w:endnote w:type="continuationSeparator" w:id="0">
    <w:p w:rsidR="00D40688" w:rsidRDefault="00D40688" w:rsidP="00ED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88" w:rsidRDefault="00D40688" w:rsidP="00ED2BD7">
      <w:r>
        <w:separator/>
      </w:r>
    </w:p>
  </w:footnote>
  <w:footnote w:type="continuationSeparator" w:id="0">
    <w:p w:rsidR="00D40688" w:rsidRDefault="00D40688" w:rsidP="00ED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F"/>
    <w:rsid w:val="0000611B"/>
    <w:rsid w:val="00020208"/>
    <w:rsid w:val="00024BD5"/>
    <w:rsid w:val="00050173"/>
    <w:rsid w:val="00060E1D"/>
    <w:rsid w:val="00061B36"/>
    <w:rsid w:val="00083EA0"/>
    <w:rsid w:val="0009394F"/>
    <w:rsid w:val="000A48F2"/>
    <w:rsid w:val="000A73E4"/>
    <w:rsid w:val="000B3E5D"/>
    <w:rsid w:val="000C3525"/>
    <w:rsid w:val="000F17A9"/>
    <w:rsid w:val="00112A5B"/>
    <w:rsid w:val="00151C7D"/>
    <w:rsid w:val="001678A9"/>
    <w:rsid w:val="00185936"/>
    <w:rsid w:val="001E640D"/>
    <w:rsid w:val="002026BE"/>
    <w:rsid w:val="00202BE7"/>
    <w:rsid w:val="00232F92"/>
    <w:rsid w:val="0023313A"/>
    <w:rsid w:val="0028662D"/>
    <w:rsid w:val="00286C8D"/>
    <w:rsid w:val="002A3ECB"/>
    <w:rsid w:val="002E02B8"/>
    <w:rsid w:val="002E22C5"/>
    <w:rsid w:val="0031098A"/>
    <w:rsid w:val="003150DA"/>
    <w:rsid w:val="00355908"/>
    <w:rsid w:val="003727A2"/>
    <w:rsid w:val="003A5E4C"/>
    <w:rsid w:val="003C1D4C"/>
    <w:rsid w:val="003F7C81"/>
    <w:rsid w:val="00401EDF"/>
    <w:rsid w:val="004173E4"/>
    <w:rsid w:val="004207DD"/>
    <w:rsid w:val="00462D88"/>
    <w:rsid w:val="004765D2"/>
    <w:rsid w:val="005029B9"/>
    <w:rsid w:val="005268AE"/>
    <w:rsid w:val="00544026"/>
    <w:rsid w:val="00551C79"/>
    <w:rsid w:val="00557C13"/>
    <w:rsid w:val="005833EA"/>
    <w:rsid w:val="005C182E"/>
    <w:rsid w:val="005D4E62"/>
    <w:rsid w:val="005E1E18"/>
    <w:rsid w:val="00613069"/>
    <w:rsid w:val="00653263"/>
    <w:rsid w:val="00677D9E"/>
    <w:rsid w:val="00693EAD"/>
    <w:rsid w:val="006B2C32"/>
    <w:rsid w:val="006D44B4"/>
    <w:rsid w:val="006E6452"/>
    <w:rsid w:val="006F59DB"/>
    <w:rsid w:val="00705169"/>
    <w:rsid w:val="00747715"/>
    <w:rsid w:val="00766040"/>
    <w:rsid w:val="00766B57"/>
    <w:rsid w:val="007702A4"/>
    <w:rsid w:val="007A5D9A"/>
    <w:rsid w:val="007A74EE"/>
    <w:rsid w:val="007B0D60"/>
    <w:rsid w:val="007E701F"/>
    <w:rsid w:val="007F6E23"/>
    <w:rsid w:val="00815366"/>
    <w:rsid w:val="008277A9"/>
    <w:rsid w:val="00851903"/>
    <w:rsid w:val="00876384"/>
    <w:rsid w:val="008768B5"/>
    <w:rsid w:val="00893CD3"/>
    <w:rsid w:val="008B3AF5"/>
    <w:rsid w:val="009171E3"/>
    <w:rsid w:val="00917369"/>
    <w:rsid w:val="009235F6"/>
    <w:rsid w:val="009256D0"/>
    <w:rsid w:val="00934401"/>
    <w:rsid w:val="009449FC"/>
    <w:rsid w:val="00946750"/>
    <w:rsid w:val="0094741F"/>
    <w:rsid w:val="00951504"/>
    <w:rsid w:val="009610DC"/>
    <w:rsid w:val="009744BA"/>
    <w:rsid w:val="00985E56"/>
    <w:rsid w:val="009A78C7"/>
    <w:rsid w:val="009B3810"/>
    <w:rsid w:val="009E4C3B"/>
    <w:rsid w:val="009F7BBD"/>
    <w:rsid w:val="00A40350"/>
    <w:rsid w:val="00A70FA0"/>
    <w:rsid w:val="00AE55E1"/>
    <w:rsid w:val="00AF42DC"/>
    <w:rsid w:val="00AF57FD"/>
    <w:rsid w:val="00B021E5"/>
    <w:rsid w:val="00B36179"/>
    <w:rsid w:val="00B44021"/>
    <w:rsid w:val="00B63D88"/>
    <w:rsid w:val="00B76734"/>
    <w:rsid w:val="00B91466"/>
    <w:rsid w:val="00BA56F7"/>
    <w:rsid w:val="00BD57B4"/>
    <w:rsid w:val="00BD624F"/>
    <w:rsid w:val="00BF4A11"/>
    <w:rsid w:val="00C15929"/>
    <w:rsid w:val="00C21DB0"/>
    <w:rsid w:val="00C43BA6"/>
    <w:rsid w:val="00C66B3D"/>
    <w:rsid w:val="00C673E0"/>
    <w:rsid w:val="00CA0DC8"/>
    <w:rsid w:val="00CB460D"/>
    <w:rsid w:val="00CF0025"/>
    <w:rsid w:val="00D02EF1"/>
    <w:rsid w:val="00D04635"/>
    <w:rsid w:val="00D3419E"/>
    <w:rsid w:val="00D40688"/>
    <w:rsid w:val="00D97462"/>
    <w:rsid w:val="00DB26B3"/>
    <w:rsid w:val="00DD733B"/>
    <w:rsid w:val="00DE27C4"/>
    <w:rsid w:val="00DE3E1E"/>
    <w:rsid w:val="00E1151F"/>
    <w:rsid w:val="00E373BF"/>
    <w:rsid w:val="00E41A30"/>
    <w:rsid w:val="00E80F83"/>
    <w:rsid w:val="00EB2F99"/>
    <w:rsid w:val="00EC1DE2"/>
    <w:rsid w:val="00EC65CC"/>
    <w:rsid w:val="00EC6D32"/>
    <w:rsid w:val="00ED2BD7"/>
    <w:rsid w:val="00EF1D67"/>
    <w:rsid w:val="00F237F2"/>
    <w:rsid w:val="00F62DA8"/>
    <w:rsid w:val="00F71655"/>
    <w:rsid w:val="00F73259"/>
    <w:rsid w:val="00FA1D13"/>
    <w:rsid w:val="00FA5173"/>
    <w:rsid w:val="00FB1112"/>
    <w:rsid w:val="00FB27CF"/>
    <w:rsid w:val="00FD70AB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AAA06D-2FBC-4540-9118-0FA66BB5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D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B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BD7"/>
    <w:rPr>
      <w:sz w:val="18"/>
      <w:szCs w:val="18"/>
    </w:rPr>
  </w:style>
  <w:style w:type="table" w:styleId="a5">
    <w:name w:val="Table Grid"/>
    <w:basedOn w:val="a1"/>
    <w:uiPriority w:val="59"/>
    <w:qFormat/>
    <w:rsid w:val="00ED2BD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qFormat/>
    <w:rsid w:val="00ED2BD7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ED2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xiaoming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34</TotalTime>
  <Pages>5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许小明</dc:creator>
  <cp:keywords/>
  <dc:description/>
  <cp:lastModifiedBy>许小明</cp:lastModifiedBy>
  <cp:revision>37</cp:revision>
  <dcterms:created xsi:type="dcterms:W3CDTF">2026-03-31T03:27:00Z</dcterms:created>
  <dcterms:modified xsi:type="dcterms:W3CDTF">2026-03-31T06:54:00Z</dcterms:modified>
</cp:coreProperties>
</file>