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333A">
      <w:pPr>
        <w:adjustRightInd w:val="0"/>
        <w:snapToGrid w:val="0"/>
        <w:spacing w:before="156" w:beforeLines="5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证券代码：</w:t>
      </w:r>
      <w:r>
        <w:rPr>
          <w:rFonts w:hint="eastAsia" w:ascii="Times New Roman" w:hAnsi="Times New Roman" w:cs="Times New Roman"/>
          <w:sz w:val="24"/>
        </w:rPr>
        <w:t>601026</w:t>
      </w:r>
      <w:r>
        <w:rPr>
          <w:rFonts w:ascii="Times New Roman" w:hAnsi="Times New Roman" w:cs="Times New Roman"/>
          <w:sz w:val="24"/>
        </w:rPr>
        <w:t xml:space="preserve">                                    证券简称：</w:t>
      </w:r>
      <w:r>
        <w:rPr>
          <w:rFonts w:hint="eastAsia" w:ascii="Times New Roman" w:hAnsi="Times New Roman" w:cs="Times New Roman"/>
          <w:sz w:val="24"/>
        </w:rPr>
        <w:t>道生天合</w:t>
      </w:r>
    </w:p>
    <w:p w14:paraId="4004198D">
      <w:pPr>
        <w:adjustRightInd w:val="0"/>
        <w:snapToGrid w:val="0"/>
        <w:spacing w:before="312" w:beforeLines="100" w:line="360" w:lineRule="auto"/>
        <w:jc w:val="center"/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iCs/>
          <w:color w:val="000000"/>
          <w:sz w:val="36"/>
          <w:szCs w:val="36"/>
        </w:rPr>
        <w:t>道生天合材料科技（上海）</w:t>
      </w:r>
      <w:r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  <w:t>股份有限公司</w:t>
      </w:r>
    </w:p>
    <w:p w14:paraId="78551C1F"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iCs/>
          <w:color w:val="000000"/>
          <w:sz w:val="36"/>
          <w:szCs w:val="36"/>
        </w:rPr>
        <w:t>投资者关系活动记录表</w:t>
      </w:r>
    </w:p>
    <w:p w14:paraId="7424D2A9">
      <w:pPr>
        <w:adjustRightInd w:val="0"/>
        <w:snapToGrid w:val="0"/>
        <w:spacing w:before="312" w:beforeLines="100"/>
        <w:rPr>
          <w:rFonts w:ascii="Times New Roman" w:hAnsi="Times New Roman" w:eastAsia="宋体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  <w:szCs w:val="24"/>
        </w:rPr>
        <w:t xml:space="preserve">                                                        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>6</w:t>
      </w:r>
      <w:r>
        <w:rPr>
          <w:rFonts w:ascii="Times New Roman" w:hAnsi="Times New Roman" w:eastAsia="宋体" w:cs="Times New Roman"/>
          <w:bCs/>
          <w:iCs/>
          <w:color w:val="000000"/>
          <w:sz w:val="24"/>
          <w:szCs w:val="24"/>
        </w:rPr>
        <w:t>-00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>3</w:t>
      </w:r>
    </w:p>
    <w:tbl>
      <w:tblPr>
        <w:tblStyle w:val="38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410"/>
        <w:gridCol w:w="1276"/>
        <w:gridCol w:w="2409"/>
        <w:gridCol w:w="1276"/>
      </w:tblGrid>
      <w:tr w14:paraId="13789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43B291E8">
            <w:pPr>
              <w:adjustRightInd w:val="0"/>
              <w:snapToGrid w:val="0"/>
              <w:rPr>
                <w:rFonts w:hint="eastAsia" w:ascii="宋体" w:hAnsi="宋体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371" w:type="dxa"/>
            <w:gridSpan w:val="4"/>
            <w:vAlign w:val="center"/>
          </w:tcPr>
          <w:p w14:paraId="34945C81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█特定对象调研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分析师会议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媒体采访</w:t>
            </w:r>
          </w:p>
          <w:p w14:paraId="3AAD97E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业绩说明会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新闻发布会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路演活动</w:t>
            </w:r>
          </w:p>
          <w:p w14:paraId="30AA61D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4D2E2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restart"/>
            <w:vAlign w:val="center"/>
          </w:tcPr>
          <w:p w14:paraId="14C2499E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参与人员</w:t>
            </w:r>
          </w:p>
        </w:tc>
        <w:tc>
          <w:tcPr>
            <w:tcW w:w="3686" w:type="dxa"/>
            <w:gridSpan w:val="2"/>
            <w:vAlign w:val="center"/>
          </w:tcPr>
          <w:p w14:paraId="1140B21C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685" w:type="dxa"/>
            <w:gridSpan w:val="2"/>
            <w:vAlign w:val="center"/>
          </w:tcPr>
          <w:p w14:paraId="11AA4BE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 xml:space="preserve">单 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bookmarkEnd w:id="0"/>
      <w:tr w14:paraId="1C1EA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7E01812D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8EA8D9C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华源证券</w:t>
            </w:r>
          </w:p>
        </w:tc>
        <w:tc>
          <w:tcPr>
            <w:tcW w:w="3685" w:type="dxa"/>
            <w:gridSpan w:val="2"/>
            <w:vAlign w:val="center"/>
          </w:tcPr>
          <w:p w14:paraId="5438A4F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弢盛资管</w:t>
            </w:r>
          </w:p>
        </w:tc>
      </w:tr>
      <w:tr w14:paraId="7F5F0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01D853D6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1A63553">
            <w:pPr>
              <w:widowControl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财通证券资管</w:t>
            </w:r>
          </w:p>
        </w:tc>
        <w:tc>
          <w:tcPr>
            <w:tcW w:w="3685" w:type="dxa"/>
            <w:gridSpan w:val="2"/>
            <w:vAlign w:val="center"/>
          </w:tcPr>
          <w:p w14:paraId="6F5A89A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磐厚动量资管</w:t>
            </w:r>
          </w:p>
        </w:tc>
      </w:tr>
      <w:tr w14:paraId="512D7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639B557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2CE8A9C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创金合信</w:t>
            </w:r>
          </w:p>
        </w:tc>
        <w:tc>
          <w:tcPr>
            <w:tcW w:w="3685" w:type="dxa"/>
            <w:gridSpan w:val="2"/>
            <w:vAlign w:val="center"/>
          </w:tcPr>
          <w:p w14:paraId="077FE980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国晖投资</w:t>
            </w:r>
          </w:p>
        </w:tc>
      </w:tr>
      <w:tr w14:paraId="6DB3D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43B3ADB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728040A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湖南源乘</w:t>
            </w:r>
          </w:p>
        </w:tc>
        <w:tc>
          <w:tcPr>
            <w:tcW w:w="3685" w:type="dxa"/>
            <w:gridSpan w:val="2"/>
            <w:vAlign w:val="center"/>
          </w:tcPr>
          <w:p w14:paraId="29C4606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中欧基金</w:t>
            </w:r>
          </w:p>
        </w:tc>
      </w:tr>
      <w:tr w14:paraId="7455A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2DC22B65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4B906AD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嘉合基金</w:t>
            </w:r>
          </w:p>
        </w:tc>
        <w:tc>
          <w:tcPr>
            <w:tcW w:w="3685" w:type="dxa"/>
            <w:gridSpan w:val="2"/>
            <w:vAlign w:val="center"/>
          </w:tcPr>
          <w:p w14:paraId="7490DC0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同泰基金</w:t>
            </w:r>
          </w:p>
        </w:tc>
      </w:tr>
      <w:tr w14:paraId="5B071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089BFD29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B96D312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途灵资管</w:t>
            </w:r>
          </w:p>
        </w:tc>
        <w:tc>
          <w:tcPr>
            <w:tcW w:w="3685" w:type="dxa"/>
            <w:gridSpan w:val="2"/>
            <w:vAlign w:val="center"/>
          </w:tcPr>
          <w:p w14:paraId="01D81E1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盈峰资本</w:t>
            </w:r>
          </w:p>
        </w:tc>
      </w:tr>
      <w:tr w14:paraId="65EAD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37A15265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FDBCD1C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睿澜基金</w:t>
            </w:r>
          </w:p>
        </w:tc>
        <w:tc>
          <w:tcPr>
            <w:tcW w:w="3685" w:type="dxa"/>
            <w:gridSpan w:val="2"/>
            <w:vAlign w:val="center"/>
          </w:tcPr>
          <w:p w14:paraId="1F14396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摩根资管</w:t>
            </w:r>
          </w:p>
        </w:tc>
      </w:tr>
      <w:tr w14:paraId="53561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7938B67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0FFEBB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太平基金</w:t>
            </w:r>
          </w:p>
        </w:tc>
        <w:tc>
          <w:tcPr>
            <w:tcW w:w="3685" w:type="dxa"/>
            <w:gridSpan w:val="2"/>
            <w:vAlign w:val="center"/>
          </w:tcPr>
          <w:p w14:paraId="35CEA32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景顺长城</w:t>
            </w:r>
          </w:p>
        </w:tc>
      </w:tr>
      <w:tr w14:paraId="1E07C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76574846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22D26B4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磐耀资管</w:t>
            </w:r>
          </w:p>
        </w:tc>
        <w:tc>
          <w:tcPr>
            <w:tcW w:w="3685" w:type="dxa"/>
            <w:gridSpan w:val="2"/>
            <w:vAlign w:val="center"/>
          </w:tcPr>
          <w:p w14:paraId="3FF1103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鹏华基金</w:t>
            </w:r>
          </w:p>
        </w:tc>
      </w:tr>
      <w:tr w14:paraId="206B4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36307CB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66640C0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东吴证券</w:t>
            </w:r>
          </w:p>
        </w:tc>
        <w:tc>
          <w:tcPr>
            <w:tcW w:w="3685" w:type="dxa"/>
            <w:gridSpan w:val="2"/>
            <w:vAlign w:val="center"/>
          </w:tcPr>
          <w:p w14:paraId="05E0E985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财通证券资管</w:t>
            </w:r>
          </w:p>
        </w:tc>
      </w:tr>
      <w:tr w14:paraId="5DC79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6A4ACF2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71FF58F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前海开源</w:t>
            </w:r>
          </w:p>
        </w:tc>
        <w:tc>
          <w:tcPr>
            <w:tcW w:w="3685" w:type="dxa"/>
            <w:gridSpan w:val="2"/>
            <w:vAlign w:val="center"/>
          </w:tcPr>
          <w:p w14:paraId="2677D232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敦成基金</w:t>
            </w:r>
          </w:p>
        </w:tc>
      </w:tr>
      <w:tr w14:paraId="5FCF1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1BC70142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8E1BEFB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华富基金</w:t>
            </w:r>
          </w:p>
        </w:tc>
        <w:tc>
          <w:tcPr>
            <w:tcW w:w="3685" w:type="dxa"/>
            <w:gridSpan w:val="2"/>
            <w:vAlign w:val="center"/>
          </w:tcPr>
          <w:p w14:paraId="20A7C8CD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中邮理财</w:t>
            </w:r>
          </w:p>
        </w:tc>
      </w:tr>
      <w:tr w14:paraId="6A10D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34D36B98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609EF7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康橙投资</w:t>
            </w:r>
          </w:p>
        </w:tc>
        <w:tc>
          <w:tcPr>
            <w:tcW w:w="3685" w:type="dxa"/>
            <w:gridSpan w:val="2"/>
            <w:vAlign w:val="center"/>
          </w:tcPr>
          <w:p w14:paraId="62978687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爱建证券</w:t>
            </w:r>
          </w:p>
        </w:tc>
      </w:tr>
      <w:tr w14:paraId="32105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2A749312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F3BFD11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工商银行</w:t>
            </w:r>
          </w:p>
        </w:tc>
        <w:tc>
          <w:tcPr>
            <w:tcW w:w="3685" w:type="dxa"/>
            <w:gridSpan w:val="2"/>
            <w:vAlign w:val="center"/>
          </w:tcPr>
          <w:p w14:paraId="7ED0F9E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浙商银行</w:t>
            </w:r>
          </w:p>
        </w:tc>
      </w:tr>
      <w:tr w14:paraId="7F3D7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3FB5703D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F05861F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尚诚资管</w:t>
            </w:r>
          </w:p>
        </w:tc>
        <w:tc>
          <w:tcPr>
            <w:tcW w:w="3685" w:type="dxa"/>
            <w:gridSpan w:val="2"/>
            <w:vAlign w:val="center"/>
          </w:tcPr>
          <w:p w14:paraId="10CF640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14:paraId="7A386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5E0BD454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371" w:type="dxa"/>
            <w:gridSpan w:val="4"/>
            <w:vAlign w:val="center"/>
          </w:tcPr>
          <w:p w14:paraId="06DD7E0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14:paraId="6CE33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60FC7338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7371" w:type="dxa"/>
            <w:gridSpan w:val="4"/>
            <w:vAlign w:val="center"/>
          </w:tcPr>
          <w:p w14:paraId="4FDD03A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网络会议</w:t>
            </w:r>
          </w:p>
        </w:tc>
      </w:tr>
      <w:tr w14:paraId="63927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restart"/>
            <w:vAlign w:val="center"/>
          </w:tcPr>
          <w:p w14:paraId="62C20BF6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接待人员</w:t>
            </w:r>
          </w:p>
        </w:tc>
        <w:tc>
          <w:tcPr>
            <w:tcW w:w="2410" w:type="dxa"/>
            <w:vAlign w:val="center"/>
          </w:tcPr>
          <w:p w14:paraId="4951C9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276" w:type="dxa"/>
            <w:vAlign w:val="center"/>
          </w:tcPr>
          <w:p w14:paraId="61AD7F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9" w:type="dxa"/>
            <w:vAlign w:val="center"/>
          </w:tcPr>
          <w:p w14:paraId="580375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276" w:type="dxa"/>
            <w:vAlign w:val="center"/>
          </w:tcPr>
          <w:p w14:paraId="17B706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姓  名</w:t>
            </w:r>
          </w:p>
        </w:tc>
      </w:tr>
      <w:tr w14:paraId="52252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62C4003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AA0938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副董事长、副总经理</w:t>
            </w:r>
          </w:p>
        </w:tc>
        <w:tc>
          <w:tcPr>
            <w:tcW w:w="1276" w:type="dxa"/>
            <w:vAlign w:val="center"/>
          </w:tcPr>
          <w:p w14:paraId="0D484CC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姜磊</w:t>
            </w:r>
          </w:p>
        </w:tc>
        <w:tc>
          <w:tcPr>
            <w:tcW w:w="2409" w:type="dxa"/>
            <w:vAlign w:val="center"/>
          </w:tcPr>
          <w:p w14:paraId="29B5501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副总经理、董事会秘书</w:t>
            </w:r>
          </w:p>
        </w:tc>
        <w:tc>
          <w:tcPr>
            <w:tcW w:w="1276" w:type="dxa"/>
            <w:vAlign w:val="center"/>
          </w:tcPr>
          <w:p w14:paraId="2BCF7E1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张珈堃</w:t>
            </w:r>
          </w:p>
        </w:tc>
      </w:tr>
      <w:tr w14:paraId="747EA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2D0F143A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7371" w:type="dxa"/>
            <w:gridSpan w:val="4"/>
            <w:vAlign w:val="center"/>
          </w:tcPr>
          <w:p w14:paraId="20F1709B">
            <w:pPr>
              <w:widowControl/>
              <w:adjustRightInd w:val="0"/>
              <w:snapToGrid w:val="0"/>
              <w:spacing w:before="312" w:beforeLines="100"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一、投资者交流环节</w:t>
            </w:r>
          </w:p>
          <w:p w14:paraId="6979A62D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1、近期受宏观地缘局势影响，上游化工大宗原料价格波动较大。请问公司如何看待成本端的压力？在产品定价端是否有相应的传导机制？</w:t>
            </w:r>
          </w:p>
          <w:p w14:paraId="2C7CBEC5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受近期中东地缘事件等宏观因素影响，大宗化学品产业链确实出现了一波明显的上行行情 。作为下游应用端，我们风电树脂和结构胶的核心原材料（如环氧树脂、胺类固化剂等）成本确实出现了较大幅度的上涨。面对成本端的客观压力，公司顺应行业趋势正稳步推进产品价格的向下传导 。目前来看，与下游客户的沟通进展整体比较顺利。价格传导的阻力比市场预期的要小。风电产业链上下游具有高度的相互依存性，客户对于保障核心材料的供应链稳定具有高度共识，目前相关商务层面的价格传导工作正在有序落地中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。</w:t>
            </w:r>
          </w:p>
          <w:p w14:paraId="48AF5CA3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在行业整体面临成本上升的背景下，公司自身在供应链和成本控制方面具备哪些相对优势？</w:t>
            </w:r>
          </w:p>
          <w:p w14:paraId="65A72AF5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应对本轮原材料涨价周期，一方面，公司在原材料采购端具有前瞻性，通过合理的库存管理和锁价机制，在一定程度上平滑了短期内的原材料价格剧烈波动；另一方面，公司拥有完善的产业链向上延伸布局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衢州基地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基础环氧树脂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自供率保持在60%-70%的水平，目前公司已要求该工厂在保障安全的前提下全力满产。整体来看，公司具备较强的抗风险能力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韧性。</w:t>
            </w:r>
          </w:p>
          <w:p w14:paraId="22D0826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市场普遍认为下游风机和叶片厂比较强势，本次他们能够接受材料涨价的核心逻辑是什么</w:t>
            </w: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？</w:t>
            </w:r>
          </w:p>
          <w:p w14:paraId="404651AD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本次成本传导具备较高的可行性，主要基于以下行业共识：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1、预计2026年风电行业景气度很高，保障核心材料的稳定供应成为了下游客户的第一优先级，因此下游对合理涨价的接受度较高。2、大宗化学品的涨价幅度很大，风电材料公司无力吸收此轮的涨幅，必须合理向下游传导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。</w:t>
            </w:r>
          </w:p>
          <w:p w14:paraId="4ED89B21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公司如何看待未来风电材料行业的竞争格局及盈利趋势？</w:t>
            </w:r>
          </w:p>
          <w:p w14:paraId="52C2F383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随着行业的持续演进，我们观察到产业链上下游正在逐步回归理性的商业逻辑，行业生态正向着更加健康、可持续的方向发展。</w:t>
            </w:r>
          </w:p>
          <w:p w14:paraId="09F344B4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5、海外业务情况怎么样</w:t>
            </w: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？</w:t>
            </w:r>
          </w:p>
          <w:p w14:paraId="193A814A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国际化是公司坚定的长期发展战略。公司与核心海外客户多采用长约合作模式，且合约中配套了价格调整机制，能够有效应对外部成本波动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328E6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28" w:type="dxa"/>
            <w:vAlign w:val="center"/>
          </w:tcPr>
          <w:p w14:paraId="39CD6742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kern w:val="0"/>
                <w:sz w:val="24"/>
                <w:szCs w:val="24"/>
              </w:rPr>
              <w:t>附件清单</w:t>
            </w:r>
          </w:p>
        </w:tc>
        <w:tc>
          <w:tcPr>
            <w:tcW w:w="7371" w:type="dxa"/>
            <w:gridSpan w:val="4"/>
            <w:vAlign w:val="center"/>
          </w:tcPr>
          <w:p w14:paraId="17FF272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1D2FCC61">
      <w:pPr>
        <w:adjustRightInd w:val="0"/>
        <w:snapToGrid w:val="0"/>
        <w:rPr>
          <w:rFonts w:hint="eastAsia"/>
        </w:rPr>
      </w:pPr>
    </w:p>
    <w:p w14:paraId="6A25243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5D"/>
    <w:rsid w:val="00004206"/>
    <w:rsid w:val="00015A2E"/>
    <w:rsid w:val="000679BB"/>
    <w:rsid w:val="00081C73"/>
    <w:rsid w:val="000904DA"/>
    <w:rsid w:val="000C30B3"/>
    <w:rsid w:val="000D0A7A"/>
    <w:rsid w:val="000D5D9C"/>
    <w:rsid w:val="000D7CAD"/>
    <w:rsid w:val="000E1682"/>
    <w:rsid w:val="00113530"/>
    <w:rsid w:val="001214BD"/>
    <w:rsid w:val="0016044F"/>
    <w:rsid w:val="00164C53"/>
    <w:rsid w:val="0017752B"/>
    <w:rsid w:val="00181E77"/>
    <w:rsid w:val="00194649"/>
    <w:rsid w:val="00194F11"/>
    <w:rsid w:val="00196762"/>
    <w:rsid w:val="001A5995"/>
    <w:rsid w:val="001B626D"/>
    <w:rsid w:val="001B7760"/>
    <w:rsid w:val="001C506A"/>
    <w:rsid w:val="001D0FDF"/>
    <w:rsid w:val="001F488D"/>
    <w:rsid w:val="0020089A"/>
    <w:rsid w:val="0020213B"/>
    <w:rsid w:val="002032E6"/>
    <w:rsid w:val="0020511E"/>
    <w:rsid w:val="00211B86"/>
    <w:rsid w:val="00232638"/>
    <w:rsid w:val="00252A42"/>
    <w:rsid w:val="00253FA2"/>
    <w:rsid w:val="00260D06"/>
    <w:rsid w:val="00271AC2"/>
    <w:rsid w:val="00281D76"/>
    <w:rsid w:val="00292949"/>
    <w:rsid w:val="002A02A8"/>
    <w:rsid w:val="002B62EB"/>
    <w:rsid w:val="002C1707"/>
    <w:rsid w:val="002C38EE"/>
    <w:rsid w:val="002C4F29"/>
    <w:rsid w:val="002D2C3F"/>
    <w:rsid w:val="002D54F3"/>
    <w:rsid w:val="002D718D"/>
    <w:rsid w:val="002E5212"/>
    <w:rsid w:val="002F0F88"/>
    <w:rsid w:val="002F1777"/>
    <w:rsid w:val="003322E1"/>
    <w:rsid w:val="00346008"/>
    <w:rsid w:val="003655A3"/>
    <w:rsid w:val="0037274D"/>
    <w:rsid w:val="00377258"/>
    <w:rsid w:val="0038238A"/>
    <w:rsid w:val="00387D55"/>
    <w:rsid w:val="003910D5"/>
    <w:rsid w:val="0039486B"/>
    <w:rsid w:val="003956BF"/>
    <w:rsid w:val="00396115"/>
    <w:rsid w:val="003A0611"/>
    <w:rsid w:val="003A52D6"/>
    <w:rsid w:val="003C53AB"/>
    <w:rsid w:val="003E02A7"/>
    <w:rsid w:val="003E2E7A"/>
    <w:rsid w:val="003E35D9"/>
    <w:rsid w:val="003E7506"/>
    <w:rsid w:val="003F1A5D"/>
    <w:rsid w:val="003F6BF4"/>
    <w:rsid w:val="004159C9"/>
    <w:rsid w:val="00436E1A"/>
    <w:rsid w:val="00444A0D"/>
    <w:rsid w:val="00455181"/>
    <w:rsid w:val="004747B5"/>
    <w:rsid w:val="004C37A2"/>
    <w:rsid w:val="004C4412"/>
    <w:rsid w:val="004D7B61"/>
    <w:rsid w:val="004E0D04"/>
    <w:rsid w:val="004E4CC1"/>
    <w:rsid w:val="004F54F3"/>
    <w:rsid w:val="004F5570"/>
    <w:rsid w:val="00510985"/>
    <w:rsid w:val="00510B80"/>
    <w:rsid w:val="00532856"/>
    <w:rsid w:val="00544166"/>
    <w:rsid w:val="005912EB"/>
    <w:rsid w:val="005A0CAC"/>
    <w:rsid w:val="005B2BF7"/>
    <w:rsid w:val="005B71A0"/>
    <w:rsid w:val="005D7F00"/>
    <w:rsid w:val="005E3D70"/>
    <w:rsid w:val="005F7A1D"/>
    <w:rsid w:val="00612150"/>
    <w:rsid w:val="00612FA4"/>
    <w:rsid w:val="00636A25"/>
    <w:rsid w:val="00653559"/>
    <w:rsid w:val="00662EDE"/>
    <w:rsid w:val="0068083C"/>
    <w:rsid w:val="00681705"/>
    <w:rsid w:val="006D7187"/>
    <w:rsid w:val="006E05A0"/>
    <w:rsid w:val="006E1C3A"/>
    <w:rsid w:val="006E6A28"/>
    <w:rsid w:val="00714705"/>
    <w:rsid w:val="00716DC1"/>
    <w:rsid w:val="00717562"/>
    <w:rsid w:val="00735676"/>
    <w:rsid w:val="00737A6A"/>
    <w:rsid w:val="00740AF6"/>
    <w:rsid w:val="0074503E"/>
    <w:rsid w:val="0075547C"/>
    <w:rsid w:val="00771A27"/>
    <w:rsid w:val="00772253"/>
    <w:rsid w:val="007801BF"/>
    <w:rsid w:val="00782383"/>
    <w:rsid w:val="00790FB2"/>
    <w:rsid w:val="00794C0B"/>
    <w:rsid w:val="007C1B07"/>
    <w:rsid w:val="007F1BAC"/>
    <w:rsid w:val="00821B4B"/>
    <w:rsid w:val="008339F4"/>
    <w:rsid w:val="0083704D"/>
    <w:rsid w:val="0084240B"/>
    <w:rsid w:val="00865FF0"/>
    <w:rsid w:val="00875BBC"/>
    <w:rsid w:val="00895556"/>
    <w:rsid w:val="008969C0"/>
    <w:rsid w:val="008A5E28"/>
    <w:rsid w:val="008B5888"/>
    <w:rsid w:val="008D61A1"/>
    <w:rsid w:val="00901DC3"/>
    <w:rsid w:val="0091650E"/>
    <w:rsid w:val="00930601"/>
    <w:rsid w:val="00934968"/>
    <w:rsid w:val="00956FD7"/>
    <w:rsid w:val="00960D30"/>
    <w:rsid w:val="0097001E"/>
    <w:rsid w:val="009A0720"/>
    <w:rsid w:val="009A5579"/>
    <w:rsid w:val="009A61ED"/>
    <w:rsid w:val="009A7FE6"/>
    <w:rsid w:val="009E5FCB"/>
    <w:rsid w:val="009F3627"/>
    <w:rsid w:val="00A00107"/>
    <w:rsid w:val="00A008E2"/>
    <w:rsid w:val="00A00B53"/>
    <w:rsid w:val="00A152AA"/>
    <w:rsid w:val="00A16727"/>
    <w:rsid w:val="00A205ED"/>
    <w:rsid w:val="00A24FD7"/>
    <w:rsid w:val="00A2792A"/>
    <w:rsid w:val="00A27EAC"/>
    <w:rsid w:val="00A31558"/>
    <w:rsid w:val="00A35FDF"/>
    <w:rsid w:val="00A360CE"/>
    <w:rsid w:val="00A43830"/>
    <w:rsid w:val="00A56726"/>
    <w:rsid w:val="00A733B9"/>
    <w:rsid w:val="00AC3E4E"/>
    <w:rsid w:val="00AF1650"/>
    <w:rsid w:val="00AF6BB1"/>
    <w:rsid w:val="00B02886"/>
    <w:rsid w:val="00B228E6"/>
    <w:rsid w:val="00B7504D"/>
    <w:rsid w:val="00B7612D"/>
    <w:rsid w:val="00B76E32"/>
    <w:rsid w:val="00B77641"/>
    <w:rsid w:val="00B9355D"/>
    <w:rsid w:val="00B97FF4"/>
    <w:rsid w:val="00BA0EC8"/>
    <w:rsid w:val="00BA1E0F"/>
    <w:rsid w:val="00BA4C6F"/>
    <w:rsid w:val="00BC21E8"/>
    <w:rsid w:val="00BE21F7"/>
    <w:rsid w:val="00BE7865"/>
    <w:rsid w:val="00C027F8"/>
    <w:rsid w:val="00C10FB5"/>
    <w:rsid w:val="00C17081"/>
    <w:rsid w:val="00C179E1"/>
    <w:rsid w:val="00C25562"/>
    <w:rsid w:val="00C3602C"/>
    <w:rsid w:val="00C438B4"/>
    <w:rsid w:val="00C57185"/>
    <w:rsid w:val="00C631BF"/>
    <w:rsid w:val="00C64474"/>
    <w:rsid w:val="00C662CA"/>
    <w:rsid w:val="00C74BE3"/>
    <w:rsid w:val="00C80E0E"/>
    <w:rsid w:val="00C81DE3"/>
    <w:rsid w:val="00C82BEE"/>
    <w:rsid w:val="00C92778"/>
    <w:rsid w:val="00C9522E"/>
    <w:rsid w:val="00CA02C3"/>
    <w:rsid w:val="00CA7DBF"/>
    <w:rsid w:val="00CE7C6D"/>
    <w:rsid w:val="00CF2DC2"/>
    <w:rsid w:val="00D40CF9"/>
    <w:rsid w:val="00D43191"/>
    <w:rsid w:val="00D460F0"/>
    <w:rsid w:val="00D50CF8"/>
    <w:rsid w:val="00D5696F"/>
    <w:rsid w:val="00D60011"/>
    <w:rsid w:val="00D63173"/>
    <w:rsid w:val="00D84782"/>
    <w:rsid w:val="00D96CA6"/>
    <w:rsid w:val="00DB26D5"/>
    <w:rsid w:val="00DD7130"/>
    <w:rsid w:val="00DE0290"/>
    <w:rsid w:val="00E06D7A"/>
    <w:rsid w:val="00E23D0B"/>
    <w:rsid w:val="00E42157"/>
    <w:rsid w:val="00E56BAD"/>
    <w:rsid w:val="00E624EE"/>
    <w:rsid w:val="00E8042F"/>
    <w:rsid w:val="00E809E2"/>
    <w:rsid w:val="00EB4594"/>
    <w:rsid w:val="00EB595D"/>
    <w:rsid w:val="00EB69F9"/>
    <w:rsid w:val="00EE18E8"/>
    <w:rsid w:val="00F111FE"/>
    <w:rsid w:val="00F15A8D"/>
    <w:rsid w:val="00F419FD"/>
    <w:rsid w:val="00F532A1"/>
    <w:rsid w:val="00F56B80"/>
    <w:rsid w:val="00F73AA1"/>
    <w:rsid w:val="00F7408C"/>
    <w:rsid w:val="00F96B94"/>
    <w:rsid w:val="00F977A3"/>
    <w:rsid w:val="00FC1545"/>
    <w:rsid w:val="00FC1714"/>
    <w:rsid w:val="00FC4206"/>
    <w:rsid w:val="00FD5577"/>
    <w:rsid w:val="6937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table" w:customStyle="1" w:styleId="38">
    <w:name w:val="网格型1"/>
    <w:basedOn w:val="15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810E-60E4-4DB0-BE8B-7EFE7068F5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1137</Characters>
  <Lines>127</Lines>
  <Paragraphs>95</Paragraphs>
  <TotalTime>73</TotalTime>
  <ScaleCrop>false</ScaleCrop>
  <LinksUpToDate>false</LinksUpToDate>
  <CharactersWithSpaces>1317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2026-02-27T02:47:00Z</dcterms:created>
  <dc:creator>Jiakun Zhang</dc:creator>
  <cp:lastModifiedBy>Grace Wan</cp:lastModifiedBy>
  <dcterms:modified xsi:type="dcterms:W3CDTF">2026-03-31T08:24:49Z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eyJoZGlkIjoiYjgyOGQyODI3NTAyMDJjYmRjZmFkZWE1NDI5Y2Q4NDIiLCJ1c2VySWQiOiIyNjc2NTU2NjUifQ==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E10253DE5BD5427697C0BEDBFBB6E03D_13</vt:lpwstr>
  </property>
</Properties>
</file>