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1264">
      <w:pPr>
        <w:spacing w:before="156" w:beforeLines="50" w:after="156" w:afterLines="50" w:line="400" w:lineRule="exact"/>
        <w:rPr>
          <w:rFonts w:hint="eastAsia" w:ascii="宋体" w:hAnsi="宋体"/>
          <w:bCs/>
          <w:iCs/>
          <w:color w:val="000000"/>
          <w:sz w:val="24"/>
          <w:szCs w:val="22"/>
        </w:rPr>
      </w:pPr>
      <w:r>
        <w:rPr>
          <w:rFonts w:hint="eastAsia" w:ascii="宋体" w:hAnsi="宋体"/>
          <w:bCs/>
          <w:iCs/>
          <w:color w:val="000000"/>
          <w:sz w:val="24"/>
          <w:szCs w:val="22"/>
        </w:rPr>
        <w:t>证券代码：</w:t>
      </w:r>
      <w:r>
        <w:rPr>
          <w:rFonts w:ascii="Times New Roman" w:hAnsi="Times New Roman"/>
          <w:bCs/>
          <w:iCs/>
          <w:color w:val="000000"/>
          <w:sz w:val="24"/>
          <w:szCs w:val="22"/>
        </w:rPr>
        <w:t>688361</w:t>
      </w:r>
      <w:r>
        <w:rPr>
          <w:rFonts w:hint="default" w:ascii="Times New Roman" w:hAnsi="Times New Roman"/>
          <w:bCs/>
          <w:iCs/>
          <w:color w:val="000000"/>
          <w:sz w:val="24"/>
          <w:szCs w:val="22"/>
        </w:rPr>
        <w:t xml:space="preserve">  </w:t>
      </w:r>
      <w:r>
        <w:rPr>
          <w:rFonts w:hint="eastAsia" w:ascii="宋体" w:hAnsi="宋体"/>
          <w:bCs/>
          <w:iCs/>
          <w:color w:val="000000"/>
          <w:sz w:val="24"/>
          <w:szCs w:val="22"/>
        </w:rPr>
        <w:t xml:space="preserve">                       </w:t>
      </w:r>
      <w:r>
        <w:rPr>
          <w:rFonts w:ascii="宋体" w:hAnsi="宋体"/>
          <w:bCs/>
          <w:iCs/>
          <w:color w:val="000000"/>
          <w:sz w:val="24"/>
          <w:szCs w:val="22"/>
        </w:rPr>
        <w:t xml:space="preserve">        </w:t>
      </w:r>
      <w:r>
        <w:rPr>
          <w:rFonts w:hint="eastAsia" w:ascii="宋体" w:hAnsi="宋体"/>
          <w:bCs/>
          <w:iCs/>
          <w:color w:val="000000"/>
          <w:sz w:val="24"/>
          <w:szCs w:val="22"/>
        </w:rPr>
        <w:t>证券简称：中科飞测</w:t>
      </w:r>
    </w:p>
    <w:p w14:paraId="1F7D584D">
      <w:pPr>
        <w:spacing w:line="360" w:lineRule="auto"/>
        <w:ind w:firstLine="482" w:firstLineChars="200"/>
        <w:jc w:val="center"/>
        <w:rPr>
          <w:rFonts w:hint="eastAsia" w:ascii="宋体" w:hAnsi="宋体"/>
          <w:b/>
          <w:bCs/>
          <w:iCs/>
          <w:color w:val="000000"/>
          <w:sz w:val="24"/>
        </w:rPr>
      </w:pPr>
      <w:r>
        <w:rPr>
          <w:rFonts w:hint="eastAsia" w:ascii="宋体" w:hAnsi="宋体"/>
          <w:b/>
          <w:bCs/>
          <w:iCs/>
          <w:color w:val="000000"/>
          <w:sz w:val="24"/>
        </w:rPr>
        <w:t>深圳中科飞测科技股份有限公司投资者关系活动记录表</w:t>
      </w:r>
    </w:p>
    <w:p w14:paraId="26B150E0">
      <w:pPr>
        <w:spacing w:line="400" w:lineRule="exact"/>
        <w:ind w:firstLine="480" w:firstLineChars="200"/>
        <w:rPr>
          <w:bCs/>
          <w:iCs/>
          <w:color w:val="000000"/>
          <w:sz w:val="24"/>
        </w:rPr>
      </w:pPr>
      <w:r>
        <w:rPr>
          <w:rFonts w:hint="eastAsia" w:ascii="宋体" w:hAnsi="宋体"/>
          <w:bCs/>
          <w:iCs/>
          <w:color w:val="000000"/>
          <w:sz w:val="24"/>
        </w:rPr>
        <w:t xml:space="preserve">                                                   </w:t>
      </w:r>
      <w:r>
        <w:rPr>
          <w:bCs/>
          <w:iCs/>
          <w:color w:val="000000"/>
          <w:sz w:val="24"/>
        </w:rPr>
        <w:t>编号：202</w:t>
      </w:r>
      <w:r>
        <w:rPr>
          <w:rFonts w:hint="eastAsia"/>
          <w:bCs/>
          <w:iCs/>
          <w:color w:val="000000"/>
          <w:sz w:val="24"/>
        </w:rPr>
        <w:t>6</w:t>
      </w:r>
      <w:r>
        <w:rPr>
          <w:bCs/>
          <w:iCs/>
          <w:color w:val="000000"/>
          <w:sz w:val="24"/>
        </w:rPr>
        <w:t>-00</w:t>
      </w:r>
      <w:r>
        <w:rPr>
          <w:rFonts w:hint="eastAsia"/>
          <w:bCs/>
          <w:iCs/>
          <w:color w:val="000000"/>
          <w:sz w:val="24"/>
        </w:rPr>
        <w:t>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182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7B785F1D">
            <w:pPr>
              <w:rPr>
                <w:bCs/>
                <w:iCs/>
                <w:color w:val="000000"/>
                <w:szCs w:val="21"/>
              </w:rPr>
            </w:pPr>
            <w:r>
              <w:rPr>
                <w:rFonts w:hint="eastAsia"/>
                <w:bCs/>
                <w:iCs/>
                <w:color w:val="000000"/>
                <w:szCs w:val="21"/>
              </w:rPr>
              <w:t>投资者关系活动类别</w:t>
            </w:r>
          </w:p>
        </w:tc>
        <w:tc>
          <w:tcPr>
            <w:tcW w:w="6614" w:type="dxa"/>
            <w:tcBorders>
              <w:top w:val="single" w:color="auto" w:sz="4" w:space="0"/>
              <w:left w:val="single" w:color="auto" w:sz="4" w:space="0"/>
              <w:bottom w:val="single" w:color="auto" w:sz="4" w:space="0"/>
              <w:right w:val="single" w:color="auto" w:sz="4" w:space="0"/>
            </w:tcBorders>
          </w:tcPr>
          <w:p w14:paraId="53E5CF26">
            <w:pPr>
              <w:spacing w:line="480" w:lineRule="atLeast"/>
              <w:rPr>
                <w:bCs/>
                <w:iCs/>
                <w:color w:val="000000"/>
                <w:szCs w:val="21"/>
              </w:rPr>
            </w:pPr>
            <w:r>
              <w:rPr>
                <w:rFonts w:hint="eastAsia"/>
                <w:bCs/>
                <w:iCs/>
                <w:color w:val="000000"/>
                <w:szCs w:val="21"/>
              </w:rPr>
              <w:t>☑</w:t>
            </w:r>
            <w:r>
              <w:rPr>
                <w:rFonts w:hint="eastAsia"/>
                <w:szCs w:val="21"/>
              </w:rPr>
              <w:t xml:space="preserve">特定对象调研        </w:t>
            </w:r>
            <w:r>
              <w:rPr>
                <w:rFonts w:hint="eastAsia"/>
                <w:bCs/>
                <w:iCs/>
                <w:color w:val="000000"/>
                <w:szCs w:val="21"/>
              </w:rPr>
              <w:t>□</w:t>
            </w:r>
            <w:r>
              <w:rPr>
                <w:rFonts w:hint="eastAsia"/>
                <w:szCs w:val="21"/>
              </w:rPr>
              <w:t>分析师会议</w:t>
            </w:r>
          </w:p>
          <w:p w14:paraId="3248C923">
            <w:pPr>
              <w:spacing w:line="480" w:lineRule="atLeast"/>
              <w:rPr>
                <w:bCs/>
                <w:iCs/>
                <w:color w:val="000000"/>
                <w:szCs w:val="21"/>
              </w:rPr>
            </w:pPr>
            <w:r>
              <w:rPr>
                <w:rFonts w:hint="eastAsia"/>
                <w:bCs/>
                <w:iCs/>
                <w:color w:val="000000"/>
                <w:szCs w:val="21"/>
              </w:rPr>
              <w:t>□</w:t>
            </w:r>
            <w:r>
              <w:rPr>
                <w:rFonts w:hint="eastAsia"/>
                <w:szCs w:val="21"/>
              </w:rPr>
              <w:t xml:space="preserve">媒体采访            </w:t>
            </w:r>
            <w:r>
              <w:rPr>
                <w:rFonts w:hint="eastAsia"/>
                <w:bCs/>
                <w:iCs/>
                <w:color w:val="000000"/>
                <w:szCs w:val="21"/>
              </w:rPr>
              <w:t>□</w:t>
            </w:r>
            <w:r>
              <w:rPr>
                <w:rFonts w:hint="eastAsia"/>
                <w:szCs w:val="21"/>
              </w:rPr>
              <w:t>业绩说明会</w:t>
            </w:r>
          </w:p>
          <w:p w14:paraId="2D58FF82">
            <w:pPr>
              <w:spacing w:line="480" w:lineRule="atLeast"/>
              <w:rPr>
                <w:bCs/>
                <w:iCs/>
                <w:color w:val="000000"/>
                <w:szCs w:val="21"/>
              </w:rPr>
            </w:pPr>
            <w:r>
              <w:rPr>
                <w:rFonts w:hint="eastAsia"/>
                <w:bCs/>
                <w:iCs/>
                <w:color w:val="000000"/>
                <w:szCs w:val="21"/>
              </w:rPr>
              <w:t>□</w:t>
            </w:r>
            <w:r>
              <w:rPr>
                <w:rFonts w:hint="eastAsia"/>
                <w:szCs w:val="21"/>
              </w:rPr>
              <w:t xml:space="preserve">新闻发布会          </w:t>
            </w:r>
            <w:r>
              <w:rPr>
                <w:rFonts w:hint="eastAsia"/>
                <w:bCs/>
                <w:iCs/>
                <w:color w:val="000000"/>
                <w:szCs w:val="21"/>
              </w:rPr>
              <w:t>□</w:t>
            </w:r>
            <w:r>
              <w:rPr>
                <w:rFonts w:hint="eastAsia"/>
                <w:szCs w:val="21"/>
              </w:rPr>
              <w:t>路演活动</w:t>
            </w:r>
          </w:p>
          <w:p w14:paraId="4A4EF61E">
            <w:pPr>
              <w:tabs>
                <w:tab w:val="left" w:pos="3045"/>
                <w:tab w:val="center" w:pos="3199"/>
              </w:tabs>
              <w:spacing w:line="480" w:lineRule="atLeast"/>
              <w:rPr>
                <w:bCs/>
                <w:iCs/>
                <w:color w:val="000000"/>
                <w:szCs w:val="21"/>
              </w:rPr>
            </w:pPr>
            <w:r>
              <w:rPr>
                <w:rFonts w:hint="eastAsia"/>
                <w:bCs/>
                <w:iCs/>
                <w:color w:val="000000"/>
                <w:szCs w:val="21"/>
              </w:rPr>
              <w:t>□</w:t>
            </w:r>
            <w:r>
              <w:rPr>
                <w:rFonts w:hint="eastAsia"/>
                <w:szCs w:val="21"/>
              </w:rPr>
              <w:t>现场参观</w:t>
            </w:r>
            <w:r>
              <w:rPr>
                <w:rFonts w:hint="eastAsia"/>
                <w:bCs/>
                <w:iCs/>
                <w:color w:val="000000"/>
                <w:szCs w:val="21"/>
              </w:rPr>
              <w:tab/>
            </w:r>
          </w:p>
          <w:p w14:paraId="5244B936">
            <w:pPr>
              <w:tabs>
                <w:tab w:val="center" w:pos="3199"/>
              </w:tabs>
              <w:spacing w:line="480" w:lineRule="atLeast"/>
              <w:rPr>
                <w:bCs/>
                <w:iCs/>
                <w:color w:val="000000"/>
                <w:szCs w:val="21"/>
              </w:rPr>
            </w:pPr>
            <w:r>
              <w:rPr>
                <w:rFonts w:hint="eastAsia"/>
                <w:bCs/>
                <w:iCs/>
                <w:color w:val="000000"/>
                <w:szCs w:val="21"/>
              </w:rPr>
              <w:t>□</w:t>
            </w:r>
            <w:r>
              <w:rPr>
                <w:rFonts w:hint="eastAsia"/>
                <w:szCs w:val="21"/>
              </w:rPr>
              <w:t xml:space="preserve">其他 </w:t>
            </w:r>
            <w:r>
              <w:rPr>
                <w:rFonts w:hint="eastAsia"/>
                <w:szCs w:val="21"/>
                <w:u w:val="single"/>
              </w:rPr>
              <w:t>（电话会议）</w:t>
            </w:r>
          </w:p>
        </w:tc>
      </w:tr>
      <w:tr w14:paraId="38C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67C836A8">
            <w:pPr>
              <w:spacing w:line="360" w:lineRule="auto"/>
              <w:rPr>
                <w:bCs/>
                <w:iCs/>
                <w:color w:val="000000"/>
                <w:szCs w:val="21"/>
              </w:rPr>
            </w:pPr>
            <w:r>
              <w:rPr>
                <w:rFonts w:hint="eastAsia"/>
                <w:bCs/>
                <w:iCs/>
                <w:color w:val="000000"/>
                <w:szCs w:val="21"/>
              </w:rPr>
              <w:t>参与单位名称</w:t>
            </w:r>
          </w:p>
        </w:tc>
        <w:tc>
          <w:tcPr>
            <w:tcW w:w="6614" w:type="dxa"/>
            <w:tcBorders>
              <w:top w:val="single" w:color="auto" w:sz="4" w:space="0"/>
              <w:left w:val="single" w:color="auto" w:sz="4" w:space="0"/>
              <w:bottom w:val="single" w:color="auto" w:sz="4" w:space="0"/>
              <w:right w:val="single" w:color="auto" w:sz="4" w:space="0"/>
            </w:tcBorders>
            <w:vAlign w:val="center"/>
          </w:tcPr>
          <w:p w14:paraId="39020624">
            <w:pPr>
              <w:rPr>
                <w:bCs/>
                <w:iCs/>
                <w:color w:val="000000"/>
                <w:szCs w:val="21"/>
              </w:rPr>
            </w:pPr>
            <w:r>
              <w:rPr>
                <w:bCs/>
                <w:iCs/>
                <w:color w:val="000000"/>
                <w:szCs w:val="21"/>
              </w:rPr>
              <w:t>详见附件 1《与会单位名单》</w:t>
            </w:r>
          </w:p>
        </w:tc>
      </w:tr>
      <w:tr w14:paraId="1E7C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03D08DE5">
            <w:pPr>
              <w:spacing w:line="360" w:lineRule="auto"/>
              <w:rPr>
                <w:bCs/>
                <w:iCs/>
                <w:color w:val="000000"/>
                <w:szCs w:val="21"/>
              </w:rPr>
            </w:pPr>
            <w:r>
              <w:rPr>
                <w:rFonts w:hint="eastAsia"/>
                <w:bCs/>
                <w:iCs/>
                <w:color w:val="000000"/>
                <w:szCs w:val="21"/>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72E035CC">
            <w:pPr>
              <w:rPr>
                <w:bCs/>
                <w:iCs/>
                <w:color w:val="000000"/>
                <w:szCs w:val="21"/>
              </w:rPr>
            </w:pPr>
            <w:r>
              <w:rPr>
                <w:bCs/>
                <w:iCs/>
                <w:color w:val="000000"/>
                <w:szCs w:val="21"/>
              </w:rPr>
              <w:t>202</w:t>
            </w:r>
            <w:r>
              <w:rPr>
                <w:rFonts w:hint="eastAsia"/>
                <w:bCs/>
                <w:iCs/>
                <w:color w:val="000000"/>
                <w:szCs w:val="21"/>
              </w:rPr>
              <w:t>6</w:t>
            </w:r>
            <w:r>
              <w:rPr>
                <w:bCs/>
                <w:iCs/>
                <w:color w:val="000000"/>
                <w:szCs w:val="21"/>
              </w:rPr>
              <w:t>年</w:t>
            </w:r>
            <w:r>
              <w:rPr>
                <w:rFonts w:hint="eastAsia"/>
                <w:bCs/>
                <w:iCs/>
                <w:color w:val="000000"/>
                <w:szCs w:val="21"/>
              </w:rPr>
              <w:t>3</w:t>
            </w:r>
            <w:r>
              <w:rPr>
                <w:bCs/>
                <w:iCs/>
                <w:color w:val="000000"/>
                <w:szCs w:val="21"/>
              </w:rPr>
              <w:t>月</w:t>
            </w:r>
            <w:r>
              <w:rPr>
                <w:rFonts w:hint="eastAsia"/>
                <w:bCs/>
                <w:iCs/>
                <w:color w:val="000000"/>
                <w:szCs w:val="21"/>
              </w:rPr>
              <w:t>25</w:t>
            </w:r>
            <w:r>
              <w:rPr>
                <w:rFonts w:hint="eastAsia"/>
                <w:bCs/>
                <w:iCs/>
                <w:color w:val="000000"/>
                <w:szCs w:val="21"/>
                <w:lang w:val="en-US" w:eastAsia="zh-CN"/>
              </w:rPr>
              <w:t>日</w:t>
            </w:r>
            <w:r>
              <w:rPr>
                <w:rFonts w:hint="eastAsia"/>
                <w:bCs/>
                <w:iCs/>
                <w:color w:val="000000"/>
                <w:szCs w:val="21"/>
              </w:rPr>
              <w:t>-</w:t>
            </w:r>
            <w:r>
              <w:rPr>
                <w:rFonts w:hint="eastAsia"/>
                <w:bCs/>
                <w:iCs/>
                <w:color w:val="000000"/>
                <w:szCs w:val="21"/>
                <w:lang w:val="en-US" w:eastAsia="zh-CN"/>
              </w:rPr>
              <w:t>31</w:t>
            </w:r>
            <w:r>
              <w:rPr>
                <w:bCs/>
                <w:iCs/>
                <w:color w:val="000000"/>
                <w:szCs w:val="21"/>
              </w:rPr>
              <w:t>日</w:t>
            </w:r>
          </w:p>
        </w:tc>
      </w:tr>
      <w:tr w14:paraId="6B64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341FC8B1">
            <w:pPr>
              <w:spacing w:line="360" w:lineRule="auto"/>
              <w:rPr>
                <w:bCs/>
                <w:iCs/>
                <w:color w:val="000000"/>
                <w:szCs w:val="21"/>
              </w:rPr>
            </w:pPr>
            <w:r>
              <w:rPr>
                <w:rFonts w:hint="eastAsia"/>
                <w:bCs/>
                <w:iCs/>
                <w:color w:val="000000"/>
                <w:szCs w:val="21"/>
              </w:rPr>
              <w:t>地点</w:t>
            </w:r>
          </w:p>
        </w:tc>
        <w:tc>
          <w:tcPr>
            <w:tcW w:w="6614" w:type="dxa"/>
            <w:tcBorders>
              <w:top w:val="single" w:color="auto" w:sz="4" w:space="0"/>
              <w:left w:val="single" w:color="auto" w:sz="4" w:space="0"/>
              <w:bottom w:val="single" w:color="auto" w:sz="4" w:space="0"/>
              <w:right w:val="single" w:color="auto" w:sz="4" w:space="0"/>
            </w:tcBorders>
            <w:vAlign w:val="center"/>
          </w:tcPr>
          <w:p w14:paraId="42630285">
            <w:pPr>
              <w:rPr>
                <w:bCs/>
                <w:iCs/>
                <w:color w:val="000000"/>
                <w:szCs w:val="21"/>
              </w:rPr>
            </w:pPr>
            <w:r>
              <w:rPr>
                <w:rFonts w:hint="eastAsia"/>
                <w:bCs/>
                <w:iCs/>
                <w:color w:val="000000"/>
                <w:szCs w:val="21"/>
              </w:rPr>
              <w:t>上海</w:t>
            </w:r>
            <w:r>
              <w:rPr>
                <w:rFonts w:hint="eastAsia"/>
                <w:bCs/>
                <w:iCs/>
                <w:color w:val="000000"/>
                <w:szCs w:val="21"/>
                <w:lang w:eastAsia="zh-CN"/>
              </w:rPr>
              <w:t>、</w:t>
            </w:r>
            <w:r>
              <w:rPr>
                <w:rFonts w:hint="eastAsia"/>
                <w:bCs/>
                <w:iCs/>
                <w:color w:val="000000"/>
                <w:szCs w:val="21"/>
                <w:lang w:val="en-US" w:eastAsia="zh-CN"/>
              </w:rPr>
              <w:t>深圳</w:t>
            </w:r>
            <w:r>
              <w:rPr>
                <w:rFonts w:hint="eastAsia"/>
                <w:bCs/>
                <w:iCs/>
                <w:color w:val="000000"/>
                <w:szCs w:val="21"/>
              </w:rPr>
              <w:t>线下会议</w:t>
            </w:r>
          </w:p>
        </w:tc>
      </w:tr>
      <w:tr w14:paraId="1DC9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0AD37F58">
            <w:pPr>
              <w:rPr>
                <w:bCs/>
                <w:iCs/>
                <w:color w:val="000000"/>
                <w:szCs w:val="21"/>
              </w:rPr>
            </w:pPr>
            <w:r>
              <w:rPr>
                <w:rFonts w:hint="eastAsia"/>
                <w:bCs/>
                <w:iCs/>
                <w:color w:val="000000"/>
                <w:szCs w:val="21"/>
              </w:rPr>
              <w:t>上市公司接待人员姓名</w:t>
            </w:r>
          </w:p>
        </w:tc>
        <w:tc>
          <w:tcPr>
            <w:tcW w:w="6614" w:type="dxa"/>
            <w:tcBorders>
              <w:top w:val="single" w:color="auto" w:sz="4" w:space="0"/>
              <w:left w:val="single" w:color="auto" w:sz="4" w:space="0"/>
              <w:bottom w:val="single" w:color="auto" w:sz="4" w:space="0"/>
              <w:right w:val="single" w:color="auto" w:sz="4" w:space="0"/>
            </w:tcBorders>
          </w:tcPr>
          <w:p w14:paraId="005A2854">
            <w:pPr>
              <w:spacing w:line="480" w:lineRule="atLeast"/>
              <w:rPr>
                <w:bCs/>
                <w:iCs/>
                <w:color w:val="000000"/>
                <w:szCs w:val="21"/>
              </w:rPr>
            </w:pPr>
            <w:r>
              <w:rPr>
                <w:rFonts w:hint="eastAsia"/>
                <w:bCs/>
                <w:iCs/>
                <w:color w:val="000000"/>
                <w:szCs w:val="21"/>
              </w:rPr>
              <w:t>黄茵 证券事务专员</w:t>
            </w:r>
          </w:p>
        </w:tc>
      </w:tr>
      <w:tr w14:paraId="7B0D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61E31672">
            <w:pPr>
              <w:spacing w:line="360" w:lineRule="auto"/>
              <w:rPr>
                <w:bCs/>
                <w:iCs/>
                <w:color w:val="000000"/>
                <w:szCs w:val="21"/>
              </w:rPr>
            </w:pPr>
            <w:r>
              <w:rPr>
                <w:rFonts w:hint="eastAsia"/>
                <w:bCs/>
                <w:iCs/>
                <w:color w:val="000000"/>
                <w:szCs w:val="21"/>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tcPr>
          <w:p w14:paraId="5FE10408">
            <w:pPr>
              <w:numPr>
                <w:ilvl w:val="0"/>
                <w:numId w:val="1"/>
              </w:numPr>
              <w:spacing w:line="360" w:lineRule="auto"/>
              <w:ind w:firstLine="422" w:firstLineChars="200"/>
              <w:rPr>
                <w:b/>
                <w:bCs/>
                <w:szCs w:val="21"/>
              </w:rPr>
            </w:pPr>
            <w:r>
              <w:rPr>
                <w:rFonts w:hint="eastAsia"/>
                <w:b/>
                <w:bCs/>
                <w:szCs w:val="21"/>
              </w:rPr>
              <w:t>关于2025年业绩增长驱动因素及2026年业绩展望。</w:t>
            </w:r>
          </w:p>
          <w:p w14:paraId="4899B8F3">
            <w:pPr>
              <w:spacing w:line="360" w:lineRule="exact"/>
              <w:ind w:firstLine="420" w:firstLineChars="200"/>
              <w:rPr>
                <w:szCs w:val="21"/>
              </w:rPr>
            </w:pPr>
            <w:r>
              <w:rPr>
                <w:rFonts w:hint="eastAsia"/>
                <w:szCs w:val="21"/>
              </w:rPr>
              <w:t>答：2025年，公司新系列产品及现有系列升级迭代产品的收入贡献增长，推动订单规模及营收规模持续增长。</w:t>
            </w:r>
          </w:p>
          <w:p w14:paraId="75E2901B">
            <w:pPr>
              <w:spacing w:line="360" w:lineRule="exact"/>
              <w:ind w:firstLine="420" w:firstLineChars="200"/>
              <w:rPr>
                <w:szCs w:val="21"/>
              </w:rPr>
            </w:pPr>
            <w:r>
              <w:rPr>
                <w:rFonts w:hint="eastAsia"/>
                <w:szCs w:val="21"/>
              </w:rPr>
              <w:t>综合目前的经营情况、产品进展以及市场环境，公司对2026年经营情况充满信心，预计将在收入、利润和订单层面都有积极的表现。</w:t>
            </w:r>
          </w:p>
          <w:p w14:paraId="0B70C9D1">
            <w:pPr>
              <w:spacing w:line="360" w:lineRule="exact"/>
              <w:ind w:firstLine="420" w:firstLineChars="200"/>
              <w:rPr>
                <w:szCs w:val="21"/>
              </w:rPr>
            </w:pPr>
          </w:p>
          <w:p w14:paraId="2295FBDB">
            <w:pPr>
              <w:numPr>
                <w:ilvl w:val="0"/>
                <w:numId w:val="1"/>
              </w:numPr>
              <w:spacing w:line="360" w:lineRule="auto"/>
              <w:ind w:firstLine="422" w:firstLineChars="200"/>
              <w:rPr>
                <w:b/>
                <w:bCs/>
                <w:szCs w:val="21"/>
              </w:rPr>
            </w:pPr>
            <w:r>
              <w:rPr>
                <w:rFonts w:hint="eastAsia"/>
                <w:b/>
                <w:bCs/>
                <w:szCs w:val="21"/>
              </w:rPr>
              <w:t>关于产品进展情况。</w:t>
            </w:r>
          </w:p>
          <w:p w14:paraId="1220CB47">
            <w:pPr>
              <w:spacing w:line="360" w:lineRule="exact"/>
              <w:ind w:firstLine="420" w:firstLineChars="200"/>
              <w:rPr>
                <w:szCs w:val="21"/>
              </w:rPr>
            </w:pPr>
            <w:r>
              <w:rPr>
                <w:rFonts w:hint="eastAsia"/>
                <w:szCs w:val="21"/>
              </w:rPr>
              <w:t>答：公司各主要系列产品与目前国内产线扩产需求相匹配，特别是在AI算力、数据中心</w:t>
            </w:r>
            <w:r>
              <w:rPr>
                <w:rFonts w:hint="eastAsia"/>
                <w:szCs w:val="21"/>
                <w:lang w:val="en-US" w:eastAsia="zh-CN"/>
              </w:rPr>
              <w:t>等</w:t>
            </w:r>
            <w:r>
              <w:rPr>
                <w:rFonts w:hint="eastAsia"/>
                <w:szCs w:val="21"/>
              </w:rPr>
              <w:t>相关需求带动下的先进制程产线扩产需求相匹配。</w:t>
            </w:r>
          </w:p>
          <w:p w14:paraId="1E7F727C">
            <w:pPr>
              <w:spacing w:line="360" w:lineRule="exact"/>
              <w:ind w:firstLine="420" w:firstLineChars="200"/>
              <w:rPr>
                <w:szCs w:val="21"/>
              </w:rPr>
            </w:pPr>
            <w:r>
              <w:rPr>
                <w:rFonts w:hint="eastAsia"/>
                <w:szCs w:val="21"/>
              </w:rPr>
              <w:t>在HBM等前沿应用领域，图形晶圆缺陷检测设备包括3D AOI设备、三维形貌量测设备、套刻精度量测设备都已经通过多家国内头部客户的验证并实现批量销售；晶圆平整度测量设备已出货HBM客户开展产线工艺验证和应用开发。</w:t>
            </w:r>
          </w:p>
          <w:p w14:paraId="6DF804F8">
            <w:pPr>
              <w:spacing w:line="360" w:lineRule="exact"/>
              <w:ind w:firstLine="420" w:firstLineChars="200"/>
              <w:rPr>
                <w:rFonts w:hint="eastAsia"/>
                <w:szCs w:val="21"/>
              </w:rPr>
            </w:pPr>
            <w:r>
              <w:rPr>
                <w:rFonts w:hint="eastAsia"/>
                <w:szCs w:val="21"/>
              </w:rPr>
              <w:t>公司积极推进量产产品的市占率提升以及新产品的客户产线验证，积极推进各系列产品线的市占率和技术先进性，为客户提供全方位的产品服务。</w:t>
            </w:r>
          </w:p>
          <w:p w14:paraId="28E8074C">
            <w:pPr>
              <w:spacing w:line="360" w:lineRule="exact"/>
              <w:ind w:firstLine="420" w:firstLineChars="200"/>
              <w:rPr>
                <w:szCs w:val="21"/>
              </w:rPr>
            </w:pPr>
          </w:p>
          <w:p w14:paraId="605996D2">
            <w:pPr>
              <w:numPr>
                <w:ilvl w:val="0"/>
                <w:numId w:val="1"/>
              </w:numPr>
              <w:spacing w:line="360" w:lineRule="auto"/>
              <w:ind w:firstLine="422" w:firstLineChars="200"/>
              <w:rPr>
                <w:b/>
                <w:bCs/>
                <w:szCs w:val="21"/>
              </w:rPr>
            </w:pPr>
            <w:r>
              <w:rPr>
                <w:rFonts w:hint="eastAsia"/>
                <w:b/>
                <w:bCs/>
                <w:szCs w:val="21"/>
              </w:rPr>
              <w:t>关于公司产品在头部逻辑及存储领域的应用情况与竞争优势。</w:t>
            </w:r>
          </w:p>
          <w:p w14:paraId="7E8409A4">
            <w:pPr>
              <w:spacing w:line="360" w:lineRule="exact"/>
              <w:ind w:firstLine="420" w:firstLineChars="200"/>
              <w:rPr>
                <w:szCs w:val="21"/>
              </w:rPr>
            </w:pPr>
            <w:r>
              <w:rPr>
                <w:rFonts w:hint="eastAsia"/>
                <w:szCs w:val="21"/>
              </w:rPr>
              <w:t>答：公司与国内头部的逻辑及存储客户建立了长期深度的战略合作关系，各类产品布局已全面覆盖客户需求，多款新产品验证进展顺利。</w:t>
            </w:r>
          </w:p>
          <w:p w14:paraId="2E8BE1FD">
            <w:pPr>
              <w:spacing w:line="360" w:lineRule="exact"/>
              <w:ind w:firstLine="420" w:firstLineChars="200"/>
              <w:rPr>
                <w:szCs w:val="21"/>
              </w:rPr>
            </w:pPr>
            <w:r>
              <w:rPr>
                <w:rFonts w:hint="eastAsia"/>
                <w:szCs w:val="21"/>
              </w:rPr>
              <w:t>新设备验证通常需耗费客户大量的研发、工艺及生产资源，因此客户对验证设备的选择极为审慎，首要关注产品及技术成熟度，其他考虑因素还包括量产稳定性、可升级迭代程度等方面，尤其是先进工艺客户对这些要求明显提高。基于长期深度的合作基础、全面的产品覆盖能力及成熟的技术实力，公司各系列产品持续获得头部客户认可，有信心在相关客户未来扩产对国产量检测设备的需求中占据较大的竞争优势。</w:t>
            </w:r>
          </w:p>
          <w:p w14:paraId="6EAB4533">
            <w:pPr>
              <w:spacing w:line="360" w:lineRule="exact"/>
              <w:rPr>
                <w:b/>
                <w:bCs/>
                <w:szCs w:val="21"/>
              </w:rPr>
            </w:pPr>
          </w:p>
          <w:p w14:paraId="75A4DEA2">
            <w:pPr>
              <w:numPr>
                <w:ilvl w:val="0"/>
                <w:numId w:val="1"/>
              </w:numPr>
              <w:spacing w:line="360" w:lineRule="auto"/>
              <w:ind w:firstLine="422" w:firstLineChars="200"/>
              <w:rPr>
                <w:b/>
                <w:bCs/>
                <w:szCs w:val="21"/>
              </w:rPr>
            </w:pPr>
            <w:r>
              <w:rPr>
                <w:rFonts w:hint="eastAsia"/>
                <w:b/>
                <w:bCs/>
                <w:szCs w:val="21"/>
              </w:rPr>
              <w:t>关于目前行业竞争格局以及公司的应对策略。</w:t>
            </w:r>
          </w:p>
          <w:p w14:paraId="1F07C3CE">
            <w:pPr>
              <w:spacing w:line="360" w:lineRule="exact"/>
              <w:ind w:firstLine="420" w:firstLineChars="200"/>
              <w:rPr>
                <w:szCs w:val="21"/>
              </w:rPr>
            </w:pPr>
            <w:r>
              <w:rPr>
                <w:rFonts w:hint="eastAsia"/>
                <w:szCs w:val="21"/>
              </w:rPr>
              <w:t>答：目前国内量检测设备市场的国产化率还非常低，未来几年国内企业整体上仍处于抢占国外企业市场份额的过程中。半导体量检测设备的技术壁垒高、研发和验证周期长。经过10余年的持续研发和产品迭代，公司目前在产品覆盖广度和深度、技术先进性、客户资源等方面在国内市场上已显著领先。</w:t>
            </w:r>
          </w:p>
          <w:p w14:paraId="634F410D">
            <w:pPr>
              <w:spacing w:line="360" w:lineRule="exact"/>
              <w:ind w:firstLine="420" w:firstLineChars="200"/>
              <w:rPr>
                <w:rFonts w:hint="eastAsia"/>
                <w:szCs w:val="21"/>
              </w:rPr>
            </w:pPr>
            <w:r>
              <w:rPr>
                <w:rFonts w:hint="eastAsia"/>
                <w:szCs w:val="21"/>
              </w:rPr>
              <w:t>未来公司将持续推进新产品研发以及现有产品向更先进制程的升级迭代，不断提高产品覆盖广度与深度的同时，加大海内外市场拓展力度，稳步提升营收规模与市场占有率。</w:t>
            </w:r>
          </w:p>
          <w:p w14:paraId="69CF70F8">
            <w:pPr>
              <w:spacing w:line="360" w:lineRule="exact"/>
              <w:ind w:firstLine="420" w:firstLineChars="200"/>
              <w:rPr>
                <w:rFonts w:hint="eastAsia"/>
                <w:szCs w:val="21"/>
              </w:rPr>
            </w:pPr>
          </w:p>
          <w:p w14:paraId="5F5A49D7">
            <w:pPr>
              <w:spacing w:line="360" w:lineRule="exact"/>
              <w:ind w:firstLine="422" w:firstLineChars="200"/>
              <w:rPr>
                <w:b/>
                <w:bCs/>
                <w:szCs w:val="21"/>
              </w:rPr>
            </w:pPr>
          </w:p>
          <w:p w14:paraId="66EC0A1A">
            <w:pPr>
              <w:numPr>
                <w:ilvl w:val="0"/>
                <w:numId w:val="1"/>
              </w:numPr>
              <w:spacing w:line="360" w:lineRule="auto"/>
              <w:ind w:firstLine="422" w:firstLineChars="200"/>
              <w:rPr>
                <w:b/>
                <w:bCs/>
                <w:szCs w:val="21"/>
              </w:rPr>
            </w:pPr>
            <w:r>
              <w:rPr>
                <w:rFonts w:hint="eastAsia"/>
                <w:b/>
                <w:bCs/>
                <w:szCs w:val="21"/>
              </w:rPr>
              <w:t>关于毛利率、净利率的未来展望。</w:t>
            </w:r>
          </w:p>
          <w:p w14:paraId="08F72BD9">
            <w:pPr>
              <w:spacing w:line="360" w:lineRule="exact"/>
              <w:ind w:firstLine="420" w:firstLineChars="200"/>
              <w:rPr>
                <w:szCs w:val="21"/>
              </w:rPr>
            </w:pPr>
            <w:r>
              <w:rPr>
                <w:rFonts w:hint="eastAsia"/>
                <w:szCs w:val="21"/>
              </w:rPr>
              <w:t>答：目前公司的毛利率主要受产品和客户结构影响。公司未来毛利率有望持续维持在较高水平，先进制程产品的市场认可度提升、销售占比提升是对于毛利率提升的积极因素，但市场环境的变化、新增固定资产的折旧摊销等方面也会影响毛利率的提升。</w:t>
            </w:r>
          </w:p>
          <w:p w14:paraId="6C7F3107">
            <w:pPr>
              <w:spacing w:line="360" w:lineRule="exact"/>
              <w:ind w:firstLine="420" w:firstLineChars="200"/>
              <w:rPr>
                <w:szCs w:val="21"/>
              </w:rPr>
            </w:pPr>
            <w:r>
              <w:rPr>
                <w:rFonts w:hint="eastAsia"/>
                <w:szCs w:val="21"/>
              </w:rPr>
              <w:t>随着公司经营规模持续稳步增长，各项费用整体占营业收入的比例逐步下降，净利率持续稳步提升。</w:t>
            </w:r>
          </w:p>
          <w:p w14:paraId="4E8520DA">
            <w:pPr>
              <w:spacing w:line="360" w:lineRule="exact"/>
              <w:rPr>
                <w:szCs w:val="21"/>
              </w:rPr>
            </w:pPr>
          </w:p>
          <w:p w14:paraId="498B719E">
            <w:pPr>
              <w:numPr>
                <w:ilvl w:val="0"/>
                <w:numId w:val="1"/>
              </w:numPr>
              <w:spacing w:line="360" w:lineRule="auto"/>
              <w:ind w:firstLine="422" w:firstLineChars="200"/>
              <w:rPr>
                <w:b/>
                <w:bCs/>
                <w:szCs w:val="21"/>
              </w:rPr>
            </w:pPr>
            <w:r>
              <w:rPr>
                <w:rFonts w:hint="eastAsia"/>
                <w:b/>
                <w:bCs/>
                <w:szCs w:val="21"/>
              </w:rPr>
              <w:t>关于供应链国产化情况。</w:t>
            </w:r>
          </w:p>
          <w:p w14:paraId="2E360615">
            <w:pPr>
              <w:spacing w:line="360" w:lineRule="exact"/>
              <w:ind w:firstLine="420" w:firstLineChars="200"/>
              <w:rPr>
                <w:szCs w:val="21"/>
              </w:rPr>
            </w:pPr>
            <w:r>
              <w:rPr>
                <w:rFonts w:hint="eastAsia"/>
                <w:szCs w:val="21"/>
              </w:rPr>
              <w:t>答：长期以来，公司在设备整机的研发和产业化进程中，同时会进行大量的投入与零部件供应商开展技术合作。目前公司核心零部件国产化推进成效显著，供应链体系安全稳定，能够确保供应链能够在设备完成研发后顺利转入大规模量产，为客户持续稳定供货。</w:t>
            </w:r>
          </w:p>
          <w:p w14:paraId="624265DC">
            <w:pPr>
              <w:spacing w:line="360" w:lineRule="exact"/>
              <w:rPr>
                <w:b/>
                <w:bCs/>
                <w:szCs w:val="21"/>
              </w:rPr>
            </w:pPr>
          </w:p>
          <w:p w14:paraId="7A25998E">
            <w:pPr>
              <w:numPr>
                <w:ilvl w:val="0"/>
                <w:numId w:val="1"/>
              </w:numPr>
              <w:spacing w:line="360" w:lineRule="auto"/>
              <w:ind w:firstLine="422" w:firstLineChars="200"/>
              <w:rPr>
                <w:b/>
                <w:bCs/>
                <w:szCs w:val="21"/>
              </w:rPr>
            </w:pPr>
            <w:r>
              <w:rPr>
                <w:rFonts w:hint="eastAsia"/>
                <w:b/>
                <w:bCs/>
                <w:szCs w:val="21"/>
              </w:rPr>
              <w:t>关于公司产能规划。</w:t>
            </w:r>
          </w:p>
          <w:p w14:paraId="0834DF73">
            <w:pPr>
              <w:spacing w:line="360" w:lineRule="exact"/>
              <w:ind w:firstLine="420" w:firstLineChars="200"/>
              <w:rPr>
                <w:szCs w:val="21"/>
              </w:rPr>
            </w:pPr>
            <w:r>
              <w:rPr>
                <w:rFonts w:hint="eastAsia"/>
                <w:szCs w:val="21"/>
              </w:rPr>
              <w:t>答：公司位于广州的IPO募投项目已于近期投产，上海高端半导体质量控制设备研发测试及产业化基地、深圳总部基地及研发中心升级建设项目正按计划有序推进，产能布局持续完善，能够满足不断增长的生产需求。</w:t>
            </w:r>
          </w:p>
          <w:p w14:paraId="11E6585C">
            <w:pPr>
              <w:spacing w:line="360" w:lineRule="exact"/>
              <w:rPr>
                <w:szCs w:val="21"/>
              </w:rPr>
            </w:pPr>
          </w:p>
          <w:p w14:paraId="701EEB1D">
            <w:pPr>
              <w:spacing w:line="360" w:lineRule="exact"/>
              <w:ind w:firstLine="420" w:firstLineChars="200"/>
              <w:rPr>
                <w:szCs w:val="21"/>
              </w:rPr>
            </w:pPr>
            <w:r>
              <w:rPr>
                <w:rFonts w:hint="eastAsia"/>
                <w:szCs w:val="21"/>
              </w:rPr>
              <w:t>除以上问题外，其余交流内容已在之前发布的投资者关系活动记录表或定期报告等公告中披露，本次不再重复披露。</w:t>
            </w:r>
          </w:p>
        </w:tc>
      </w:tr>
    </w:tbl>
    <w:p w14:paraId="43E42DC8">
      <w:r>
        <w:br w:type="page"/>
      </w:r>
    </w:p>
    <w:p w14:paraId="223D064A">
      <w:pPr>
        <w:rPr>
          <w:b/>
          <w:bCs/>
        </w:rPr>
      </w:pPr>
      <w:r>
        <w:rPr>
          <w:b/>
          <w:bCs/>
        </w:rPr>
        <w:t>附件 1《与会单位名单》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51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2CFACA87">
            <w:pPr>
              <w:jc w:val="center"/>
              <w:rPr>
                <w:b/>
                <w:bCs/>
                <w14:ligatures w14:val="standardContextual"/>
              </w:rPr>
            </w:pPr>
            <w:r>
              <w:rPr>
                <w:b/>
                <w:bCs/>
                <w14:ligatures w14:val="standardContextual"/>
              </w:rPr>
              <w:t>机构名称（排名不分先后）</w:t>
            </w:r>
          </w:p>
        </w:tc>
      </w:tr>
      <w:tr w14:paraId="576E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58732BB">
            <w:pPr>
              <w:widowControl/>
              <w:jc w:val="left"/>
              <w:textAlignment w:val="center"/>
              <w:rPr>
                <w:rFonts w:hint="default" w:ascii="Times New Roman" w:hAnsi="Times New Roman" w:cs="Times New Roman"/>
                <w:color w:val="000000"/>
                <w:sz w:val="22"/>
                <w:szCs w:val="22"/>
                <w14:ligatures w14:val="standardContextual"/>
              </w:rPr>
            </w:pPr>
            <w:r>
              <w:rPr>
                <w:rFonts w:hint="default" w:ascii="Times New Roman" w:hAnsi="Times New Roman" w:cs="Times New Roman"/>
                <w:color w:val="000000"/>
                <w:kern w:val="0"/>
                <w:sz w:val="22"/>
                <w:szCs w:val="22"/>
                <w:lang w:bidi="ar"/>
                <w14:ligatures w14:val="standardContextual"/>
              </w:rPr>
              <w:t>Point 72</w:t>
            </w:r>
          </w:p>
        </w:tc>
      </w:tr>
      <w:tr w14:paraId="5E93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32766C4">
            <w:pPr>
              <w:widowControl/>
              <w:jc w:val="left"/>
              <w:textAlignment w:val="center"/>
              <w:rPr>
                <w:rFonts w:hint="default" w:ascii="Times New Roman" w:hAnsi="Times New Roman" w:cs="Times New Roman"/>
                <w:color w:val="000000"/>
                <w:sz w:val="22"/>
                <w:szCs w:val="22"/>
                <w14:ligatures w14:val="standardContextual"/>
              </w:rPr>
            </w:pPr>
            <w:r>
              <w:rPr>
                <w:rFonts w:hint="default" w:ascii="Times New Roman" w:hAnsi="Times New Roman" w:cs="Times New Roman"/>
                <w:color w:val="000000"/>
                <w:kern w:val="0"/>
                <w:sz w:val="22"/>
                <w:szCs w:val="22"/>
                <w:lang w:bidi="ar"/>
                <w14:ligatures w14:val="standardContextual"/>
              </w:rPr>
              <w:t>Willing Capital Management Limited</w:t>
            </w:r>
          </w:p>
        </w:tc>
      </w:tr>
      <w:tr w14:paraId="218F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1EC0C2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安信基金管理有限责任公司</w:t>
            </w:r>
          </w:p>
        </w:tc>
      </w:tr>
      <w:tr w14:paraId="7824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282A685">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碧云银霞投资管理咨询（上海）有限公司</w:t>
            </w:r>
          </w:p>
        </w:tc>
      </w:tr>
      <w:tr w14:paraId="54B4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528425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碧云资本管理有限公司</w:t>
            </w:r>
          </w:p>
        </w:tc>
      </w:tr>
      <w:tr w14:paraId="60F9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D9E97F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博时基金管理有限公司</w:t>
            </w:r>
          </w:p>
        </w:tc>
      </w:tr>
      <w:tr w14:paraId="347E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69BD26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财通基金管理有限公司</w:t>
            </w:r>
          </w:p>
        </w:tc>
      </w:tr>
      <w:tr w14:paraId="4D9E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507FDB5">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财通证券股份有限公司</w:t>
            </w:r>
          </w:p>
        </w:tc>
      </w:tr>
      <w:tr w14:paraId="796B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8CF504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东吴基金管理有限公司</w:t>
            </w:r>
          </w:p>
        </w:tc>
      </w:tr>
      <w:tr w14:paraId="5535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3DD5733">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敦和资产管理有限公司</w:t>
            </w:r>
          </w:p>
        </w:tc>
      </w:tr>
      <w:tr w14:paraId="64FE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8C9DAB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富安达基金管理有限公司</w:t>
            </w:r>
          </w:p>
        </w:tc>
      </w:tr>
      <w:tr w14:paraId="1B1F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B6E3F97">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富国基金管理有限公司</w:t>
            </w:r>
          </w:p>
        </w:tc>
      </w:tr>
      <w:tr w14:paraId="78DE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8ED1E63">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光大保德信基金管理有限公司</w:t>
            </w:r>
          </w:p>
        </w:tc>
      </w:tr>
      <w:tr w14:paraId="6845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735179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光大永明人寿保险有限公司</w:t>
            </w:r>
          </w:p>
        </w:tc>
      </w:tr>
      <w:tr w14:paraId="5C06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FDA12ED">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广发基金管理有限公司</w:t>
            </w:r>
          </w:p>
        </w:tc>
      </w:tr>
      <w:tr w14:paraId="7D0C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21113A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广发证券股份有限公司</w:t>
            </w:r>
          </w:p>
        </w:tc>
      </w:tr>
      <w:tr w14:paraId="2F90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A75089C">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国金基金管理有限公司</w:t>
            </w:r>
          </w:p>
        </w:tc>
      </w:tr>
      <w:tr w14:paraId="32E5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1A555CC">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国联安基金管理有限公司</w:t>
            </w:r>
          </w:p>
        </w:tc>
      </w:tr>
      <w:tr w14:paraId="4108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F3ABF4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国寿安保基金管理有限公司</w:t>
            </w:r>
          </w:p>
        </w:tc>
      </w:tr>
      <w:tr w14:paraId="2FB2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DB7E27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国泰基金管理有限公司</w:t>
            </w:r>
          </w:p>
        </w:tc>
      </w:tr>
      <w:tr w14:paraId="01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DE16327">
            <w:pPr>
              <w:widowControl/>
              <w:jc w:val="left"/>
              <w:textAlignment w:val="center"/>
              <w:rPr>
                <w:rFonts w:hint="default" w:ascii="宋体" w:hAnsi="宋体" w:eastAsia="宋体" w:cs="宋体"/>
                <w:color w:val="000000"/>
                <w:kern w:val="0"/>
                <w:sz w:val="22"/>
                <w:szCs w:val="22"/>
                <w:lang w:val="en-US" w:eastAsia="zh-CN" w:bidi="ar"/>
                <w14:ligatures w14:val="standardContextual"/>
              </w:rPr>
            </w:pPr>
            <w:r>
              <w:rPr>
                <w:rFonts w:hint="eastAsia" w:ascii="宋体" w:hAnsi="宋体" w:cs="宋体"/>
                <w:color w:val="000000"/>
                <w:kern w:val="0"/>
                <w:sz w:val="22"/>
                <w:szCs w:val="22"/>
                <w:lang w:val="en-US" w:eastAsia="zh-CN" w:bidi="ar"/>
                <w14:ligatures w14:val="standardContextual"/>
              </w:rPr>
              <w:t>国泰海通证券股份有限公司</w:t>
            </w:r>
          </w:p>
        </w:tc>
      </w:tr>
      <w:tr w14:paraId="1784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C4CFF7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国投瑞银基金管理有限公司</w:t>
            </w:r>
          </w:p>
        </w:tc>
      </w:tr>
      <w:tr w14:paraId="6A93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3CD668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国信证券股份有限公司</w:t>
            </w:r>
          </w:p>
        </w:tc>
      </w:tr>
      <w:tr w14:paraId="5736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DEB938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杭银理财有限责任公司</w:t>
            </w:r>
          </w:p>
        </w:tc>
      </w:tr>
      <w:tr w14:paraId="08C9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F022394">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宏利基金管理有限公司</w:t>
            </w:r>
          </w:p>
        </w:tc>
      </w:tr>
      <w:tr w14:paraId="1486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37A6CD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华安基金管理有限公司</w:t>
            </w:r>
          </w:p>
        </w:tc>
      </w:tr>
      <w:tr w14:paraId="4864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CC63B1E">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华商基金管理有限公司</w:t>
            </w:r>
          </w:p>
        </w:tc>
      </w:tr>
      <w:tr w14:paraId="60D2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A1A8337">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华泰证券股份有限公司</w:t>
            </w:r>
          </w:p>
        </w:tc>
      </w:tr>
      <w:tr w14:paraId="4369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23411AD">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华夏基金管理有限公司</w:t>
            </w:r>
          </w:p>
        </w:tc>
      </w:tr>
      <w:tr w14:paraId="1F02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F854EC5">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汇丰晋信基金管理有限公司</w:t>
            </w:r>
          </w:p>
        </w:tc>
      </w:tr>
      <w:tr w14:paraId="634F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6EDBE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汇添富基金管理有限公司</w:t>
            </w:r>
          </w:p>
        </w:tc>
      </w:tr>
      <w:tr w14:paraId="5076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A8C15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嘉实基金管理有限公司</w:t>
            </w:r>
          </w:p>
        </w:tc>
      </w:tr>
      <w:tr w14:paraId="01C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D21E34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江苏瑞华投资控股集团有限公司</w:t>
            </w:r>
          </w:p>
        </w:tc>
      </w:tr>
      <w:tr w14:paraId="036D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417B17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交银施罗德基金管理有限公司</w:t>
            </w:r>
          </w:p>
        </w:tc>
      </w:tr>
      <w:tr w14:paraId="288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2031455">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民生通惠资产管理有限公司</w:t>
            </w:r>
          </w:p>
        </w:tc>
      </w:tr>
      <w:tr w14:paraId="7483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F5205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摩根基金管理（中国）有限公司</w:t>
            </w:r>
          </w:p>
        </w:tc>
      </w:tr>
      <w:tr w14:paraId="5EDD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C8499F3">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南方基金管理股份有限公司</w:t>
            </w:r>
          </w:p>
        </w:tc>
      </w:tr>
      <w:tr w14:paraId="3659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B64284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农银汇理基金管理有限公司</w:t>
            </w:r>
          </w:p>
        </w:tc>
      </w:tr>
      <w:tr w14:paraId="0A6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6BBF3E">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平安养老保险股份有限公司</w:t>
            </w:r>
          </w:p>
        </w:tc>
      </w:tr>
      <w:tr w14:paraId="63BA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0B3C5F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浦银安盛基金管理有限公司</w:t>
            </w:r>
          </w:p>
        </w:tc>
      </w:tr>
      <w:tr w14:paraId="487E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BBD3CB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上海爱建资产管理有限公司</w:t>
            </w:r>
          </w:p>
        </w:tc>
      </w:tr>
      <w:tr w14:paraId="3159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F19712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上海复胜资产管理合伙企业（有限合伙）</w:t>
            </w:r>
          </w:p>
        </w:tc>
      </w:tr>
      <w:tr w14:paraId="79BA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417A1F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上海高毅合伙企业（有限合伙）</w:t>
            </w:r>
          </w:p>
        </w:tc>
      </w:tr>
      <w:tr w14:paraId="5043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3574AC">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上海淦瀛资产管理有限公司</w:t>
            </w:r>
          </w:p>
        </w:tc>
      </w:tr>
      <w:tr w14:paraId="7053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7F460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上海合远私募基金管理有限公司</w:t>
            </w:r>
          </w:p>
        </w:tc>
      </w:tr>
      <w:tr w14:paraId="189C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1885C7">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上海健顺投资管理有限公司</w:t>
            </w:r>
          </w:p>
        </w:tc>
      </w:tr>
      <w:tr w14:paraId="4613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FE8B9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上海利幄私募基金管理有限公司</w:t>
            </w:r>
          </w:p>
        </w:tc>
      </w:tr>
      <w:tr w14:paraId="6BA6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165D9E">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上海盘京投资管理中心（有限合伙）</w:t>
            </w:r>
          </w:p>
        </w:tc>
      </w:tr>
      <w:tr w14:paraId="23FE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3BEA3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上海钦沐资产管理合伙企业</w:t>
            </w:r>
          </w:p>
        </w:tc>
      </w:tr>
      <w:tr w14:paraId="475F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8F860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上海睿郡资产管理有限公司</w:t>
            </w:r>
          </w:p>
        </w:tc>
      </w:tr>
      <w:tr w14:paraId="0009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7ADD7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上海汐泰投资管理有限公司</w:t>
            </w:r>
          </w:p>
        </w:tc>
      </w:tr>
      <w:tr w14:paraId="734D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461E7B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上海域秀资产管理有限公司</w:t>
            </w:r>
          </w:p>
        </w:tc>
      </w:tr>
      <w:tr w14:paraId="6307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F93260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上海煜德投资管理中心（有限合伙）</w:t>
            </w:r>
          </w:p>
        </w:tc>
      </w:tr>
      <w:tr w14:paraId="01D7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2C1E4A">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深圳市中颖投资管理有限公司</w:t>
            </w:r>
          </w:p>
        </w:tc>
      </w:tr>
      <w:tr w14:paraId="7999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CB7FD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太平养老保险股份有限公司</w:t>
            </w:r>
          </w:p>
        </w:tc>
      </w:tr>
      <w:tr w14:paraId="0DDD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69799B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太平资产管理有限公司</w:t>
            </w:r>
          </w:p>
        </w:tc>
      </w:tr>
      <w:tr w14:paraId="4A38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D5A7AB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泰康资产管理有限责任公司</w:t>
            </w:r>
          </w:p>
        </w:tc>
      </w:tr>
      <w:tr w14:paraId="2E29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7CEAA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天风证券股份有限公司</w:t>
            </w:r>
          </w:p>
        </w:tc>
      </w:tr>
      <w:tr w14:paraId="1A0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B906CD">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天弘基金管理有限公司</w:t>
            </w:r>
          </w:p>
        </w:tc>
      </w:tr>
      <w:tr w14:paraId="6772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125F2D">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望正资产管理有限公司</w:t>
            </w:r>
          </w:p>
        </w:tc>
      </w:tr>
      <w:tr w14:paraId="3771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8C6ED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西部利得基金管理有限公司</w:t>
            </w:r>
          </w:p>
        </w:tc>
      </w:tr>
      <w:tr w14:paraId="461D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2B1D7DC">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信达澳亚基金管理有限公司</w:t>
            </w:r>
          </w:p>
        </w:tc>
      </w:tr>
      <w:tr w14:paraId="30EB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8AE6E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易方达基金管理有限公司</w:t>
            </w:r>
          </w:p>
        </w:tc>
      </w:tr>
      <w:tr w14:paraId="3835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B7F3F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银华基金管理有限公司</w:t>
            </w:r>
          </w:p>
        </w:tc>
      </w:tr>
      <w:tr w14:paraId="61C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64E9327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永赢基金管理有限公司</w:t>
            </w:r>
          </w:p>
        </w:tc>
      </w:tr>
      <w:tr w14:paraId="5CE0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D3CE1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长安基金管理有限公司</w:t>
            </w:r>
          </w:p>
        </w:tc>
      </w:tr>
      <w:tr w14:paraId="27F0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DF376E">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招商基金管理有限公司</w:t>
            </w:r>
          </w:p>
        </w:tc>
      </w:tr>
      <w:tr w14:paraId="43F3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AB2400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浙商证券股份有限公司</w:t>
            </w:r>
          </w:p>
        </w:tc>
      </w:tr>
      <w:tr w14:paraId="1220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38E31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中国人保资产管理有限公司</w:t>
            </w:r>
          </w:p>
        </w:tc>
      </w:tr>
      <w:tr w14:paraId="324B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26EEC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中欧基金管理有限公司</w:t>
            </w:r>
          </w:p>
        </w:tc>
      </w:tr>
      <w:tr w14:paraId="3D7A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23C501">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中泰证券股份有限公司</w:t>
            </w:r>
          </w:p>
        </w:tc>
      </w:tr>
      <w:tr w14:paraId="1796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FC437F1">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中信保诚人寿保险有限公司</w:t>
            </w:r>
          </w:p>
        </w:tc>
      </w:tr>
      <w:tr w14:paraId="4A54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9F273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中信证券股份有限公司</w:t>
            </w:r>
          </w:p>
        </w:tc>
      </w:tr>
      <w:tr w14:paraId="49FC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4613D0A">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中银国际证券股份有限公司</w:t>
            </w:r>
          </w:p>
        </w:tc>
      </w:tr>
      <w:tr w14:paraId="0878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9F1B4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中邮创业基金管理股份有限公司</w:t>
            </w:r>
          </w:p>
        </w:tc>
      </w:tr>
    </w:tbl>
    <w:p w14:paraId="6DD7D72C">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909E1"/>
    <w:multiLevelType w:val="singleLevel"/>
    <w:tmpl w:val="733909E1"/>
    <w:lvl w:ilvl="0" w:tentative="0">
      <w:start w:val="1"/>
      <w:numFmt w:val="decimal"/>
      <w:suff w:val="nothing"/>
      <w:lvlText w:val="%1、"/>
      <w:lvlJc w:val="left"/>
      <w:pPr>
        <w:tabs>
          <w:tab w:val="left" w:pos="0"/>
        </w:tabs>
        <w:ind w:left="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YzIzNDM2ZmQ0NThhMzE2OWRmODYzMWIwNWE2MmMifQ=="/>
  </w:docVars>
  <w:rsids>
    <w:rsidRoot w:val="00DB361F"/>
    <w:rsid w:val="0000207D"/>
    <w:rsid w:val="00003F99"/>
    <w:rsid w:val="00005DB8"/>
    <w:rsid w:val="00017E6D"/>
    <w:rsid w:val="00032862"/>
    <w:rsid w:val="00034F4A"/>
    <w:rsid w:val="00043BF3"/>
    <w:rsid w:val="00043CCB"/>
    <w:rsid w:val="00051824"/>
    <w:rsid w:val="00064B25"/>
    <w:rsid w:val="000917BD"/>
    <w:rsid w:val="000A23CD"/>
    <w:rsid w:val="000F54F0"/>
    <w:rsid w:val="000F5B3C"/>
    <w:rsid w:val="00104AB5"/>
    <w:rsid w:val="001417C0"/>
    <w:rsid w:val="00156D14"/>
    <w:rsid w:val="0016571F"/>
    <w:rsid w:val="00177422"/>
    <w:rsid w:val="001963D2"/>
    <w:rsid w:val="001A2E1E"/>
    <w:rsid w:val="001D3494"/>
    <w:rsid w:val="001F435C"/>
    <w:rsid w:val="002026A5"/>
    <w:rsid w:val="00246E5F"/>
    <w:rsid w:val="00253AA6"/>
    <w:rsid w:val="002577FC"/>
    <w:rsid w:val="00280483"/>
    <w:rsid w:val="00293E36"/>
    <w:rsid w:val="00295CED"/>
    <w:rsid w:val="002A2C74"/>
    <w:rsid w:val="002A6E13"/>
    <w:rsid w:val="002D5760"/>
    <w:rsid w:val="002D780D"/>
    <w:rsid w:val="002D7C22"/>
    <w:rsid w:val="002F3005"/>
    <w:rsid w:val="003035EA"/>
    <w:rsid w:val="00313375"/>
    <w:rsid w:val="003609BA"/>
    <w:rsid w:val="0038458E"/>
    <w:rsid w:val="003934CF"/>
    <w:rsid w:val="003D73F2"/>
    <w:rsid w:val="003E70FC"/>
    <w:rsid w:val="004674B3"/>
    <w:rsid w:val="00480035"/>
    <w:rsid w:val="00496083"/>
    <w:rsid w:val="004A4122"/>
    <w:rsid w:val="004D6884"/>
    <w:rsid w:val="004E4354"/>
    <w:rsid w:val="005157BA"/>
    <w:rsid w:val="00543C4B"/>
    <w:rsid w:val="00577E82"/>
    <w:rsid w:val="005D04EB"/>
    <w:rsid w:val="005D73F1"/>
    <w:rsid w:val="0062274F"/>
    <w:rsid w:val="006238E4"/>
    <w:rsid w:val="00626855"/>
    <w:rsid w:val="00652AE8"/>
    <w:rsid w:val="006903D5"/>
    <w:rsid w:val="006A78DE"/>
    <w:rsid w:val="006B4FCC"/>
    <w:rsid w:val="006B545D"/>
    <w:rsid w:val="006B66ED"/>
    <w:rsid w:val="006D43F0"/>
    <w:rsid w:val="006D6A12"/>
    <w:rsid w:val="006E257E"/>
    <w:rsid w:val="007261D6"/>
    <w:rsid w:val="00752966"/>
    <w:rsid w:val="007673C0"/>
    <w:rsid w:val="0078006F"/>
    <w:rsid w:val="0078552D"/>
    <w:rsid w:val="007B358A"/>
    <w:rsid w:val="007D3D5E"/>
    <w:rsid w:val="007D6F29"/>
    <w:rsid w:val="0084654C"/>
    <w:rsid w:val="00854EBA"/>
    <w:rsid w:val="00860F71"/>
    <w:rsid w:val="008709A4"/>
    <w:rsid w:val="00872228"/>
    <w:rsid w:val="008A37DE"/>
    <w:rsid w:val="008B0754"/>
    <w:rsid w:val="008C3104"/>
    <w:rsid w:val="008F01C2"/>
    <w:rsid w:val="00936C70"/>
    <w:rsid w:val="009767AF"/>
    <w:rsid w:val="00982B3C"/>
    <w:rsid w:val="009967E3"/>
    <w:rsid w:val="009A490D"/>
    <w:rsid w:val="009B0B11"/>
    <w:rsid w:val="009E743C"/>
    <w:rsid w:val="009F2462"/>
    <w:rsid w:val="00A02202"/>
    <w:rsid w:val="00A3564B"/>
    <w:rsid w:val="00A41D3E"/>
    <w:rsid w:val="00A51F27"/>
    <w:rsid w:val="00A57435"/>
    <w:rsid w:val="00A636BA"/>
    <w:rsid w:val="00A6539A"/>
    <w:rsid w:val="00A66B32"/>
    <w:rsid w:val="00AB116A"/>
    <w:rsid w:val="00AC10F8"/>
    <w:rsid w:val="00AC7C57"/>
    <w:rsid w:val="00AD2609"/>
    <w:rsid w:val="00AE4ED3"/>
    <w:rsid w:val="00AF7E5D"/>
    <w:rsid w:val="00B217D8"/>
    <w:rsid w:val="00B26A5B"/>
    <w:rsid w:val="00B27B4D"/>
    <w:rsid w:val="00B57D71"/>
    <w:rsid w:val="00B77E3E"/>
    <w:rsid w:val="00B94D7F"/>
    <w:rsid w:val="00BB20B6"/>
    <w:rsid w:val="00BD00D7"/>
    <w:rsid w:val="00BD4DEB"/>
    <w:rsid w:val="00BE2DF2"/>
    <w:rsid w:val="00BF3668"/>
    <w:rsid w:val="00CA0D83"/>
    <w:rsid w:val="00CA5C82"/>
    <w:rsid w:val="00CC3D8D"/>
    <w:rsid w:val="00CF1F10"/>
    <w:rsid w:val="00D01259"/>
    <w:rsid w:val="00D039FA"/>
    <w:rsid w:val="00D33132"/>
    <w:rsid w:val="00D4351F"/>
    <w:rsid w:val="00D50A23"/>
    <w:rsid w:val="00D51132"/>
    <w:rsid w:val="00DA041C"/>
    <w:rsid w:val="00DA3CC2"/>
    <w:rsid w:val="00DA4B90"/>
    <w:rsid w:val="00DA4F8C"/>
    <w:rsid w:val="00DB361F"/>
    <w:rsid w:val="00E179CD"/>
    <w:rsid w:val="00E22DB5"/>
    <w:rsid w:val="00E37F68"/>
    <w:rsid w:val="00E52443"/>
    <w:rsid w:val="00E94303"/>
    <w:rsid w:val="00EB0D2E"/>
    <w:rsid w:val="00EC60AF"/>
    <w:rsid w:val="00ED20E6"/>
    <w:rsid w:val="00ED2CF5"/>
    <w:rsid w:val="00ED430E"/>
    <w:rsid w:val="00F1786D"/>
    <w:rsid w:val="00F305D4"/>
    <w:rsid w:val="00F514E1"/>
    <w:rsid w:val="00F52EBA"/>
    <w:rsid w:val="00F65EC7"/>
    <w:rsid w:val="00FD0A9A"/>
    <w:rsid w:val="00FF3305"/>
    <w:rsid w:val="02641C78"/>
    <w:rsid w:val="030148E2"/>
    <w:rsid w:val="0A1A0405"/>
    <w:rsid w:val="151D2886"/>
    <w:rsid w:val="1A397B11"/>
    <w:rsid w:val="1B845309"/>
    <w:rsid w:val="21505D92"/>
    <w:rsid w:val="29C235A5"/>
    <w:rsid w:val="2F253272"/>
    <w:rsid w:val="3B4E2EEA"/>
    <w:rsid w:val="3B992858"/>
    <w:rsid w:val="44022AC4"/>
    <w:rsid w:val="48311BC9"/>
    <w:rsid w:val="49441489"/>
    <w:rsid w:val="4C673E0C"/>
    <w:rsid w:val="4C7911F2"/>
    <w:rsid w:val="4D4952BF"/>
    <w:rsid w:val="4FD56329"/>
    <w:rsid w:val="524424F9"/>
    <w:rsid w:val="53DB4C8D"/>
    <w:rsid w:val="556F5ADF"/>
    <w:rsid w:val="5DCB3E2A"/>
    <w:rsid w:val="67B75314"/>
    <w:rsid w:val="6E105C5A"/>
    <w:rsid w:val="72EA2796"/>
    <w:rsid w:val="75AD7071"/>
    <w:rsid w:val="797C0647"/>
    <w:rsid w:val="7A613399"/>
    <w:rsid w:val="7AEE00B6"/>
    <w:rsid w:val="7CD5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unhideWhenUsed/>
    <w:qFormat/>
    <w:uiPriority w:val="99"/>
    <w:pPr>
      <w:jc w:val="left"/>
    </w:pPr>
  </w:style>
  <w:style w:type="paragraph" w:styleId="3">
    <w:name w:val="Balloon Text"/>
    <w:basedOn w:val="1"/>
    <w:link w:val="18"/>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rPr>
      <w:b/>
      <w:bCs/>
    </w:rPr>
  </w:style>
  <w:style w:type="table" w:styleId="8">
    <w:name w:val="Table Grid"/>
    <w:basedOn w:val="7"/>
    <w:autoRedefine/>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semiHidden/>
    <w:unhideWhenUsed/>
    <w:qFormat/>
    <w:uiPriority w:val="99"/>
    <w:rPr>
      <w:color w:val="954F72"/>
      <w:u w:val="single"/>
    </w:rPr>
  </w:style>
  <w:style w:type="character" w:styleId="11">
    <w:name w:val="Emphasis"/>
    <w:basedOn w:val="9"/>
    <w:qFormat/>
    <w:uiPriority w:val="20"/>
    <w:rPr>
      <w:i/>
    </w:rPr>
  </w:style>
  <w:style w:type="character" w:styleId="12">
    <w:name w:val="Hyperlink"/>
    <w:basedOn w:val="9"/>
    <w:autoRedefine/>
    <w:semiHidden/>
    <w:unhideWhenUsed/>
    <w:qFormat/>
    <w:uiPriority w:val="99"/>
    <w:rPr>
      <w:color w:val="0563C1"/>
      <w:u w:val="single"/>
    </w:rPr>
  </w:style>
  <w:style w:type="character" w:styleId="13">
    <w:name w:val="annotation reference"/>
    <w:basedOn w:val="9"/>
    <w:autoRedefine/>
    <w:semiHidden/>
    <w:unhideWhenUsed/>
    <w:qFormat/>
    <w:uiPriority w:val="99"/>
    <w:rPr>
      <w:sz w:val="21"/>
      <w:szCs w:val="21"/>
    </w:rPr>
  </w:style>
  <w:style w:type="character" w:customStyle="1" w:styleId="14">
    <w:name w:val="页眉 字符"/>
    <w:basedOn w:val="9"/>
    <w:link w:val="5"/>
    <w:autoRedefine/>
    <w:qFormat/>
    <w:uiPriority w:val="99"/>
    <w:rPr>
      <w:rFonts w:ascii="Times New Roman" w:hAnsi="Times New Roman" w:eastAsia="宋体" w:cs="Times New Roman"/>
      <w:sz w:val="18"/>
      <w:szCs w:val="18"/>
    </w:rPr>
  </w:style>
  <w:style w:type="character" w:customStyle="1" w:styleId="15">
    <w:name w:val="页脚 字符"/>
    <w:basedOn w:val="9"/>
    <w:link w:val="4"/>
    <w:autoRedefine/>
    <w:qFormat/>
    <w:uiPriority w:val="99"/>
    <w:rPr>
      <w:rFonts w:ascii="Times New Roman" w:hAnsi="Times New Roman" w:eastAsia="宋体" w:cs="Times New Roman"/>
      <w:sz w:val="18"/>
      <w:szCs w:val="18"/>
    </w:rPr>
  </w:style>
  <w:style w:type="character" w:customStyle="1" w:styleId="16">
    <w:name w:val="批注文字 字符"/>
    <w:basedOn w:val="9"/>
    <w:link w:val="2"/>
    <w:autoRedefine/>
    <w:qFormat/>
    <w:uiPriority w:val="99"/>
    <w:rPr>
      <w:rFonts w:ascii="Times New Roman" w:hAnsi="Times New Roman" w:eastAsia="宋体" w:cs="Times New Roman"/>
      <w:szCs w:val="24"/>
    </w:rPr>
  </w:style>
  <w:style w:type="character" w:customStyle="1" w:styleId="17">
    <w:name w:val="批注主题 字符"/>
    <w:basedOn w:val="16"/>
    <w:link w:val="6"/>
    <w:autoRedefine/>
    <w:semiHidden/>
    <w:qFormat/>
    <w:uiPriority w:val="99"/>
    <w:rPr>
      <w:rFonts w:ascii="Times New Roman" w:hAnsi="Times New Roman" w:eastAsia="宋体" w:cs="Times New Roman"/>
      <w:b/>
      <w:bCs/>
      <w:szCs w:val="24"/>
    </w:r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
    <w:name w:val="font5"/>
    <w:basedOn w:val="1"/>
    <w:autoRedefine/>
    <w:qFormat/>
    <w:uiPriority w:val="0"/>
    <w:pPr>
      <w:widowControl/>
      <w:spacing w:before="100" w:beforeAutospacing="1" w:after="100" w:afterAutospacing="1"/>
      <w:jc w:val="left"/>
    </w:pPr>
    <w:rPr>
      <w:rFonts w:ascii="楷体" w:hAnsi="楷体" w:eastAsia="楷体" w:cs="宋体"/>
      <w:kern w:val="0"/>
      <w:sz w:val="18"/>
      <w:szCs w:val="18"/>
    </w:rPr>
  </w:style>
  <w:style w:type="paragraph" w:customStyle="1" w:styleId="22">
    <w:name w:val="font6"/>
    <w:basedOn w:val="1"/>
    <w:autoRedefine/>
    <w:qFormat/>
    <w:uiPriority w:val="0"/>
    <w:pPr>
      <w:widowControl/>
      <w:spacing w:before="100" w:beforeAutospacing="1" w:after="100" w:afterAutospacing="1"/>
      <w:jc w:val="left"/>
    </w:pPr>
    <w:rPr>
      <w:rFonts w:ascii="楷体" w:hAnsi="楷体" w:eastAsia="楷体" w:cs="宋体"/>
      <w:b/>
      <w:bCs/>
      <w:color w:val="000000"/>
      <w:kern w:val="0"/>
      <w:sz w:val="28"/>
      <w:szCs w:val="28"/>
    </w:rPr>
  </w:style>
  <w:style w:type="paragraph" w:customStyle="1" w:styleId="23">
    <w:name w:val="xl63"/>
    <w:basedOn w:val="1"/>
    <w:autoRedefine/>
    <w:qFormat/>
    <w:uiPriority w:val="0"/>
    <w:pPr>
      <w:widowControl/>
      <w:spacing w:before="100" w:beforeAutospacing="1" w:after="100" w:afterAutospacing="1"/>
      <w:jc w:val="center"/>
    </w:pPr>
    <w:rPr>
      <w:kern w:val="0"/>
      <w:sz w:val="24"/>
    </w:rPr>
  </w:style>
  <w:style w:type="paragraph" w:customStyle="1" w:styleId="24">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5">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26">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2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70"/>
    <w:basedOn w:val="1"/>
    <w:autoRedefine/>
    <w:qFormat/>
    <w:uiPriority w:val="0"/>
    <w:pPr>
      <w:widowControl/>
      <w:spacing w:before="100" w:beforeAutospacing="1" w:after="100" w:afterAutospacing="1"/>
      <w:jc w:val="center"/>
    </w:pPr>
    <w:rPr>
      <w:kern w:val="0"/>
      <w:sz w:val="24"/>
    </w:rPr>
  </w:style>
  <w:style w:type="paragraph" w:customStyle="1" w:styleId="31">
    <w:name w:val="xl71"/>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2">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42F5-A57E-49E0-AFCE-2CC95AD6668F}">
  <ds:schemaRefs/>
</ds:datastoreItem>
</file>

<file path=docProps/app.xml><?xml version="1.0" encoding="utf-8"?>
<Properties xmlns="http://schemas.openxmlformats.org/officeDocument/2006/extended-properties" xmlns:vt="http://schemas.openxmlformats.org/officeDocument/2006/docPropsVTypes">
  <Template>Normal</Template>
  <Pages>5</Pages>
  <Words>1495</Words>
  <Characters>1542</Characters>
  <Lines>24</Lines>
  <Paragraphs>6</Paragraphs>
  <TotalTime>395</TotalTime>
  <ScaleCrop>false</ScaleCrop>
  <LinksUpToDate>false</LinksUpToDate>
  <CharactersWithSpaces>1663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2025-11-07T05:44:00Z</dcterms:created>
  <dc:creator>skd004</dc:creator>
  <cp:lastModifiedBy>huangyin</cp:lastModifiedBy>
  <dcterms:modified xsi:type="dcterms:W3CDTF">2026-03-31T09:02:45Z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121D0155DA7F49678F8F6481E09021BC_13</vt:lpwstr>
  </property>
  <property fmtid="{D5CDD505-2E9C-101B-9397-08002B2CF9AE}" pid="4" name="KSOTemplateDocerSaveRecord">
    <vt:lpwstr>eyJoZGlkIjoiMjAyYzIzNDM2ZmQ0NThhMzE2OWRmODYzMWIwNWE2MmMiLCJ1c2VySWQiOiIxNjczNzY5MTMxIn0=</vt:lpwstr>
  </property>
</Properties>
</file>