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sz w:val="24"/>
          <w:szCs w:val="24"/>
        </w:rPr>
      </w:pPr>
      <w:r>
        <w:rPr>
          <w:rFonts w:ascii="Times New Roman" w:hAnsi="Times New Roman"/>
          <w:color w:val="000000"/>
          <w:sz w:val="24"/>
          <w:szCs w:val="24"/>
        </w:rPr>
        <w:t>证券简称：航天电子                                   证券代码：600</w:t>
      </w:r>
      <w:r>
        <w:rPr>
          <w:rFonts w:hint="eastAsia" w:ascii="Times New Roman" w:hAnsi="Times New Roman"/>
          <w:color w:val="000000"/>
          <w:sz w:val="24"/>
          <w:szCs w:val="24"/>
        </w:rPr>
        <w:t>879</w:t>
      </w:r>
    </w:p>
    <w:p>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航天时代电子技术股份有限公司</w:t>
      </w:r>
    </w:p>
    <w:p>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pPr>
        <w:adjustRightInd w:val="0"/>
        <w:snapToGrid w:val="0"/>
        <w:jc w:val="left"/>
        <w:rPr>
          <w:rFonts w:ascii="Times New Roman" w:hAnsi="Times New Roman"/>
          <w:color w:val="000000"/>
          <w:sz w:val="24"/>
          <w:szCs w:val="24"/>
        </w:rPr>
      </w:pPr>
    </w:p>
    <w:tbl>
      <w:tblPr>
        <w:tblStyle w:val="1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254" w:type="dxa"/>
            <w:vAlign w:val="center"/>
          </w:tcPr>
          <w:p>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826" w:type="dxa"/>
            <w:vAlign w:val="center"/>
          </w:tcPr>
          <w:p>
            <w:pPr>
              <w:adjustRightInd w:val="0"/>
              <w:snapToGrid w:val="0"/>
              <w:rPr>
                <w:rFonts w:ascii="宋体" w:hAnsi="宋体" w:eastAsia="宋体" w:cs="宋体"/>
                <w:sz w:val="24"/>
                <w:szCs w:val="24"/>
              </w:rPr>
            </w:pPr>
            <w:r>
              <w:rPr>
                <w:rFonts w:hint="eastAsia" w:ascii="宋体" w:hAnsi="宋体" w:eastAsia="宋体" w:cs="宋体"/>
                <w:color w:val="000000"/>
                <w:sz w:val="24"/>
                <w:szCs w:val="24"/>
              </w:rPr>
              <w:t>□特定对象调研        □分析师会议</w:t>
            </w:r>
          </w:p>
          <w:p>
            <w:pPr>
              <w:adjustRightInd w:val="0"/>
              <w:snapToGrid w:val="0"/>
              <w:rPr>
                <w:rFonts w:ascii="宋体" w:hAnsi="宋体" w:eastAsia="宋体" w:cs="宋体"/>
                <w:sz w:val="24"/>
                <w:szCs w:val="24"/>
              </w:rPr>
            </w:pPr>
            <w:r>
              <w:rPr>
                <w:rFonts w:hint="eastAsia" w:ascii="宋体" w:hAnsi="宋体" w:eastAsia="宋体" w:cs="宋体"/>
                <w:color w:val="000000"/>
                <w:sz w:val="24"/>
                <w:szCs w:val="24"/>
              </w:rPr>
              <w:t>□媒体采访            ■业绩说明会</w:t>
            </w:r>
          </w:p>
          <w:p>
            <w:pPr>
              <w:adjustRightInd w:val="0"/>
              <w:snapToGrid w:val="0"/>
              <w:rPr>
                <w:rFonts w:ascii="宋体" w:hAnsi="宋体" w:eastAsia="宋体" w:cs="宋体"/>
                <w:sz w:val="24"/>
                <w:szCs w:val="24"/>
              </w:rPr>
            </w:pPr>
            <w:r>
              <w:rPr>
                <w:rFonts w:hint="eastAsia" w:ascii="宋体" w:hAnsi="宋体" w:eastAsia="宋体" w:cs="宋体"/>
                <w:color w:val="000000"/>
                <w:sz w:val="24"/>
                <w:szCs w:val="24"/>
              </w:rPr>
              <w:t>□新闻发布会          □路演活动</w:t>
            </w:r>
          </w:p>
          <w:p>
            <w:pPr>
              <w:adjustRightInd w:val="0"/>
              <w:snapToGrid w:val="0"/>
              <w:rPr>
                <w:rFonts w:ascii="宋体" w:hAnsi="宋体" w:eastAsia="宋体" w:cs="宋体"/>
                <w:sz w:val="24"/>
                <w:szCs w:val="24"/>
              </w:rPr>
            </w:pPr>
            <w:r>
              <w:rPr>
                <w:rFonts w:hint="eastAsia" w:ascii="宋体" w:hAnsi="宋体" w:eastAsia="宋体" w:cs="宋体"/>
                <w:color w:val="000000"/>
                <w:sz w:val="24"/>
                <w:szCs w:val="24"/>
              </w:rPr>
              <w:t>□现场参观            □一对一沟通</w:t>
            </w:r>
          </w:p>
          <w:p>
            <w:pPr>
              <w:adjustRightInd w:val="0"/>
              <w:snapToGrid w:val="0"/>
              <w:rPr>
                <w:rFonts w:ascii="宋体" w:hAnsi="宋体" w:eastAsia="宋体" w:cs="宋体"/>
                <w:sz w:val="24"/>
                <w:szCs w:val="24"/>
              </w:rPr>
            </w:pPr>
            <w:r>
              <w:rPr>
                <w:rFonts w:hint="eastAsia" w:ascii="宋体" w:hAnsi="宋体" w:eastAsia="宋体" w:cs="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54" w:type="dxa"/>
            <w:vAlign w:val="center"/>
          </w:tcPr>
          <w:p>
            <w:pPr>
              <w:adjustRightInd w:val="0"/>
              <w:snapToGrid w:val="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活动主题</w:t>
            </w:r>
          </w:p>
        </w:tc>
        <w:tc>
          <w:tcPr>
            <w:tcW w:w="7826" w:type="dxa"/>
            <w:vAlign w:val="center"/>
          </w:tcPr>
          <w:p>
            <w:pPr>
              <w:pStyle w:val="8"/>
              <w:keepNext w:val="0"/>
              <w:keepLines w:val="0"/>
              <w:widowControl/>
              <w:suppressLineNumbers w:val="0"/>
              <w:spacing w:before="0" w:beforeAutospacing="0" w:after="0" w:afterAutospacing="0"/>
              <w:ind w:left="0" w:right="0" w:firstLine="0"/>
              <w:rPr>
                <w:rFonts w:hint="eastAsia" w:ascii="宋体" w:hAnsi="宋体" w:eastAsia="宋体" w:cs="宋体"/>
                <w:b/>
                <w:bCs w:val="0"/>
                <w:iCs/>
                <w:color w:val="000000"/>
                <w:sz w:val="24"/>
                <w:highlight w:val="none"/>
                <w:lang w:val="en-GB"/>
              </w:rPr>
            </w:pPr>
            <w:r>
              <w:rPr>
                <w:rFonts w:hint="eastAsia" w:ascii="宋体" w:hAnsi="宋体" w:eastAsia="宋体" w:cs="宋体"/>
                <w:b/>
                <w:bCs w:val="0"/>
                <w:iCs/>
                <w:color w:val="000000"/>
                <w:sz w:val="24"/>
                <w:highlight w:val="none"/>
                <w:lang w:val="en-GB"/>
              </w:rPr>
              <w:t>航天电子</w:t>
            </w:r>
            <w:r>
              <w:rPr>
                <w:rFonts w:hint="eastAsia" w:ascii="宋体" w:hAnsi="宋体" w:eastAsia="宋体" w:cs="宋体"/>
                <w:b/>
                <w:bCs w:val="0"/>
                <w:iCs/>
                <w:color w:val="000000"/>
                <w:sz w:val="24"/>
                <w:highlight w:val="none"/>
                <w:lang w:val="en-GB" w:eastAsia="zh-CN"/>
              </w:rPr>
              <w:t>公司</w:t>
            </w:r>
            <w:r>
              <w:rPr>
                <w:rFonts w:hint="eastAsia" w:ascii="宋体" w:hAnsi="宋体" w:eastAsia="宋体" w:cs="宋体"/>
                <w:b/>
                <w:bCs w:val="0"/>
                <w:iCs/>
                <w:color w:val="000000"/>
                <w:sz w:val="24"/>
                <w:highlight w:val="none"/>
                <w:lang w:val="en-GB"/>
              </w:rPr>
              <w:t>2025年</w:t>
            </w:r>
            <w:r>
              <w:rPr>
                <w:rFonts w:hint="eastAsia" w:ascii="宋体" w:hAnsi="宋体" w:eastAsia="宋体" w:cs="宋体"/>
                <w:b/>
                <w:bCs w:val="0"/>
                <w:iCs/>
                <w:color w:val="000000"/>
                <w:sz w:val="24"/>
                <w:highlight w:val="none"/>
                <w:lang w:val="en-GB" w:eastAsia="zh-CN"/>
              </w:rPr>
              <w:t>年度</w:t>
            </w:r>
            <w:r>
              <w:rPr>
                <w:rFonts w:hint="eastAsia" w:ascii="宋体" w:hAnsi="宋体" w:eastAsia="宋体" w:cs="宋体"/>
                <w:b/>
                <w:bCs w:val="0"/>
                <w:iCs/>
                <w:color w:val="000000"/>
                <w:sz w:val="24"/>
                <w:highlight w:val="none"/>
                <w:lang w:val="en-GB"/>
              </w:rPr>
              <w:t>业绩暨现金分红说明会</w:t>
            </w:r>
          </w:p>
          <w:p>
            <w:pPr>
              <w:tabs>
                <w:tab w:val="left" w:pos="4899"/>
              </w:tabs>
              <w:adjustRightInd w:val="0"/>
              <w:snapToGrid w:val="0"/>
              <w:rPr>
                <w:rFonts w:hint="eastAsia" w:ascii="宋体" w:hAnsi="宋体" w:eastAsia="宋体" w:cs="宋体"/>
                <w:color w:val="000000"/>
                <w:sz w:val="24"/>
                <w:szCs w:val="24"/>
                <w:lang w:eastAsia="zh-CN"/>
              </w:rPr>
            </w:pPr>
            <w:r>
              <w:rPr>
                <w:rFonts w:hint="eastAsia" w:ascii="宋体" w:hAnsi="宋体" w:eastAsia="宋体" w:cs="宋体"/>
                <w:b/>
                <w:bCs w:val="0"/>
                <w:iCs/>
                <w:color w:val="000000"/>
                <w:sz w:val="24"/>
                <w:highlight w:val="none"/>
                <w:lang w:val="en-GB"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54" w:type="dxa"/>
            <w:vAlign w:val="center"/>
          </w:tcPr>
          <w:p>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时间及方式</w:t>
            </w:r>
          </w:p>
        </w:tc>
        <w:tc>
          <w:tcPr>
            <w:tcW w:w="7826"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2026年4月2日(星期四) 下午 14:00-15:00</w:t>
            </w:r>
          </w:p>
          <w:p>
            <w:pPr>
              <w:adjustRightInd w:val="0"/>
              <w:spacing w:line="360" w:lineRule="auto"/>
              <w:rPr>
                <w:rFonts w:ascii="宋体" w:hAnsi="宋体" w:eastAsia="宋体" w:cs="宋体"/>
                <w:sz w:val="24"/>
                <w:szCs w:val="24"/>
              </w:rPr>
            </w:pPr>
            <w:r>
              <w:rPr>
                <w:rFonts w:hint="eastAsia" w:ascii="宋体" w:hAnsi="宋体" w:eastAsia="宋体" w:cs="宋体"/>
                <w:sz w:val="24"/>
                <w:szCs w:val="24"/>
              </w:rPr>
              <w:t>网络文字互动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254" w:type="dxa"/>
            <w:vAlign w:val="center"/>
          </w:tcPr>
          <w:p>
            <w:pPr>
              <w:adjustRightInd w:val="0"/>
              <w:snapToGrid w:val="0"/>
              <w:rPr>
                <w:rFonts w:ascii="宋体" w:hAnsi="宋体" w:eastAsia="宋体" w:cs="宋体"/>
                <w:b/>
                <w:sz w:val="24"/>
                <w:szCs w:val="24"/>
              </w:rPr>
            </w:pPr>
            <w:r>
              <w:rPr>
                <w:rFonts w:hint="eastAsia" w:ascii="宋体" w:hAnsi="宋体" w:eastAsia="宋体" w:cs="宋体"/>
                <w:b/>
                <w:sz w:val="24"/>
                <w:szCs w:val="24"/>
              </w:rPr>
              <w:t>网络直播地址</w:t>
            </w:r>
          </w:p>
        </w:tc>
        <w:tc>
          <w:tcPr>
            <w:tcW w:w="7826" w:type="dxa"/>
            <w:vAlign w:val="center"/>
          </w:tcPr>
          <w:p>
            <w:pPr>
              <w:adjustRightInd w:val="0"/>
              <w:spacing w:line="360" w:lineRule="auto"/>
              <w:rPr>
                <w:rFonts w:ascii="宋体" w:hAnsi="宋体" w:eastAsia="宋体" w:cs="宋体"/>
                <w:sz w:val="24"/>
                <w:szCs w:val="24"/>
              </w:rPr>
            </w:pPr>
            <w:r>
              <w:rPr>
                <w:rFonts w:hint="eastAsia" w:ascii="宋体" w:hAnsi="宋体" w:eastAsia="宋体" w:cs="宋体"/>
                <w:sz w:val="24"/>
                <w:szCs w:val="24"/>
              </w:rPr>
              <w:t>上海证券交易所上证路演中心</w:t>
            </w:r>
          </w:p>
          <w:p>
            <w:pPr>
              <w:adjustRightInd w:val="0"/>
              <w:spacing w:line="360" w:lineRule="auto"/>
              <w:rPr>
                <w:rFonts w:ascii="宋体" w:hAnsi="宋体" w:eastAsia="宋体" w:cs="宋体"/>
                <w:sz w:val="24"/>
                <w:szCs w:val="24"/>
              </w:rPr>
            </w:pPr>
            <w:r>
              <w:rPr>
                <w:rFonts w:hint="eastAsia" w:ascii="宋体" w:hAnsi="宋体" w:eastAsia="宋体" w:cs="宋体"/>
                <w:sz w:val="24"/>
                <w:szCs w:val="24"/>
              </w:rPr>
              <w:t>（网址：https://roadshow.sseinfo.com/）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826"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公司董事长 姜梁先生</w:t>
            </w:r>
          </w:p>
          <w:p>
            <w:pPr>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公司独立董事 </w:t>
            </w:r>
            <w:r>
              <w:rPr>
                <w:rFonts w:hint="eastAsia" w:ascii="宋体" w:hAnsi="宋体" w:eastAsia="宋体" w:cs="宋体"/>
                <w:sz w:val="24"/>
                <w:szCs w:val="24"/>
                <w:lang w:eastAsia="zh-CN"/>
              </w:rPr>
              <w:t>胡文华女士</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公司总裁 胡成刚先生</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公司副总裁兼董事会秘书 吕凡先生</w:t>
            </w:r>
          </w:p>
          <w:p>
            <w:pPr>
              <w:adjustRightInd w:val="0"/>
              <w:spacing w:line="360" w:lineRule="auto"/>
              <w:rPr>
                <w:rFonts w:ascii="宋体" w:hAnsi="宋体" w:eastAsia="宋体" w:cs="宋体"/>
                <w:sz w:val="24"/>
                <w:szCs w:val="24"/>
              </w:rPr>
            </w:pPr>
            <w:r>
              <w:rPr>
                <w:rFonts w:hint="eastAsia" w:ascii="宋体" w:hAnsi="宋体" w:eastAsia="宋体" w:cs="宋体"/>
                <w:sz w:val="24"/>
                <w:szCs w:val="24"/>
              </w:rPr>
              <w:t>公司副总裁兼财务总监 徐洪锁先生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826" w:type="dxa"/>
          </w:tcPr>
          <w:p>
            <w:pPr>
              <w:ind w:firstLine="420" w:firstLineChars="200"/>
              <w:rPr>
                <w:rFonts w:hint="eastAsia" w:ascii="Calibri" w:hAnsi="Calibri" w:eastAsia="宋体"/>
                <w:color w:val="auto"/>
                <w:sz w:val="21"/>
                <w:szCs w:val="21"/>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Calibri" w:hAnsi="Calibri" w:eastAsia="宋体"/>
                <w:color w:val="auto"/>
                <w:sz w:val="24"/>
                <w:szCs w:val="24"/>
              </w:rPr>
            </w:pPr>
            <w:r>
              <w:rPr>
                <w:rFonts w:hint="eastAsia" w:ascii="Calibri" w:hAnsi="Calibri" w:eastAsia="宋体"/>
                <w:color w:val="auto"/>
                <w:sz w:val="24"/>
                <w:szCs w:val="24"/>
              </w:rPr>
              <w:t>在本次召开的公司202</w:t>
            </w:r>
            <w:r>
              <w:rPr>
                <w:rFonts w:hint="eastAsia" w:ascii="Calibri" w:hAnsi="Calibri" w:eastAsia="宋体"/>
                <w:color w:val="auto"/>
                <w:sz w:val="24"/>
                <w:szCs w:val="24"/>
                <w:lang w:val="en-US" w:eastAsia="zh-CN"/>
              </w:rPr>
              <w:t>5</w:t>
            </w:r>
            <w:r>
              <w:rPr>
                <w:rFonts w:hint="eastAsia" w:ascii="Calibri" w:hAnsi="Calibri" w:eastAsia="宋体"/>
                <w:color w:val="auto"/>
                <w:sz w:val="24"/>
                <w:szCs w:val="24"/>
                <w:lang w:eastAsia="zh-CN"/>
              </w:rPr>
              <w:t>年年度业绩</w:t>
            </w:r>
            <w:r>
              <w:rPr>
                <w:rFonts w:hint="eastAsia" w:ascii="Calibri" w:hAnsi="Calibri" w:eastAsia="宋体"/>
                <w:color w:val="auto"/>
                <w:sz w:val="24"/>
                <w:szCs w:val="24"/>
              </w:rPr>
              <w:t>暨现金分红说明会上，公司就投资者关心的问题给予了答复，并对相关问题进行了梳理，相关问题及答复如下：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1</w:t>
            </w:r>
            <w:r>
              <w:rPr>
                <w:rFonts w:hint="default" w:ascii="宋体"/>
                <w:sz w:val="24"/>
                <w:lang w:val="en-US"/>
              </w:rPr>
              <w:t>、2025年扣非净利润下滑5.31%，2026年具体经营目标是什么？公司净资产收益率（ROE）长期偏低，今年有何实质性改善措施？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olor w:val="auto"/>
                <w:sz w:val="24"/>
                <w:szCs w:val="24"/>
              </w:rPr>
            </w:pPr>
            <w:r>
              <w:rPr>
                <w:rFonts w:hint="default" w:ascii="宋体"/>
                <w:sz w:val="24"/>
                <w:lang w:val="en-US"/>
              </w:rPr>
              <w:t>答:感谢您对公司的关注。2026年公司将力争实现营业收入154.92亿元。公司将进一步加强存货规模控制、加速应收款项回笼，提高流动资产周转率，优化资产和负债结构，不断提升公司盈利水平。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2、公司在手订单325.11亿元创历史新高，其中GW星座相控阵天线、星间激光通信终端、中东50亿元无人系统军贸订单，2026年的交付节奏和收入确认规模分别是多少？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答:感谢您对公司的关注。2026年公司将力争实现营业收入154.92亿元。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3</w:t>
            </w:r>
            <w:r>
              <w:rPr>
                <w:rFonts w:hint="default" w:ascii="宋体"/>
                <w:sz w:val="24"/>
                <w:lang w:val="en-US"/>
              </w:rPr>
              <w:t>、公司在低空经济的基建方面，有什么优势吗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在无人系统装备领域具有深厚的技术储备和产品开发经验，无人系统覆盖行业内多个领域，具有相关主管部门核发的无人机研制生产资质，是中国航天科技集团有限公司关于航天技术应用产业重点领域打造的现代产业链链长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4</w:t>
            </w:r>
            <w:r>
              <w:rPr>
                <w:rFonts w:hint="default" w:ascii="宋体"/>
                <w:sz w:val="24"/>
                <w:lang w:val="en-US"/>
              </w:rPr>
              <w:t>、请问一下，公司对在未来三年的规划是怎样的？能细说一下吗？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十五五规划正在制定完善中，公司将紧紧围绕发展战略，继续以技术创新引领新质生产力发展，不断加强市场开拓步伐，加快航天技术应用产业发展，为公司可持续发展奠定坚实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5</w:t>
            </w:r>
            <w:r>
              <w:rPr>
                <w:rFonts w:hint="default" w:ascii="宋体"/>
                <w:sz w:val="24"/>
                <w:lang w:val="en-US"/>
              </w:rPr>
              <w:t>、您好。作为投资者，我注意到贵公司2024年未提供业绩说明会视频回放。业绩说明会有助于投资者全面了解公司经营和管理层观点，支持理性决策。缺少视频直播或回放可能使投资者信息获取不够充分与直观。请问贵公司在2025年的业绩说明会中，是否考虑采用视频直播形式并提供会后回放，以便投资者能够更加便捷、充分地获取相关信息？感谢解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答:感谢您对公司的关注。关于公司2024年举办的三次业绩说明会，均可通过上证路演中心网站查看召开情况及主要内容。本次业绩说明会结束后也可通过上证路演中心网站查看会议相关情况。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6</w:t>
            </w:r>
            <w:r>
              <w:rPr>
                <w:rFonts w:hint="default" w:ascii="宋体"/>
                <w:sz w:val="24"/>
                <w:lang w:val="en-US"/>
              </w:rPr>
              <w:t>、公司“北斗卫星应用芯片项目”已高分通过验收。请问该系列芯片主要面向哪些应用场景（如车载、手持、物联网等）？预计何时能形成规模化收入？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答:感谢您对公司的关注。该系列芯片主要应用于航天专用领域。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7</w:t>
            </w:r>
            <w:r>
              <w:rPr>
                <w:rFonts w:hint="default" w:ascii="宋体"/>
                <w:sz w:val="24"/>
                <w:lang w:val="en-US"/>
              </w:rPr>
              <w:t>、公司已完成国内首次高原数据获取。请问这项技术后续的商业化应用场景主要有哪些（如气象、环保、测绘等）？目前是否有意向客户或订单？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答:感谢您对公司的关注。公司将通过不断的技术创新提升无人系统产品的核心竞争力，为产品的市场开拓创造良好条件。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8</w:t>
            </w:r>
            <w:r>
              <w:rPr>
                <w:rFonts w:hint="default" w:ascii="宋体"/>
                <w:sz w:val="24"/>
                <w:lang w:val="en-US"/>
              </w:rPr>
              <w:t>、2025年底公司对航天火箭公司增资7.28亿元用于提升产能。请问目前产能利用率如何？2026年是否有新的扩产计划？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本次对航天火箭公司增资的7.28亿元，其中募集资金增资部分1.275亿元是公司对2017年再融资项目的后续管理，募投项目已建成并投入使用；剩余增资资金主要用于提升航天电子信息相关业务能力建设，助力航天火箭公司持续开展核心关键技术攻关，有利于支撑航天火箭公司承担航天装备高质量建设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sz w:val="24"/>
                <w:lang w:val="en-US" w:eastAsia="zh-CN"/>
              </w:rPr>
              <w:t>9</w:t>
            </w:r>
            <w:r>
              <w:rPr>
                <w:rFonts w:hint="default" w:ascii="宋体"/>
                <w:sz w:val="24"/>
                <w:lang w:val="en-US"/>
              </w:rPr>
              <w:t>、公司与控股股东的资产置换目前审批进展如何？预计何时能完成？置换完成后，对公司的财务报表（如毛利率、净利润）大概能有多大的正面影响？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答:感谢您对公司的关注。公司董事会2025年第十四次会议审议通过了资产置换暨关联交易预案，目前相关事项审批备案工作仍在进行中。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1</w:t>
            </w:r>
            <w:r>
              <w:rPr>
                <w:rFonts w:hint="eastAsia" w:ascii="宋体"/>
                <w:sz w:val="24"/>
                <w:lang w:val="en-US" w:eastAsia="zh-CN"/>
              </w:rPr>
              <w:t>0</w:t>
            </w:r>
            <w:r>
              <w:rPr>
                <w:rFonts w:hint="default" w:ascii="宋体"/>
                <w:sz w:val="24"/>
                <w:lang w:val="en-US"/>
              </w:rPr>
              <w:t>、公司作为航天科技集团无人系统产业链“链长”，2026年在低空经济领域有哪些具体的市场拓展计划？另外，公司无人系统产品的出口业务是否有新的增量？能否披露一下出口增长的大致情况？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2025年度，公司无人系统装备产品出口对产业化发展的支撑作用进一步提升，传统优势市场实现了批量增订，新兴市场实现了重点产品突破；公司注重加强国际市场投入，制定了国际市场开拓策略，在无人系统装备方面确定了以装备出口推动体系出口、以体系营销带动装备营销的工作思路，公司的国际化经营持续稳中向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1</w:t>
            </w:r>
            <w:r>
              <w:rPr>
                <w:rFonts w:hint="eastAsia" w:ascii="宋体"/>
                <w:sz w:val="24"/>
                <w:lang w:val="en-US" w:eastAsia="zh-CN"/>
              </w:rPr>
              <w:t>1</w:t>
            </w:r>
            <w:r>
              <w:rPr>
                <w:rFonts w:hint="default" w:ascii="宋体"/>
                <w:sz w:val="24"/>
                <w:lang w:val="en-US"/>
              </w:rPr>
              <w:t>、公司2025年净利润下滑58.58%，而当前估值较高。请问2026年公司在提升盈利水平方面有哪些具体举措？特别是毛利率较低的系统装备产品，是否有改善空间？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产品毛利率由产品销售价格、原材料等生产成本、人工成本、税费等多方面因素决定，公司将通过技术创新、优化生产流程等措施努力降低生产成本，力争提高产品毛利率，为公司股东创造更多价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1</w:t>
            </w:r>
            <w:r>
              <w:rPr>
                <w:rFonts w:hint="eastAsia" w:ascii="宋体"/>
                <w:sz w:val="24"/>
                <w:lang w:val="en-US" w:eastAsia="zh-CN"/>
              </w:rPr>
              <w:t>2</w:t>
            </w:r>
            <w:r>
              <w:rPr>
                <w:rFonts w:hint="default" w:ascii="宋体"/>
                <w:sz w:val="24"/>
                <w:lang w:val="en-US"/>
              </w:rPr>
              <w:t>、公司公告已实现“星间激光链路从‘建得上’到‘建得快、建得稳’的跨越”。请问这项技术目前是否已进入批量商业化应用阶段？具体来说，是否已获得“星网”或其它低轨星座的批量订单？如果有，订单规模大概是多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答:感谢您对公司的关注。公司的激光通信技术及产品，包括型谱化激光通信终端、数据分发处理机等多项卫星载荷已配套用户装备星，主要用于数据传输。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1</w:t>
            </w:r>
            <w:r>
              <w:rPr>
                <w:rFonts w:hint="eastAsia" w:ascii="宋体"/>
                <w:sz w:val="24"/>
                <w:lang w:val="en-US" w:eastAsia="zh-CN"/>
              </w:rPr>
              <w:t>3</w:t>
            </w:r>
            <w:r>
              <w:rPr>
                <w:rFonts w:hint="default" w:ascii="宋体"/>
                <w:sz w:val="24"/>
                <w:lang w:val="en-US"/>
              </w:rPr>
              <w:t>、库存顽疾怎么消化，何时什么办法解决，怎么会无厘头生产而严重影响现金流，还会继续增加库存吗。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答:感谢您对公司的关注。公司已经制定多种具体存货管控措施，加强与控股股东的协调，加快货款回笼，提高存货周转率。</w:t>
            </w:r>
          </w:p>
          <w:p>
            <w:pPr>
              <w:rPr>
                <w:rFonts w:ascii="Calibri" w:hAnsi="Calibri"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pPr>
              <w:rPr>
                <w:rFonts w:ascii="Calibri" w:hAnsi="Calibri" w:eastAsia="宋体"/>
                <w:b/>
              </w:rPr>
            </w:pPr>
            <w:r>
              <w:rPr>
                <w:rFonts w:hint="eastAsia" w:ascii="Calibri" w:hAnsi="Calibri" w:eastAsia="宋体"/>
                <w:b/>
              </w:rPr>
              <w:t>是否涉及应当披露的重大信息</w:t>
            </w:r>
          </w:p>
        </w:tc>
        <w:tc>
          <w:tcPr>
            <w:tcW w:w="7826" w:type="dxa"/>
            <w:vAlign w:val="center"/>
          </w:tcPr>
          <w:p>
            <w:pPr>
              <w:spacing w:before="156" w:beforeLines="50" w:after="156" w:afterLines="50" w:line="460" w:lineRule="exact"/>
              <w:rPr>
                <w:sz w:val="24"/>
              </w:rPr>
            </w:pP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4" w:type="dxa"/>
            <w:vAlign w:val="center"/>
          </w:tcPr>
          <w:p>
            <w:pPr>
              <w:spacing w:before="156" w:beforeLines="50" w:after="156" w:afterLines="50" w:line="460" w:lineRule="exact"/>
              <w:rPr>
                <w:b/>
                <w:sz w:val="24"/>
              </w:rPr>
            </w:pPr>
            <w:r>
              <w:rPr>
                <w:b/>
                <w:sz w:val="24"/>
              </w:rPr>
              <w:t>日期</w:t>
            </w:r>
          </w:p>
        </w:tc>
        <w:tc>
          <w:tcPr>
            <w:tcW w:w="7826" w:type="dxa"/>
            <w:vAlign w:val="center"/>
          </w:tcPr>
          <w:p>
            <w:pPr>
              <w:spacing w:before="156" w:beforeLines="50" w:after="156" w:afterLines="50" w:line="460" w:lineRule="exact"/>
              <w:rPr>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2</w:t>
            </w:r>
            <w:r>
              <w:rPr>
                <w:rFonts w:hint="eastAsia"/>
                <w:sz w:val="24"/>
              </w:rPr>
              <w:t>日</w:t>
            </w:r>
          </w:p>
        </w:tc>
      </w:tr>
    </w:tbl>
    <w:p>
      <w:pPr>
        <w:adjustRightInd w:val="0"/>
        <w:snapToGrid w:val="0"/>
        <w:rPr>
          <w:rFonts w:ascii="Times New Roman" w:hAnsi="Times New Roman"/>
          <w:sz w:val="24"/>
          <w:szCs w:val="2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mRiY2NiNTk4MWVhYjliOGM3NzI2N2YyN2M1MWE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49D1A19"/>
    <w:rsid w:val="15A672CA"/>
    <w:rsid w:val="15F13222"/>
    <w:rsid w:val="16B67AEE"/>
    <w:rsid w:val="17FD7FE9"/>
    <w:rsid w:val="19A0199F"/>
    <w:rsid w:val="1B1E474A"/>
    <w:rsid w:val="1F63358C"/>
    <w:rsid w:val="22410435"/>
    <w:rsid w:val="24494978"/>
    <w:rsid w:val="25076767"/>
    <w:rsid w:val="26F105A2"/>
    <w:rsid w:val="28C32437"/>
    <w:rsid w:val="29C66235"/>
    <w:rsid w:val="2A6F547B"/>
    <w:rsid w:val="2AB80397"/>
    <w:rsid w:val="2D715722"/>
    <w:rsid w:val="2FA7A189"/>
    <w:rsid w:val="303D0F3F"/>
    <w:rsid w:val="31155BCB"/>
    <w:rsid w:val="334051FF"/>
    <w:rsid w:val="350B4052"/>
    <w:rsid w:val="35B66226"/>
    <w:rsid w:val="384D2BD3"/>
    <w:rsid w:val="391D73FB"/>
    <w:rsid w:val="3BB77311"/>
    <w:rsid w:val="408F1FDB"/>
    <w:rsid w:val="44DC072C"/>
    <w:rsid w:val="45AC7FDA"/>
    <w:rsid w:val="45E919EA"/>
    <w:rsid w:val="47746CE4"/>
    <w:rsid w:val="48A35EC6"/>
    <w:rsid w:val="48B6749F"/>
    <w:rsid w:val="4C6E058C"/>
    <w:rsid w:val="4F4354D1"/>
    <w:rsid w:val="501778F7"/>
    <w:rsid w:val="50416722"/>
    <w:rsid w:val="55644EB5"/>
    <w:rsid w:val="57FBA301"/>
    <w:rsid w:val="59C0182F"/>
    <w:rsid w:val="5A971D60"/>
    <w:rsid w:val="5C163158"/>
    <w:rsid w:val="5F39623B"/>
    <w:rsid w:val="5F6937D8"/>
    <w:rsid w:val="60A72B63"/>
    <w:rsid w:val="618025DD"/>
    <w:rsid w:val="63EE6427"/>
    <w:rsid w:val="668F6351"/>
    <w:rsid w:val="66BC55BB"/>
    <w:rsid w:val="69074555"/>
    <w:rsid w:val="6B9D3818"/>
    <w:rsid w:val="71201A4E"/>
    <w:rsid w:val="74CC23E3"/>
    <w:rsid w:val="7616356C"/>
    <w:rsid w:val="7A540C7C"/>
    <w:rsid w:val="7A657844"/>
    <w:rsid w:val="7AEE2482"/>
    <w:rsid w:val="7B3E1BCD"/>
    <w:rsid w:val="7B7F61CD"/>
    <w:rsid w:val="7CA64F33"/>
    <w:rsid w:val="7D5A5910"/>
    <w:rsid w:val="BFBFB8F9"/>
    <w:rsid w:val="F765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alloon Text"/>
    <w:basedOn w:val="1"/>
    <w:link w:val="30"/>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2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xmx公告标题"/>
    <w:basedOn w:val="2"/>
    <w:link w:val="15"/>
    <w:qFormat/>
    <w:uiPriority w:val="0"/>
    <w:pPr>
      <w:spacing w:beforeLines="50" w:after="0" w:line="240" w:lineRule="auto"/>
      <w:ind w:left="100" w:leftChars="100" w:right="100" w:rightChars="100"/>
      <w:jc w:val="center"/>
    </w:pPr>
    <w:rPr>
      <w:rFonts w:eastAsia="黑体"/>
      <w:b w:val="0"/>
      <w:sz w:val="36"/>
    </w:rPr>
  </w:style>
  <w:style w:type="character" w:customStyle="1" w:styleId="15">
    <w:name w:val="xmx公告标题 Char"/>
    <w:basedOn w:val="16"/>
    <w:link w:val="14"/>
    <w:qFormat/>
    <w:uiPriority w:val="0"/>
    <w:rPr>
      <w:rFonts w:eastAsia="黑体"/>
      <w:b w:val="0"/>
      <w:kern w:val="44"/>
      <w:sz w:val="36"/>
      <w:szCs w:val="44"/>
    </w:rPr>
  </w:style>
  <w:style w:type="character" w:customStyle="1" w:styleId="16">
    <w:name w:val="标题 1 Char"/>
    <w:basedOn w:val="12"/>
    <w:link w:val="2"/>
    <w:qFormat/>
    <w:uiPriority w:val="9"/>
    <w:rPr>
      <w:b/>
      <w:bCs/>
      <w:kern w:val="44"/>
      <w:sz w:val="44"/>
      <w:szCs w:val="44"/>
    </w:rPr>
  </w:style>
  <w:style w:type="paragraph" w:customStyle="1" w:styleId="17">
    <w:name w:val="公告标题"/>
    <w:link w:val="18"/>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8">
    <w:name w:val="公告标题 Char"/>
    <w:basedOn w:val="12"/>
    <w:link w:val="17"/>
    <w:qFormat/>
    <w:uiPriority w:val="0"/>
    <w:rPr>
      <w:rFonts w:eastAsia="黑体"/>
      <w:bCs/>
      <w:color w:val="FF0000"/>
      <w:kern w:val="44"/>
      <w:sz w:val="36"/>
      <w:szCs w:val="44"/>
    </w:rPr>
  </w:style>
  <w:style w:type="paragraph" w:customStyle="1" w:styleId="19">
    <w:name w:val="公告承诺"/>
    <w:basedOn w:val="1"/>
    <w:link w:val="20"/>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20">
    <w:name w:val="公告承诺 Char"/>
    <w:basedOn w:val="12"/>
    <w:link w:val="19"/>
    <w:qFormat/>
    <w:uiPriority w:val="0"/>
    <w:rPr>
      <w:rFonts w:ascii="Times New Roman" w:hAnsi="Times New Roman" w:cs="Times New Roman"/>
      <w:b/>
      <w:sz w:val="24"/>
      <w:szCs w:val="24"/>
    </w:rPr>
  </w:style>
  <w:style w:type="paragraph" w:customStyle="1" w:styleId="21">
    <w:name w:val="公告正文"/>
    <w:basedOn w:val="1"/>
    <w:link w:val="22"/>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2">
    <w:name w:val="公告正文 Char"/>
    <w:basedOn w:val="12"/>
    <w:link w:val="21"/>
    <w:qFormat/>
    <w:uiPriority w:val="0"/>
    <w:rPr>
      <w:rFonts w:ascii="Times New Roman" w:hAnsi="Times New Roman" w:cs="Times New Roman"/>
      <w:sz w:val="24"/>
      <w:szCs w:val="24"/>
    </w:rPr>
  </w:style>
  <w:style w:type="paragraph" w:customStyle="1" w:styleId="23">
    <w:name w:val="xmx正文正文"/>
    <w:basedOn w:val="1"/>
    <w:link w:val="24"/>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14:textFill>
        <w14:solidFill>
          <w14:schemeClr w14:val="tx1"/>
        </w14:solidFill>
      </w14:textFill>
    </w:rPr>
  </w:style>
  <w:style w:type="character" w:customStyle="1" w:styleId="24">
    <w:name w:val="xmx正文正文 Char"/>
    <w:basedOn w:val="12"/>
    <w:link w:val="23"/>
    <w:qFormat/>
    <w:uiPriority w:val="0"/>
    <w:rPr>
      <w:rFonts w:ascii="Times New Roman" w:hAnsi="Times New Roman"/>
      <w:bCs/>
      <w:color w:val="000000" w:themeColor="text1"/>
      <w:sz w:val="24"/>
      <w:szCs w:val="24"/>
      <w14:textFill>
        <w14:solidFill>
          <w14:schemeClr w14:val="tx1"/>
        </w14:solidFill>
      </w14:textFill>
    </w:rPr>
  </w:style>
  <w:style w:type="character" w:customStyle="1" w:styleId="25">
    <w:name w:val="页眉 Char"/>
    <w:basedOn w:val="12"/>
    <w:link w:val="6"/>
    <w:qFormat/>
    <w:uiPriority w:val="99"/>
    <w:rPr>
      <w:sz w:val="18"/>
      <w:szCs w:val="18"/>
    </w:rPr>
  </w:style>
  <w:style w:type="character" w:customStyle="1" w:styleId="26">
    <w:name w:val="页脚 Char"/>
    <w:basedOn w:val="12"/>
    <w:link w:val="5"/>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Char"/>
    <w:basedOn w:val="12"/>
    <w:link w:val="3"/>
    <w:semiHidden/>
    <w:qFormat/>
    <w:uiPriority w:val="99"/>
    <w:rPr>
      <w:rFonts w:asciiTheme="minorHAnsi" w:hAnsiTheme="minorHAnsi" w:eastAsiaTheme="minorEastAsia"/>
      <w:kern w:val="2"/>
      <w:sz w:val="21"/>
      <w:szCs w:val="22"/>
    </w:rPr>
  </w:style>
  <w:style w:type="character" w:customStyle="1" w:styleId="29">
    <w:name w:val="批注主题 Char"/>
    <w:basedOn w:val="28"/>
    <w:link w:val="9"/>
    <w:semiHidden/>
    <w:qFormat/>
    <w:uiPriority w:val="99"/>
    <w:rPr>
      <w:rFonts w:asciiTheme="minorHAnsi" w:hAnsiTheme="minorHAnsi" w:eastAsiaTheme="minorEastAsia"/>
      <w:b/>
      <w:bCs/>
      <w:kern w:val="2"/>
      <w:sz w:val="21"/>
      <w:szCs w:val="22"/>
    </w:rPr>
  </w:style>
  <w:style w:type="character" w:customStyle="1" w:styleId="30">
    <w:name w:val="批注框文本 Char"/>
    <w:basedOn w:val="12"/>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zgwx</Company>
  <Pages>9</Pages>
  <Words>1611</Words>
  <Characters>1709</Characters>
  <Lines>25</Lines>
  <Paragraphs>7</Paragraphs>
  <TotalTime>1</TotalTime>
  <ScaleCrop>false</ScaleCrop>
  <LinksUpToDate>false</LinksUpToDate>
  <CharactersWithSpaces>1793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2024-09-06T09:42:00Z</dcterms:created>
  <dc:creator>00</dc:creator>
  <cp:lastModifiedBy>zhengquan</cp:lastModifiedBy>
  <cp:lastPrinted>2026-04-03T13:33:41Z</cp:lastPrinted>
  <dcterms:modified xsi:type="dcterms:W3CDTF">2026-04-03T17:13:47Z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147AFECB712BE8EFFB3FCF690C670097</vt:lpwstr>
  </property>
  <property fmtid="{D5CDD505-2E9C-101B-9397-08002B2CF9AE}" pid="4" name="KSOTemplateDocerSaveRecord">
    <vt:lpwstr>eyJoZGlkIjoiYjMwNmRiY2NiNTk4MWVhYjliOGM3NzI2N2YyN2M1MWEiLCJ1c2VySWQiOiIzNTQ3MzA1MzgifQ==</vt:lpwstr>
  </property>
</Properties>
</file>