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2FAE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公司代码：688160                                    公司简称：步科股份</w:t>
      </w:r>
    </w:p>
    <w:p w14:paraId="066D0183">
      <w:pPr>
        <w:rPr>
          <w:rFonts w:hint="eastAsia" w:ascii="宋体" w:hAnsi="宋体"/>
          <w:bCs/>
          <w:sz w:val="24"/>
        </w:rPr>
      </w:pPr>
    </w:p>
    <w:p w14:paraId="6C414555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上海步科自动化股份有限公司</w:t>
      </w:r>
    </w:p>
    <w:p w14:paraId="1011A4AE"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投资者关系活动记录表</w:t>
      </w:r>
    </w:p>
    <w:p w14:paraId="52F98794">
      <w:pPr>
        <w:jc w:val="right"/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编号：2026-00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7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88"/>
      </w:tblGrid>
      <w:tr w14:paraId="6F7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76B79AA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□特定对象调研     □分析师会议</w:t>
            </w:r>
          </w:p>
          <w:p w14:paraId="6F7CAB53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□媒体采访         □业绩说明会 </w:t>
            </w:r>
          </w:p>
          <w:p w14:paraId="1CC57369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bookmarkStart w:id="0" w:name="OLE_LINK1"/>
            <w:r>
              <w:rPr>
                <w:rFonts w:ascii="宋体" w:hAnsi="宋体" w:eastAsia="宋体" w:cs="Times New Roman"/>
                <w:sz w:val="24"/>
              </w:rPr>
              <w:t>□</w:t>
            </w:r>
            <w:bookmarkEnd w:id="0"/>
            <w:r>
              <w:rPr>
                <w:rFonts w:ascii="宋体" w:hAnsi="宋体" w:eastAsia="宋体" w:cs="Times New Roman"/>
                <w:sz w:val="24"/>
              </w:rPr>
              <w:t>新闻发布会       □路演活动</w:t>
            </w:r>
          </w:p>
          <w:p w14:paraId="5DE9381E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□现场参观         □一对一沟通</w:t>
            </w:r>
          </w:p>
          <w:p w14:paraId="52E412EC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☑</w:t>
            </w:r>
            <w:r>
              <w:rPr>
                <w:rFonts w:ascii="宋体" w:hAnsi="宋体" w:eastAsia="宋体" w:cs="Times New Roman"/>
                <w:sz w:val="24"/>
              </w:rPr>
              <w:t>其他（电话会议）</w:t>
            </w:r>
          </w:p>
        </w:tc>
      </w:tr>
      <w:tr w14:paraId="6B6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1E25465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29E09161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万宏源证券；南京证券；华源证券；江海证券；中国国际金融；国投证券；长江证券；兴业证券；华福证券；信达证券；开源证券；中信证券；方正证券；东北证券；银河证券；国泰海通证券；招商证券；天风证券；国海证券；东方财富证券；广发证券；野村东方国际证券；财通证券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</w:rPr>
              <w:t>天治基金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</w:rPr>
              <w:t>乾锦豪资管；秋阳予梁投资；鸿运私募基金；中天汇富基金；前海汇杰达理资本；金仕达投资；四川发展证券；西安江岳基金；瀚伦私募基金；上海喜世润投；上海古曲私募；上海嘉世私募；上海博笃投资；北京益安资本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</w:rPr>
              <w:t>HSZ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Group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</w:rPr>
              <w:t>平安银行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</w:rPr>
              <w:t>华能信托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</w:rPr>
              <w:t>泽恩投资</w:t>
            </w:r>
          </w:p>
        </w:tc>
      </w:tr>
      <w:tr w14:paraId="089B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34" w:type="dxa"/>
            <w:vAlign w:val="center"/>
          </w:tcPr>
          <w:p w14:paraId="66A3FC76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6088" w:type="dxa"/>
            <w:vAlign w:val="center"/>
          </w:tcPr>
          <w:p w14:paraId="362AEBA6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3日 10:00</w:t>
            </w:r>
          </w:p>
        </w:tc>
      </w:tr>
      <w:tr w14:paraId="05E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10EAF300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地点</w:t>
            </w:r>
          </w:p>
        </w:tc>
        <w:tc>
          <w:tcPr>
            <w:tcW w:w="6088" w:type="dxa"/>
          </w:tcPr>
          <w:p w14:paraId="161CE62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进门财经线上平台</w:t>
            </w:r>
          </w:p>
        </w:tc>
      </w:tr>
      <w:tr w14:paraId="0BB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D2311CF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11E7D642"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董事长兼总经理 唐咚</w:t>
            </w:r>
          </w:p>
          <w:p w14:paraId="7F934F93">
            <w:pPr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副总经理兼财务总监 王石泉</w:t>
            </w:r>
          </w:p>
          <w:p w14:paraId="5A5EB8FB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董事会秘书 刘耘</w:t>
            </w:r>
          </w:p>
          <w:p w14:paraId="5D4014E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证券事务代表 邵凯真</w:t>
            </w:r>
          </w:p>
        </w:tc>
      </w:tr>
      <w:tr w14:paraId="39EC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38AF47D2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0D91DB9B">
            <w:pPr>
              <w:spacing w:before="0" w:beforeLines="-2147483648" w:line="24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1、2025年四季度毛利率同环比均显著提升，主要原因是什么？</w:t>
            </w:r>
          </w:p>
          <w:p w14:paraId="45ED8A55">
            <w:pPr>
              <w:spacing w:before="0" w:beforeLines="-2147483648" w:line="240" w:lineRule="auto"/>
              <w:ind w:firstLine="48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val="en-US" w:eastAsia="zh-CN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2025</w:t>
            </w:r>
            <w:r>
              <w:rPr>
                <w:rFonts w:ascii="宋体" w:hAnsi="宋体" w:eastAsia="宋体" w:cs="宋体"/>
                <w:sz w:val="24"/>
                <w:szCs w:val="24"/>
              </w:rPr>
              <w:t>年整体毛利率较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2024</w:t>
            </w:r>
            <w:r>
              <w:rPr>
                <w:rFonts w:ascii="宋体" w:hAnsi="宋体" w:eastAsia="宋体" w:cs="宋体"/>
                <w:sz w:val="24"/>
                <w:szCs w:val="24"/>
              </w:rPr>
              <w:t>年略有提高，各产品系列毛利率保持相对稳定。公司持续推进产品研发创新，通过高附加值新产品提升竞争力与盈利水平，同时加强内部降本增效，推动成熟产品毛利率持续优化。后续若主要原材料价格出现大幅上涨，可能对公司整体毛利率带来一定压力，公司将通过优化供应链、提升规模化生产效率等方式积极应对。</w:t>
            </w:r>
          </w:p>
          <w:p w14:paraId="11CC581B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6E345F14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、常州工厂一期已投产，后续有无新建设计划？远期的产能规划是怎样的？</w:t>
            </w:r>
          </w:p>
          <w:p w14:paraId="6339BE77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答：常州工厂一期已于2025年5月完成搬迁并投入新产线，目前拥有十余条产线。公司正加快推进二期建设，目前已进入方案设计阶段。常州智能制造生产基地整体规划产能为181万台工控产品。</w:t>
            </w:r>
          </w:p>
          <w:p w14:paraId="79A6EAE4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A92767C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、机器人业务去年增速亮眼，未来3到5年如何看待其增长速度和空间？</w:t>
            </w:r>
          </w:p>
          <w:p w14:paraId="460B5D23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答：公司长期看好机器人核心部件赛道，同时考虑其中新兴领域发展可能存在的阶段性波动，未来3-5年公司将坚持稳健增长策略。其中，工业机器人作为公司传统优势领域，预计将保持稳健增长，公司将持续巩固市场份额保持领先优势；人形机器人市场前景广阔，应用场景还在不断开拓中，存在不确定性，公司将重点围绕大客户需求，配合其从快速迭代创新到批量化规模制造的演进过程。此外，具身智能机器人有望在多场景落地，公司基于前瞻性布局进行技术储备，有信心在未来实现稳健的发展。</w:t>
            </w:r>
          </w:p>
          <w:p w14:paraId="46103775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735EC0F2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、未来在工业机器人、协作机器人或人形机器人上，是否会向集成化关节模组方向发展？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还有什么布局？</w:t>
            </w:r>
          </w:p>
          <w:p w14:paraId="7B6B73B7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答：公司长期坚持“i-Kinco”集成化技术方向创新，集成化模组不仅可应用于工业机器人、协作机器人及人形机器人等各类机器人关节场景、轮式应用场景，还将广泛适用于智能设备制造行业，包括包装机械、医疗器械、光伏设备、锂电池装备、智能物流飞箱、立体仓库等，以帮助客户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实现产品快速迭代与高效部署，同时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降低总拥有成本（TCO）。公司将以集成化技术为切入点，持续深耕机器人行业，并同步向更广泛的智能设备领域推广。</w:t>
            </w:r>
          </w:p>
          <w:p w14:paraId="5EB4B6B2">
            <w:pPr>
              <w:ind w:firstLine="0" w:firstLineChars="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5845A66D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、2025年新增客户及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客户拓展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情况如何？2026年各细分产品的增长展望或下游增长预期是什么？</w:t>
            </w:r>
          </w:p>
          <w:p w14:paraId="3880F7F4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答：2025年，公司新增客户涵盖工业机械臂、协作机器人领域的全球龙头以及国内头部人形机器人客户，部分已进入稳定量产合作阶段。在通用自动化领域，与锂电、光伏、新能源汽车等行业龙头客户建立了稳定合作关系。展望2026年，机器人行业预计仍为公司增长最快的板块；机器物联网及通用自动化板块有望</w:t>
            </w:r>
            <w:bookmarkStart w:id="1" w:name="_GoBack"/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随</w:t>
            </w:r>
            <w:bookmarkEnd w:id="1"/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新能源汽车、锂电光伏行业需求回暖及创新解决方案的推广而实现增长；海外市场方面，依托产品竞争优势与国际化布局，预计也将带来良好增量。</w:t>
            </w:r>
          </w:p>
          <w:p w14:paraId="35D77B0F">
            <w:pPr>
              <w:ind w:firstLine="0" w:firstLineChars="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56CA3281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、公司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无框力矩电机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线性执行器及灵巧手等关键部件上的研发进展和产品规划是怎样的？</w:t>
            </w:r>
          </w:p>
          <w:p w14:paraId="0F359DB9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答：公司无框力矩电机已实现线性执行器的成熟应用，并为部分客户提供定制化组装服务。公司在该领域已积累丰富经验，并形成了较为完善的技术平台。在灵巧手方向，公司正持续开展技术探索与预研工作，已与国内头部企业合作，推进整体解决方案。针对未来真实场景对抓握力、负载能力及功率密度的更高要求，公司将积极研发微型无框力矩电机方案。</w:t>
            </w:r>
          </w:p>
          <w:p w14:paraId="1C8CE24F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77DFD7F9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、公司在轴向磁通电机、氮化镓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伺服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驱动器等新技术的研发进展如何？</w:t>
            </w:r>
          </w:p>
          <w:p w14:paraId="1C57FE87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公司已成立研究院，对轴向磁通电机及氮化镓伺服驱动器等新技术开展前瞻性预研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和长期跟踪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已推出样品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进入客户试用阶段；其中，轴向磁通电机针对不同客户需求，公司同步推进铁芯型与无铁芯型两种技术路线，其中一种方案已进入客户小批量验证阶段；研发过程中已识别相关技术的未来应用前景及当前性能短板，整体上正持续加强技术布局与迭代。公司将根据客户需求和供应链成熟度适时推出成熟产品。</w:t>
            </w:r>
          </w:p>
          <w:p w14:paraId="76A585A7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42407558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8、公司对2026年及未来3到5年的战略规划和业务发展有何展望？</w:t>
            </w:r>
          </w:p>
          <w:p w14:paraId="1CE538E0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答：公司未来3-5年将继续坚持“1+N”战略，以机器人核心部件为重点，深入拓展N个细分行业应用，持续扩大销售规模。技术发展方面，公司将“i-Kinco”伺服一体机作为主线，同步服务于机器人及通用自动化领域，推动传统自动化设备向智能化方向演进。同时，公司重点推进高端HMI产品，将其打造为连接数字化场景的接口及面向AI应用的智能终端。未来公司的核心机会点集中于机器人核心部件、伺服一体机及高端HMI三大板块。</w:t>
            </w:r>
          </w:p>
          <w:p w14:paraId="7DAD92AE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在市场布局上，公司除深耕国内市场外，将加速国际化战略落地，将在德国、美国、日本设立子公司，推进本地化运营，致力于成为具备全球竞争力的国际化企业，推动业绩实现长期稳定高速增长。</w:t>
            </w:r>
          </w:p>
          <w:p w14:paraId="2F19476A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2E5910D6">
            <w:pPr>
              <w:numPr>
                <w:ilvl w:val="0"/>
                <w:numId w:val="0"/>
              </w:numPr>
              <w:ind w:left="0" w:leftChars="0" w:firstLine="480" w:firstLineChars="2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以上交流内容中涉及的公司新</w:t>
            </w:r>
            <w:r>
              <w:rPr>
                <w:rFonts w:ascii="宋体" w:hAnsi="宋体" w:eastAsia="宋体" w:cs="宋体"/>
                <w:sz w:val="24"/>
                <w:szCs w:val="24"/>
              </w:rPr>
              <w:t>技术研发及产品落地受下游需求变化、技术迭代速度、供应链稳定性等因素影响，存在研发进度不及预期、产品市场接受度未达预期的风险，短期内不会对公司经营业绩产生重大影响。公司将持续跟踪行业动态，及时履行信息披露义务，敬请投资者理性投资。</w:t>
            </w:r>
          </w:p>
        </w:tc>
      </w:tr>
      <w:tr w14:paraId="3BB8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0671F016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附件清单</w:t>
            </w:r>
          </w:p>
        </w:tc>
        <w:tc>
          <w:tcPr>
            <w:tcW w:w="6088" w:type="dxa"/>
          </w:tcPr>
          <w:p w14:paraId="70539824">
            <w:pPr>
              <w:spacing w:line="36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无</w:t>
            </w:r>
          </w:p>
        </w:tc>
      </w:tr>
      <w:tr w14:paraId="2F0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vAlign w:val="center"/>
          </w:tcPr>
          <w:p w14:paraId="2D83B64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 w14:paraId="799E9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6066"/>
    <w:rsid w:val="00123ACE"/>
    <w:rsid w:val="00164594"/>
    <w:rsid w:val="001C72AB"/>
    <w:rsid w:val="00275075"/>
    <w:rsid w:val="002C62C6"/>
    <w:rsid w:val="003427D2"/>
    <w:rsid w:val="003A400A"/>
    <w:rsid w:val="003C599F"/>
    <w:rsid w:val="004210A5"/>
    <w:rsid w:val="004F2497"/>
    <w:rsid w:val="005463F4"/>
    <w:rsid w:val="00553135"/>
    <w:rsid w:val="005D0CB2"/>
    <w:rsid w:val="005D2141"/>
    <w:rsid w:val="005E1E60"/>
    <w:rsid w:val="005E1FB4"/>
    <w:rsid w:val="0062230C"/>
    <w:rsid w:val="006951ED"/>
    <w:rsid w:val="006B6A7F"/>
    <w:rsid w:val="006F5805"/>
    <w:rsid w:val="0071740A"/>
    <w:rsid w:val="0073139C"/>
    <w:rsid w:val="00755B4F"/>
    <w:rsid w:val="007614EB"/>
    <w:rsid w:val="00774650"/>
    <w:rsid w:val="00777DF8"/>
    <w:rsid w:val="007B69ED"/>
    <w:rsid w:val="009246FE"/>
    <w:rsid w:val="009625D2"/>
    <w:rsid w:val="00982932"/>
    <w:rsid w:val="009F2C0A"/>
    <w:rsid w:val="00A03BBF"/>
    <w:rsid w:val="00A26A0A"/>
    <w:rsid w:val="00AF6561"/>
    <w:rsid w:val="00C33805"/>
    <w:rsid w:val="00D111AD"/>
    <w:rsid w:val="00D252C9"/>
    <w:rsid w:val="00D370CA"/>
    <w:rsid w:val="00D612E7"/>
    <w:rsid w:val="00E31E6F"/>
    <w:rsid w:val="00EB25F5"/>
    <w:rsid w:val="00F96E65"/>
    <w:rsid w:val="00FA6D4C"/>
    <w:rsid w:val="00FB099B"/>
    <w:rsid w:val="00FE4AA6"/>
    <w:rsid w:val="00FF7060"/>
    <w:rsid w:val="00FF7740"/>
    <w:rsid w:val="0122354B"/>
    <w:rsid w:val="024D663C"/>
    <w:rsid w:val="0384614D"/>
    <w:rsid w:val="0441634B"/>
    <w:rsid w:val="054A2F00"/>
    <w:rsid w:val="069D7E4F"/>
    <w:rsid w:val="07256B46"/>
    <w:rsid w:val="0732110A"/>
    <w:rsid w:val="0800312E"/>
    <w:rsid w:val="0B762225"/>
    <w:rsid w:val="0BC640FE"/>
    <w:rsid w:val="0DB46BF1"/>
    <w:rsid w:val="0E840219"/>
    <w:rsid w:val="1005419D"/>
    <w:rsid w:val="10620DA8"/>
    <w:rsid w:val="11381917"/>
    <w:rsid w:val="13B0499D"/>
    <w:rsid w:val="13C921B5"/>
    <w:rsid w:val="14467CEA"/>
    <w:rsid w:val="15A30211"/>
    <w:rsid w:val="15B33CFB"/>
    <w:rsid w:val="19F01D51"/>
    <w:rsid w:val="1AA027BB"/>
    <w:rsid w:val="1C2C57C5"/>
    <w:rsid w:val="1E373B07"/>
    <w:rsid w:val="1F137A73"/>
    <w:rsid w:val="1FA97357"/>
    <w:rsid w:val="1FFE715F"/>
    <w:rsid w:val="25752ABF"/>
    <w:rsid w:val="2A7523C5"/>
    <w:rsid w:val="2B3B152D"/>
    <w:rsid w:val="2C5724E3"/>
    <w:rsid w:val="2C787B09"/>
    <w:rsid w:val="2D153A12"/>
    <w:rsid w:val="2D5061EB"/>
    <w:rsid w:val="2E76524B"/>
    <w:rsid w:val="2E7E31F6"/>
    <w:rsid w:val="301D62D8"/>
    <w:rsid w:val="31D22CC8"/>
    <w:rsid w:val="32601473"/>
    <w:rsid w:val="35836053"/>
    <w:rsid w:val="35B14EE0"/>
    <w:rsid w:val="37F16A56"/>
    <w:rsid w:val="3B6049CB"/>
    <w:rsid w:val="3BAB0D94"/>
    <w:rsid w:val="3C027200"/>
    <w:rsid w:val="3DAA7FA5"/>
    <w:rsid w:val="3DFB283E"/>
    <w:rsid w:val="40721429"/>
    <w:rsid w:val="41877ED9"/>
    <w:rsid w:val="41DB46F3"/>
    <w:rsid w:val="41F71F64"/>
    <w:rsid w:val="422D5520"/>
    <w:rsid w:val="42305CE2"/>
    <w:rsid w:val="42811173"/>
    <w:rsid w:val="42F51E9D"/>
    <w:rsid w:val="450B6910"/>
    <w:rsid w:val="47F52305"/>
    <w:rsid w:val="525B6843"/>
    <w:rsid w:val="536501AB"/>
    <w:rsid w:val="54393B41"/>
    <w:rsid w:val="57FD4342"/>
    <w:rsid w:val="58F47708"/>
    <w:rsid w:val="59A9774A"/>
    <w:rsid w:val="5B1563EB"/>
    <w:rsid w:val="5B2306FD"/>
    <w:rsid w:val="5B4D4A8F"/>
    <w:rsid w:val="5CFF45E2"/>
    <w:rsid w:val="61A7566E"/>
    <w:rsid w:val="62E35390"/>
    <w:rsid w:val="641734A5"/>
    <w:rsid w:val="650F6997"/>
    <w:rsid w:val="66402C33"/>
    <w:rsid w:val="691E2D99"/>
    <w:rsid w:val="6A283301"/>
    <w:rsid w:val="6BBF14A8"/>
    <w:rsid w:val="6EED093A"/>
    <w:rsid w:val="6FFB4F5E"/>
    <w:rsid w:val="70674EDD"/>
    <w:rsid w:val="70C70003"/>
    <w:rsid w:val="729A2C47"/>
    <w:rsid w:val="74C826DD"/>
    <w:rsid w:val="76BB49BF"/>
    <w:rsid w:val="77C26066"/>
    <w:rsid w:val="78BF0B7F"/>
    <w:rsid w:val="798E1E9F"/>
    <w:rsid w:val="7A2414A5"/>
    <w:rsid w:val="7A5E4A39"/>
    <w:rsid w:val="7B9B2F2D"/>
    <w:rsid w:val="7C3F4164"/>
    <w:rsid w:val="7D7D46A0"/>
    <w:rsid w:val="7DA32391"/>
    <w:rsid w:val="7E334D6B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6fdd36db-b4f5-4758-8b59-5d07ac838ee4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D91DB9B</paraID>
      <start>0</start>
      <end>2</end>
      <status>unmodified</status>
      <modifiedWord/>
      <trackRevisions>false</trackRevisions>
    </reviewItem>
    <reviewItem>
      <errorID>02e16fa9-1501-4d2d-a0e1-79f09faf251a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6E345F14</paraID>
      <start>0</start>
      <end>2</end>
      <status>unmodified</status>
      <modifiedWord/>
      <trackRevisions>false</trackRevisions>
    </reviewItem>
    <reviewItem>
      <errorID>cc936ed2-4423-468c-bfdc-0ff666e5cb10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7A92767C</paraID>
      <start>0</start>
      <end>2</end>
      <status>unmodified</status>
      <modifiedWord/>
      <trackRevisions>false</trackRevisions>
    </reviewItem>
    <reviewItem>
      <errorID>3e83c9f9-a5a1-458d-9eeb-b2a0638d9630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460B5D23</paraID>
      <start>44</start>
      <end>45</end>
      <status>unmodified</status>
      <modifiedWord/>
      <trackRevisions>false</trackRevisions>
    </reviewItem>
    <reviewItem>
      <errorID>fffccb65-b617-40f5-97da-53e9804d2bd6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735EC0F2</paraID>
      <start>0</start>
      <end>2</end>
      <status>unmodified</status>
      <modifiedWord/>
      <trackRevisions>false</trackRevisions>
    </reviewItem>
    <reviewItem>
      <errorID>e61b3eeb-4ae6-4d7d-9a33-75b925611d98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5845A66D</paraID>
      <start>0</start>
      <end>2</end>
      <status>unmodified</status>
      <modifiedWord/>
      <trackRevisions>false</trackRevisions>
    </reviewItem>
    <reviewItem>
      <errorID>e9b7de4a-5b8f-434a-b7d0-26c982552383</errorID>
      <errorWord>随</errorWord>
      <group>L1_Word</group>
      <groupName>字词问题</groupName>
      <ability>L2_Typo</ability>
      <abilityName>字词错误</abilityName>
      <candidateList>
        <item>随着</item>
      </candidateList>
      <explain/>
      <paraID>3880F7F4</paraID>
      <start>142</start>
      <end>143</end>
      <status>unmodified</status>
      <modifiedWord/>
      <trackRevisions>false</trackRevisions>
    </reviewItem>
    <reviewItem>
      <errorID>1b3cc565-d8db-414d-bac4-d6fbdc0e734b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56CA3281</paraID>
      <start>0</start>
      <end>2</end>
      <status>unmodified</status>
      <modifiedWord/>
      <trackRevisions>false</trackRevisions>
    </reviewItem>
    <reviewItem>
      <errorID>bd01d69e-ee0c-46e6-bd2b-c0a3ca3373c7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77DFD7F9</paraID>
      <start>0</start>
      <end>2</end>
      <status>unmodified</status>
      <modifiedWord/>
      <trackRevisions>false</trackRevisions>
    </reviewItem>
    <reviewItem>
      <errorID>ad71a497-ab8d-469d-b138-ac2c6730f893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42407558</paraID>
      <start>0</start>
      <end>2</end>
      <status>unmodified</status>
      <modifiedWord/>
      <trackRevisions>false</trackRevisions>
    </reviewItem>
    <reviewItem>
      <errorID>70e51134-125e-48b6-90f6-1b81be7d465d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1CE538E0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2022EE-7788-49C6-930B-29B69E54EF43}">
  <ds:schemaRefs/>
</ds:datastoreItem>
</file>

<file path=customXml/itemProps2.xml><?xml version="1.0" encoding="utf-8"?>
<ds:datastoreItem xmlns:ds="http://schemas.openxmlformats.org/officeDocument/2006/customXml" ds:itemID="{356fec49-3a24-48b4-804d-ef2ee320a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2333</Words>
  <Characters>2415</Characters>
  <Lines>40</Lines>
  <Paragraphs>41</Paragraphs>
  <TotalTime>180</TotalTime>
  <ScaleCrop>false</ScaleCrop>
  <LinksUpToDate>false</LinksUpToDate>
  <CharactersWithSpaces>2488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2025-11-13T01:57:00Z</dcterms:created>
  <dc:creator>余悦</dc:creator>
  <cp:lastModifiedBy>余悦</cp:lastModifiedBy>
  <dcterms:modified xsi:type="dcterms:W3CDTF">2026-04-07T06:32:49Z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05353A53B8FF4619A112ED87093FF1F1_13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