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EAA99" w14:textId="77777777" w:rsidR="00A50534" w:rsidRDefault="00F82561" w:rsidP="008231EA">
      <w:pPr>
        <w:spacing w:before="77"/>
        <w:rPr>
          <w:rFonts w:ascii="宋体" w:eastAsia="宋体" w:hAnsi="宋体" w:cs="宋体" w:hint="eastAsia"/>
          <w:sz w:val="24"/>
          <w:lang w:val="zh-CN" w:bidi="zh-CN"/>
        </w:rPr>
      </w:pPr>
      <w:r>
        <w:rPr>
          <w:rFonts w:ascii="宋体" w:eastAsia="宋体" w:hAnsi="宋体" w:cs="宋体"/>
          <w:noProof/>
          <w:snapToGrid/>
          <w:sz w:val="24"/>
        </w:rPr>
        <mc:AlternateContent>
          <mc:Choice Requires="wps">
            <w:drawing>
              <wp:anchor distT="0" distB="0" distL="114300" distR="114300" simplePos="0" relativeHeight="251659264" behindDoc="0" locked="0" layoutInCell="1" allowOverlap="1" wp14:anchorId="7279D8FE" wp14:editId="47866BA1">
                <wp:simplePos x="0" y="0"/>
                <wp:positionH relativeFrom="column">
                  <wp:posOffset>-1270000</wp:posOffset>
                </wp:positionH>
                <wp:positionV relativeFrom="paragraph">
                  <wp:posOffset>-787400</wp:posOffset>
                </wp:positionV>
                <wp:extent cx="63500" cy="63500"/>
                <wp:effectExtent l="0" t="0" r="0" b="0"/>
                <wp:wrapNone/>
                <wp:docPr id="1" name="KGD_Gobal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E14A44" id="KGD_Gobal1" o:spid="_x0000_s1026"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text-align:left;margin-left:-100pt;margin-top:-62pt;width:5pt;height:5pt;z-index:251659264;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targQAAOEHAAAOAAAAZHJzL2Uyb0RvYy54bWysVVuzojgQft+q/Q8Ur9YOKt44NZ4pDyhH&#10;RfGCgrxshRCEIyGYgKC/fgN6nKmZqX3Y2hdI0t1fdzrdX3/9VuJYuCDKIpIMxdaXpiigBBI/So5D&#10;cWdN/hqIAstA4oOYJGgoXhETv73++cfXIn1BbRKS2EdU4CAJeynSoRhmWfoiSQyGCAP2haQo4cKA&#10;UAwyvqVHyaeg4Og4ltrNZk8qCPVTSiBijJ9qd6H4WuMHAYKZGQQMZUI8FHlsWf2l9dervtLrV/By&#10;pCANI/gIA/yHKDCIEu70CaWBDAg5jX6BwhGkhJEg+wIJlkgQRBDVd+C3aTV/us02BCmq78KTw9Jn&#10;mtj/BwuXlxUVIp+/nSgkAPMnmuva3zrxQMxPfMQgz1bMTof+Sm42ZGW73bZvSFZVyVRJ+eFR/CHt&#10;507YPWrts6WTS1fZXO22ccLO4XY9mCsdx/NiZduHln5ToSfbF93VFg13aeV0ve5YKjgno3xrBrZq&#10;O6ak2uHgphQBu7j0hJzBbU+LcABlyshy0umoDbNljtem0mSOvFkBmypkzJQFejf8/ZS/vwlhMDMP&#10;87UyXbuzffr2bm22myQaayHszXLUOwHldJ6T/kB2LpZVluePqdY7423oRFN5Q9GlcAd9gJWlisdw&#10;dyXrvOzNdyFor652z765vbe9CaXUWB6dW+n0aYGZ0t3Zb+lHp9nfWR8sw3i+2YbjvG37k2sWuQEJ&#10;dm2Mcep295one54UQLBfe0ZsHJYzMMsvH9OudJ6pG2M2atBGmm7lwALdwXgBg+I8WDNnOtGsEhwW&#10;ttuKC4Xova08a7qdcNRxzMhL8lS/uPPobEqmbh1LOu299xNz5uQDOXhPesUovDasa9BelzN/fS0/&#10;GpaHsSzv5XAZ9P13PUILOr3NkLZ+t44mWamLRDVakcE8qNzOpHTVjg41omU0X+gU7fxLOJ3bDDfz&#10;WNLkjhdlXn+quFMGg9Tf543WaevpJE1LaW+y2RG52UY7GDGeBBNkbfRA67RnyZo2OoRa8ttupOes&#10;dNTEPr6hm9stFyPJpscRuhnM6I9DzgWhc2qlmnJyL1vrcFvi+Ro7o+FQFMLI91HFPFUnFyl74QW9&#10;TVf0sWN8WbVlGVBc/XnDCWXd/ddn96MyEyA/7MndJqcIyCX3JceQvpumlGU6IlioFkORcmqpOx5c&#10;DJbdVT9VuF0Vyt15vcquMar8x8kGBbzduLt2bV0THVJjKlwApygAIUqy1l0UAh/dj3lgPLS7k6dF&#10;HV0NWCEHURw/sR8AFYn+in2HeehXpqjmyadx898Cuxs/LWrPJMmexjhKCP0dQMxv9fB81/9M0j01&#10;VZY84l85GVFyZ2mWwknEc20Alq0A5bTMX4ePmszknyAmxVAkjxWvA0Jvvzuv9DlbcqkoFJzmhyI7&#10;54AiUYinCedRpdXpVHOh3nS6/Tbf0B8l3o+SJMcq4c/EmZFHVy8r/Sz+XAaUYJtPpFHllYtAArnv&#10;oQgz+rlRs/v44TMNotGoVuOzIAWZkWxTWIFXWa1qySptQNNHwWW8TpfkcySAl5/q7q5bWSZklGck&#10;iOqi/J7XR775HKkL5zHzqkH1477W+j6ZX/8BAAD//wMAUEsDBBQABgAIAAAAIQCofydz3wAAAA8B&#10;AAAPAAAAZHJzL2Rvd25yZXYueG1sTE9da4NAEHwv9D8cW+ibOU1taI1nKIVCoVTIxw84vY1KvD3x&#10;LtH++65P7dvszDA7k+9m24sbjr5zpCBZxSCQamc6ahScjh/RCwgfNBndO0IFP+hhV9zf5TozbqI9&#10;3g6hERxCPtMK2hCGTEpft2i1X7kBibWzG60OfI6NNKOeONz2ch3HG2l1R/yh1QO+t1hfDler4Dnd&#10;mKfPtCmroTXf+6m8lMevk1KPD/PbFkTAOfyZYanP1aHgTpW7kvGiVxBxPI8JjJJ1yog9UfK6cNWC&#10;EuZkkcv/O4pfAAAA//8DAFBLAQItABQABgAIAAAAIQC2gziS/gAAAOEBAAATAAAAAAAAAAAAAAAA&#10;AAAAAABbQ29udGVudF9UeXBlc10ueG1sUEsBAi0AFAAGAAgAAAAhADj9If/WAAAAlAEAAAsAAAAA&#10;AAAAAAAAAAAALwEAAF9yZWxzLy5yZWxzUEsBAi0AFAAGAAgAAAAhAMAwC1quBAAA4QcAAA4AAAAA&#10;AAAAAAAAAAAALgIAAGRycy9lMm9Eb2MueG1sUEsBAi0AFAAGAAgAAAAhAKh/J3PfAAAADwEAAA8A&#10;AAAAAAAAAAAAAAAACAcAAGRycy9kb3ducmV2LnhtbFBLBQYAAAAABAAEAPMAAAAUCAAAAAA=&#10;" fillcolor="#5b9bd5 [3204]" strokecolor="#1f4d78 [1604]" strokeweight="1pt"/>
            </w:pict>
          </mc:Fallback>
        </mc:AlternateContent>
      </w:r>
      <w:r w:rsidR="00A50534">
        <w:rPr>
          <w:rFonts w:ascii="宋体" w:eastAsia="宋体" w:hAnsi="宋体" w:cs="宋体"/>
          <w:sz w:val="24"/>
          <w:lang w:val="zh-CN" w:bidi="zh-CN"/>
        </w:rPr>
        <w:t>证券代码</w:t>
      </w:r>
      <w:r w:rsidR="00A50534">
        <w:rPr>
          <w:rFonts w:ascii="宋体" w:eastAsia="宋体" w:hAnsi="宋体" w:cs="宋体" w:hint="eastAsia"/>
          <w:sz w:val="24"/>
          <w:lang w:val="zh-CN" w:bidi="zh-CN"/>
        </w:rPr>
        <w:t>：</w:t>
      </w:r>
      <w:r w:rsidR="006D5570" w:rsidRPr="006D5570">
        <w:rPr>
          <w:rFonts w:ascii="Times New Roman" w:hAnsi="Times New Roman" w:cs="Times New Roman"/>
        </w:rPr>
        <w:t>60</w:t>
      </w:r>
      <w:r w:rsidR="006D5570">
        <w:rPr>
          <w:rFonts w:ascii="Times New Roman" w:hAnsi="Times New Roman" w:cs="Times New Roman"/>
        </w:rPr>
        <w:t>1919</w:t>
      </w:r>
      <w:r w:rsidR="006D5570" w:rsidRPr="006D5570">
        <w:rPr>
          <w:rFonts w:ascii="Times New Roman" w:hAnsi="Times New Roman" w:cs="Times New Roman"/>
        </w:rPr>
        <w:t>.SH/1</w:t>
      </w:r>
      <w:r w:rsidR="006D5570">
        <w:rPr>
          <w:rFonts w:ascii="Times New Roman" w:hAnsi="Times New Roman" w:cs="Times New Roman"/>
        </w:rPr>
        <w:t>919</w:t>
      </w:r>
      <w:r w:rsidR="006D5570" w:rsidRPr="006D5570">
        <w:rPr>
          <w:rFonts w:ascii="Times New Roman" w:hAnsi="Times New Roman" w:cs="Times New Roman"/>
        </w:rPr>
        <w:t>.HK</w:t>
      </w:r>
      <w:r w:rsidR="00A50534">
        <w:rPr>
          <w:rFonts w:ascii="宋体" w:eastAsia="宋体" w:hAnsi="宋体" w:cs="宋体" w:hint="eastAsia"/>
          <w:sz w:val="24"/>
          <w:lang w:bidi="zh-CN"/>
        </w:rPr>
        <w:t xml:space="preserve">            </w:t>
      </w:r>
      <w:r w:rsidR="008231EA">
        <w:rPr>
          <w:rFonts w:ascii="宋体" w:eastAsia="宋体" w:hAnsi="宋体" w:cs="宋体"/>
          <w:sz w:val="24"/>
          <w:lang w:bidi="zh-CN"/>
        </w:rPr>
        <w:t xml:space="preserve"> </w:t>
      </w:r>
      <w:r w:rsidR="00A50534">
        <w:rPr>
          <w:rFonts w:ascii="宋体" w:eastAsia="宋体" w:hAnsi="宋体" w:cs="宋体" w:hint="eastAsia"/>
          <w:sz w:val="24"/>
          <w:lang w:bidi="zh-CN"/>
        </w:rPr>
        <w:t xml:space="preserve"> </w:t>
      </w:r>
      <w:r w:rsidR="00A50534">
        <w:rPr>
          <w:rFonts w:ascii="宋体" w:eastAsia="宋体" w:hAnsi="宋体" w:cs="宋体"/>
          <w:sz w:val="24"/>
          <w:lang w:bidi="zh-CN"/>
        </w:rPr>
        <w:t xml:space="preserve">      </w:t>
      </w:r>
      <w:r w:rsidR="00A50534">
        <w:rPr>
          <w:rFonts w:ascii="宋体" w:eastAsia="宋体" w:hAnsi="宋体" w:cs="宋体" w:hint="eastAsia"/>
          <w:sz w:val="24"/>
          <w:lang w:bidi="zh-CN"/>
        </w:rPr>
        <w:t xml:space="preserve">    </w:t>
      </w:r>
      <w:r w:rsidR="00A50534">
        <w:rPr>
          <w:rFonts w:ascii="宋体" w:eastAsia="宋体" w:hAnsi="宋体" w:cs="宋体"/>
          <w:sz w:val="24"/>
          <w:lang w:val="zh-CN" w:bidi="zh-CN"/>
        </w:rPr>
        <w:t>证券简称：</w:t>
      </w:r>
      <w:r w:rsidR="008231EA">
        <w:rPr>
          <w:rFonts w:ascii="宋体" w:eastAsia="宋体" w:hAnsi="宋体" w:cs="宋体" w:hint="eastAsia"/>
          <w:sz w:val="24"/>
          <w:lang w:val="zh-CN" w:bidi="zh-CN"/>
        </w:rPr>
        <w:t>中远海控</w:t>
      </w:r>
    </w:p>
    <w:p w14:paraId="1E13848E" w14:textId="77777777" w:rsidR="000A4CFB" w:rsidRDefault="000A4CFB" w:rsidP="008231EA">
      <w:pPr>
        <w:spacing w:before="77"/>
        <w:rPr>
          <w:rFonts w:ascii="宋体" w:eastAsia="宋体" w:hAnsi="宋体" w:cs="宋体" w:hint="eastAsia"/>
          <w:sz w:val="24"/>
          <w:lang w:val="zh-CN" w:bidi="zh-CN"/>
        </w:rPr>
      </w:pPr>
    </w:p>
    <w:p w14:paraId="6DD0EE4F" w14:textId="77777777" w:rsidR="009003EA" w:rsidRPr="009A5E27" w:rsidRDefault="00B504D6">
      <w:pPr>
        <w:kinsoku/>
        <w:autoSpaceDE/>
        <w:autoSpaceDN/>
        <w:spacing w:line="360" w:lineRule="auto"/>
        <w:jc w:val="center"/>
        <w:rPr>
          <w:rFonts w:ascii="宋体" w:eastAsia="宋体" w:hAnsi="宋体" w:cs="宋体" w:hint="eastAsia"/>
          <w:b/>
          <w:bCs/>
          <w:sz w:val="32"/>
          <w:szCs w:val="36"/>
        </w:rPr>
      </w:pPr>
      <w:r w:rsidRPr="009A5E27">
        <w:rPr>
          <w:rFonts w:ascii="宋体" w:eastAsia="宋体" w:hAnsi="宋体" w:cs="宋体" w:hint="eastAsia"/>
          <w:b/>
          <w:bCs/>
          <w:spacing w:val="12"/>
          <w:sz w:val="32"/>
          <w:szCs w:val="36"/>
        </w:rPr>
        <w:t>中远海运控股</w:t>
      </w:r>
      <w:r w:rsidR="00B571DB" w:rsidRPr="009A5E27">
        <w:rPr>
          <w:rFonts w:ascii="宋体" w:eastAsia="宋体" w:hAnsi="宋体" w:cs="宋体" w:hint="eastAsia"/>
          <w:b/>
          <w:bCs/>
          <w:spacing w:val="12"/>
          <w:sz w:val="32"/>
          <w:szCs w:val="36"/>
        </w:rPr>
        <w:t>股份有限公司投资者关系活动记录表</w:t>
      </w:r>
    </w:p>
    <w:p w14:paraId="03534BC8" w14:textId="77777777" w:rsidR="009003EA" w:rsidRDefault="009003EA" w:rsidP="00A50534">
      <w:pPr>
        <w:kinsoku/>
        <w:autoSpaceDE/>
        <w:autoSpaceDN/>
        <w:spacing w:line="360" w:lineRule="auto"/>
        <w:ind w:right="232"/>
        <w:jc w:val="right"/>
        <w:rPr>
          <w:rFonts w:ascii="宋体" w:eastAsia="宋体" w:hAnsi="宋体" w:cs="宋体" w:hint="eastAsia"/>
          <w:sz w:val="24"/>
          <w:szCs w:val="24"/>
        </w:rPr>
      </w:pPr>
    </w:p>
    <w:tbl>
      <w:tblPr>
        <w:tblStyle w:val="TableNormal"/>
        <w:tblW w:w="852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12"/>
        <w:gridCol w:w="2839"/>
        <w:gridCol w:w="3775"/>
      </w:tblGrid>
      <w:tr w:rsidR="009003EA" w14:paraId="33ACE20D" w14:textId="77777777" w:rsidTr="00A50534">
        <w:trPr>
          <w:trHeight w:val="318"/>
          <w:jc w:val="center"/>
        </w:trPr>
        <w:tc>
          <w:tcPr>
            <w:tcW w:w="1912" w:type="dxa"/>
            <w:vMerge w:val="restart"/>
            <w:tcBorders>
              <w:bottom w:val="nil"/>
            </w:tcBorders>
            <w:vAlign w:val="center"/>
          </w:tcPr>
          <w:p w14:paraId="2D8EED88" w14:textId="77777777" w:rsidR="005235ED" w:rsidRDefault="00B571DB" w:rsidP="0032348F">
            <w:pPr>
              <w:kinsoku/>
              <w:autoSpaceDE/>
              <w:autoSpaceDN/>
              <w:spacing w:line="400" w:lineRule="exact"/>
              <w:jc w:val="center"/>
              <w:rPr>
                <w:rFonts w:ascii="宋体" w:eastAsia="宋体" w:hAnsi="宋体" w:cs="宋体" w:hint="eastAsia"/>
                <w:spacing w:val="10"/>
                <w:sz w:val="24"/>
                <w:szCs w:val="24"/>
              </w:rPr>
            </w:pPr>
            <w:r>
              <w:rPr>
                <w:rFonts w:ascii="宋体" w:eastAsia="宋体" w:hAnsi="宋体" w:cs="宋体" w:hint="eastAsia"/>
                <w:spacing w:val="10"/>
                <w:sz w:val="24"/>
                <w:szCs w:val="24"/>
              </w:rPr>
              <w:t>投资者关系</w:t>
            </w:r>
          </w:p>
          <w:p w14:paraId="5F3B44E3" w14:textId="77777777" w:rsidR="009003EA" w:rsidRDefault="00B571DB" w:rsidP="005235ED">
            <w:pPr>
              <w:kinsoku/>
              <w:autoSpaceDE/>
              <w:autoSpaceDN/>
              <w:spacing w:line="400" w:lineRule="exact"/>
              <w:jc w:val="center"/>
              <w:rPr>
                <w:rFonts w:ascii="宋体" w:eastAsia="宋体" w:hAnsi="宋体" w:cs="宋体" w:hint="eastAsia"/>
                <w:sz w:val="24"/>
                <w:szCs w:val="24"/>
              </w:rPr>
            </w:pPr>
            <w:r>
              <w:rPr>
                <w:rFonts w:ascii="宋体" w:eastAsia="宋体" w:hAnsi="宋体" w:cs="宋体" w:hint="eastAsia"/>
                <w:spacing w:val="10"/>
                <w:sz w:val="24"/>
                <w:szCs w:val="24"/>
              </w:rPr>
              <w:t>活</w:t>
            </w:r>
            <w:r>
              <w:rPr>
                <w:rFonts w:ascii="宋体" w:eastAsia="宋体" w:hAnsi="宋体" w:cs="宋体" w:hint="eastAsia"/>
                <w:spacing w:val="9"/>
                <w:sz w:val="24"/>
                <w:szCs w:val="24"/>
              </w:rPr>
              <w:t>动</w:t>
            </w:r>
            <w:r>
              <w:rPr>
                <w:rFonts w:ascii="宋体" w:eastAsia="宋体" w:hAnsi="宋体" w:cs="宋体" w:hint="eastAsia"/>
                <w:spacing w:val="5"/>
                <w:sz w:val="24"/>
                <w:szCs w:val="24"/>
              </w:rPr>
              <w:t>类别</w:t>
            </w:r>
          </w:p>
        </w:tc>
        <w:tc>
          <w:tcPr>
            <w:tcW w:w="6614" w:type="dxa"/>
            <w:gridSpan w:val="2"/>
            <w:tcBorders>
              <w:bottom w:val="nil"/>
            </w:tcBorders>
          </w:tcPr>
          <w:p w14:paraId="7FCE9812" w14:textId="77777777" w:rsidR="009003EA" w:rsidRPr="00523753" w:rsidRDefault="00B571DB" w:rsidP="00523753">
            <w:pPr>
              <w:pStyle w:val="a7"/>
              <w:numPr>
                <w:ilvl w:val="0"/>
                <w:numId w:val="4"/>
              </w:numPr>
              <w:kinsoku/>
              <w:autoSpaceDE/>
              <w:autoSpaceDN/>
              <w:spacing w:line="400" w:lineRule="exact"/>
              <w:ind w:firstLineChars="0"/>
              <w:rPr>
                <w:rFonts w:ascii="宋体" w:eastAsia="宋体" w:hAnsi="宋体" w:cs="宋体" w:hint="eastAsia"/>
                <w:sz w:val="24"/>
                <w:szCs w:val="24"/>
              </w:rPr>
            </w:pPr>
            <w:r w:rsidRPr="00523753">
              <w:rPr>
                <w:rFonts w:ascii="宋体" w:eastAsia="宋体" w:hAnsi="宋体" w:cs="宋体" w:hint="eastAsia"/>
                <w:spacing w:val="10"/>
                <w:sz w:val="24"/>
                <w:szCs w:val="24"/>
              </w:rPr>
              <w:t>特</w:t>
            </w:r>
            <w:r w:rsidRPr="00523753">
              <w:rPr>
                <w:rFonts w:ascii="宋体" w:eastAsia="宋体" w:hAnsi="宋体" w:cs="宋体" w:hint="eastAsia"/>
                <w:spacing w:val="6"/>
                <w:sz w:val="24"/>
                <w:szCs w:val="24"/>
              </w:rPr>
              <w:t>定对象调研       □</w:t>
            </w:r>
            <w:r w:rsidR="00523753" w:rsidRPr="00523753">
              <w:rPr>
                <w:rFonts w:ascii="宋体" w:eastAsia="宋体" w:hAnsi="宋体" w:cs="宋体" w:hint="eastAsia"/>
                <w:spacing w:val="6"/>
                <w:sz w:val="24"/>
                <w:szCs w:val="24"/>
              </w:rPr>
              <w:t xml:space="preserve"> </w:t>
            </w:r>
            <w:r w:rsidRPr="00523753">
              <w:rPr>
                <w:rFonts w:ascii="宋体" w:eastAsia="宋体" w:hAnsi="宋体" w:cs="宋体" w:hint="eastAsia"/>
                <w:spacing w:val="6"/>
                <w:sz w:val="24"/>
                <w:szCs w:val="24"/>
              </w:rPr>
              <w:t>分析师会议</w:t>
            </w:r>
          </w:p>
        </w:tc>
      </w:tr>
      <w:tr w:rsidR="009003EA" w14:paraId="3FDE24AF" w14:textId="77777777" w:rsidTr="00A50534">
        <w:trPr>
          <w:trHeight w:val="1775"/>
          <w:jc w:val="center"/>
        </w:trPr>
        <w:tc>
          <w:tcPr>
            <w:tcW w:w="1912" w:type="dxa"/>
            <w:vMerge/>
            <w:tcBorders>
              <w:top w:val="nil"/>
              <w:bottom w:val="nil"/>
            </w:tcBorders>
            <w:vAlign w:val="center"/>
          </w:tcPr>
          <w:p w14:paraId="0A68DBC7" w14:textId="77777777" w:rsidR="009003EA" w:rsidRDefault="009003EA" w:rsidP="0032348F">
            <w:pPr>
              <w:kinsoku/>
              <w:autoSpaceDE/>
              <w:autoSpaceDN/>
              <w:spacing w:line="400" w:lineRule="exact"/>
              <w:jc w:val="center"/>
              <w:rPr>
                <w:rFonts w:ascii="宋体" w:eastAsia="宋体" w:hAnsi="宋体" w:cs="宋体" w:hint="eastAsia"/>
                <w:sz w:val="24"/>
                <w:szCs w:val="24"/>
              </w:rPr>
            </w:pPr>
          </w:p>
        </w:tc>
        <w:tc>
          <w:tcPr>
            <w:tcW w:w="2839" w:type="dxa"/>
            <w:tcBorders>
              <w:top w:val="nil"/>
              <w:bottom w:val="nil"/>
              <w:right w:val="nil"/>
            </w:tcBorders>
          </w:tcPr>
          <w:p w14:paraId="73C4069B" w14:textId="77777777" w:rsidR="009003EA" w:rsidRDefault="00B571DB">
            <w:pPr>
              <w:kinsoku/>
              <w:autoSpaceDE/>
              <w:autoSpaceDN/>
              <w:spacing w:line="400" w:lineRule="exact"/>
              <w:rPr>
                <w:rFonts w:ascii="宋体" w:eastAsia="宋体" w:hAnsi="宋体" w:cs="宋体" w:hint="eastAsia"/>
                <w:sz w:val="24"/>
                <w:szCs w:val="24"/>
              </w:rPr>
            </w:pPr>
            <w:bookmarkStart w:id="0" w:name="OLE_LINK2"/>
            <w:r>
              <w:rPr>
                <w:rFonts w:ascii="宋体" w:eastAsia="宋体" w:hAnsi="宋体" w:cs="宋体" w:hint="eastAsia"/>
                <w:spacing w:val="4"/>
                <w:sz w:val="24"/>
                <w:szCs w:val="24"/>
              </w:rPr>
              <w:t>□</w:t>
            </w:r>
            <w:bookmarkEnd w:id="0"/>
            <w:r w:rsidR="00523753">
              <w:rPr>
                <w:rFonts w:ascii="宋体" w:eastAsia="宋体" w:hAnsi="宋体" w:cs="宋体" w:hint="eastAsia"/>
                <w:spacing w:val="4"/>
                <w:sz w:val="24"/>
                <w:szCs w:val="24"/>
              </w:rPr>
              <w:t xml:space="preserve"> </w:t>
            </w:r>
            <w:r>
              <w:rPr>
                <w:rFonts w:ascii="宋体" w:eastAsia="宋体" w:hAnsi="宋体" w:cs="宋体" w:hint="eastAsia"/>
                <w:spacing w:val="3"/>
                <w:sz w:val="24"/>
                <w:szCs w:val="24"/>
              </w:rPr>
              <w:t>媒体采访</w:t>
            </w:r>
          </w:p>
          <w:p w14:paraId="423E53AE" w14:textId="77777777" w:rsidR="009003EA" w:rsidRDefault="00B571DB">
            <w:pPr>
              <w:kinsoku/>
              <w:autoSpaceDE/>
              <w:autoSpaceDN/>
              <w:spacing w:line="400" w:lineRule="exact"/>
              <w:rPr>
                <w:rFonts w:ascii="宋体" w:eastAsia="宋体" w:hAnsi="宋体" w:cs="宋体" w:hint="eastAsia"/>
                <w:sz w:val="24"/>
                <w:szCs w:val="24"/>
              </w:rPr>
            </w:pPr>
            <w:r>
              <w:rPr>
                <w:rFonts w:ascii="宋体" w:eastAsia="宋体" w:hAnsi="宋体" w:cs="宋体" w:hint="eastAsia"/>
                <w:spacing w:val="6"/>
                <w:sz w:val="24"/>
                <w:szCs w:val="24"/>
              </w:rPr>
              <w:t>□</w:t>
            </w:r>
            <w:r w:rsidR="00523753">
              <w:rPr>
                <w:rFonts w:ascii="宋体" w:eastAsia="宋体" w:hAnsi="宋体" w:cs="宋体" w:hint="eastAsia"/>
                <w:spacing w:val="6"/>
                <w:sz w:val="24"/>
                <w:szCs w:val="24"/>
              </w:rPr>
              <w:t xml:space="preserve"> </w:t>
            </w:r>
            <w:r>
              <w:rPr>
                <w:rFonts w:ascii="宋体" w:eastAsia="宋体" w:hAnsi="宋体" w:cs="宋体" w:hint="eastAsia"/>
                <w:spacing w:val="4"/>
                <w:sz w:val="24"/>
                <w:szCs w:val="24"/>
              </w:rPr>
              <w:t>新闻发布会</w:t>
            </w:r>
          </w:p>
          <w:p w14:paraId="6C1D1F49" w14:textId="77777777" w:rsidR="009003EA" w:rsidRDefault="00523753">
            <w:pPr>
              <w:kinsoku/>
              <w:autoSpaceDE/>
              <w:autoSpaceDN/>
              <w:spacing w:line="400" w:lineRule="exact"/>
              <w:rPr>
                <w:rFonts w:ascii="宋体" w:eastAsia="宋体" w:hAnsi="宋体" w:cs="宋体" w:hint="eastAsia"/>
                <w:spacing w:val="3"/>
                <w:sz w:val="24"/>
                <w:szCs w:val="24"/>
              </w:rPr>
            </w:pPr>
            <w:r>
              <w:rPr>
                <w:rFonts w:ascii="宋体" w:eastAsia="宋体" w:hAnsi="宋体" w:cs="宋体" w:hint="eastAsia"/>
                <w:spacing w:val="6"/>
                <w:sz w:val="24"/>
                <w:szCs w:val="24"/>
              </w:rPr>
              <w:t xml:space="preserve">□ </w:t>
            </w:r>
            <w:r w:rsidR="00A50534">
              <w:rPr>
                <w:rFonts w:ascii="宋体" w:eastAsia="宋体" w:hAnsi="宋体" w:cs="宋体" w:hint="eastAsia"/>
                <w:spacing w:val="3"/>
                <w:sz w:val="24"/>
                <w:szCs w:val="24"/>
              </w:rPr>
              <w:t>现场交流</w:t>
            </w:r>
          </w:p>
          <w:p w14:paraId="344634FF" w14:textId="77777777" w:rsidR="00A50534" w:rsidRDefault="00A50534" w:rsidP="00A50534">
            <w:pPr>
              <w:kinsoku/>
              <w:autoSpaceDE/>
              <w:autoSpaceDN/>
              <w:spacing w:line="400" w:lineRule="exact"/>
              <w:rPr>
                <w:rFonts w:ascii="宋体" w:eastAsia="宋体" w:hAnsi="宋体" w:cs="宋体" w:hint="eastAsia"/>
                <w:sz w:val="24"/>
                <w:szCs w:val="24"/>
              </w:rPr>
            </w:pPr>
            <w:r>
              <w:rPr>
                <w:rFonts w:ascii="宋体" w:eastAsia="宋体" w:hAnsi="宋体" w:cs="宋体" w:hint="eastAsia"/>
                <w:spacing w:val="4"/>
                <w:sz w:val="24"/>
                <w:szCs w:val="24"/>
              </w:rPr>
              <w:t>□</w:t>
            </w:r>
            <w:r w:rsidR="00523753">
              <w:rPr>
                <w:rFonts w:ascii="宋体" w:eastAsia="宋体" w:hAnsi="宋体" w:cs="宋体" w:hint="eastAsia"/>
                <w:spacing w:val="4"/>
                <w:sz w:val="24"/>
                <w:szCs w:val="24"/>
              </w:rPr>
              <w:t xml:space="preserve"> </w:t>
            </w:r>
            <w:r>
              <w:rPr>
                <w:rFonts w:ascii="宋体" w:eastAsia="宋体" w:hAnsi="宋体" w:cs="宋体" w:hint="eastAsia"/>
                <w:spacing w:val="4"/>
                <w:sz w:val="24"/>
                <w:szCs w:val="24"/>
              </w:rPr>
              <w:t>投资策略会</w:t>
            </w:r>
          </w:p>
        </w:tc>
        <w:tc>
          <w:tcPr>
            <w:tcW w:w="3775" w:type="dxa"/>
            <w:tcBorders>
              <w:top w:val="nil"/>
              <w:left w:val="nil"/>
              <w:bottom w:val="nil"/>
            </w:tcBorders>
          </w:tcPr>
          <w:p w14:paraId="046BEFAF" w14:textId="77777777" w:rsidR="009003EA" w:rsidRDefault="00523753">
            <w:pPr>
              <w:kinsoku/>
              <w:autoSpaceDE/>
              <w:autoSpaceDN/>
              <w:spacing w:line="400" w:lineRule="exact"/>
              <w:rPr>
                <w:rFonts w:ascii="宋体" w:eastAsia="宋体" w:hAnsi="宋体" w:cs="宋体" w:hint="eastAsia"/>
                <w:sz w:val="24"/>
                <w:szCs w:val="24"/>
              </w:rPr>
            </w:pPr>
            <w:r>
              <w:rPr>
                <w:rFonts w:ascii="宋体" w:eastAsia="宋体" w:hAnsi="宋体" w:cs="宋体"/>
                <w:b/>
                <w:bCs/>
                <w:sz w:val="24"/>
                <w:szCs w:val="22"/>
                <w:lang w:val="zh-CN" w:bidi="zh-CN"/>
              </w:rPr>
              <w:sym w:font="Wingdings 2" w:char="0052"/>
            </w:r>
            <w:r w:rsidR="00B571DB">
              <w:rPr>
                <w:rFonts w:ascii="宋体" w:eastAsia="宋体" w:hAnsi="宋体" w:cs="宋体" w:hint="eastAsia"/>
                <w:spacing w:val="4"/>
                <w:sz w:val="24"/>
                <w:szCs w:val="24"/>
              </w:rPr>
              <w:t>业绩说明会</w:t>
            </w:r>
          </w:p>
          <w:p w14:paraId="3BD6C645" w14:textId="77777777" w:rsidR="009003EA" w:rsidRDefault="00523753">
            <w:pPr>
              <w:kinsoku/>
              <w:autoSpaceDE/>
              <w:autoSpaceDN/>
              <w:spacing w:line="400" w:lineRule="exact"/>
              <w:rPr>
                <w:rFonts w:ascii="宋体" w:eastAsia="宋体" w:hAnsi="宋体" w:cs="宋体" w:hint="eastAsia"/>
                <w:spacing w:val="3"/>
                <w:sz w:val="24"/>
                <w:szCs w:val="24"/>
              </w:rPr>
            </w:pPr>
            <w:r>
              <w:rPr>
                <w:rFonts w:ascii="宋体" w:eastAsia="宋体" w:hAnsi="宋体" w:cs="宋体"/>
                <w:sz w:val="24"/>
                <w:szCs w:val="22"/>
                <w:lang w:val="zh-CN" w:bidi="zh-CN"/>
              </w:rPr>
              <w:sym w:font="Wingdings 2" w:char="00A3"/>
            </w:r>
            <w:r>
              <w:rPr>
                <w:rFonts w:ascii="宋体" w:eastAsia="宋体" w:hAnsi="宋体" w:cs="宋体"/>
                <w:sz w:val="24"/>
                <w:szCs w:val="22"/>
                <w:lang w:val="zh-CN" w:bidi="zh-CN"/>
              </w:rPr>
              <w:t xml:space="preserve"> </w:t>
            </w:r>
            <w:r w:rsidR="00B571DB">
              <w:rPr>
                <w:rFonts w:ascii="宋体" w:eastAsia="宋体" w:hAnsi="宋体" w:cs="宋体" w:hint="eastAsia"/>
                <w:spacing w:val="3"/>
                <w:sz w:val="24"/>
                <w:szCs w:val="24"/>
              </w:rPr>
              <w:t>路演活动</w:t>
            </w:r>
          </w:p>
          <w:p w14:paraId="398119A9" w14:textId="77777777" w:rsidR="00A50534" w:rsidRDefault="00A50534">
            <w:pPr>
              <w:kinsoku/>
              <w:autoSpaceDE/>
              <w:autoSpaceDN/>
              <w:spacing w:line="400" w:lineRule="exact"/>
              <w:rPr>
                <w:rFonts w:ascii="宋体" w:eastAsia="宋体" w:hAnsi="宋体" w:cs="宋体" w:hint="eastAsia"/>
                <w:sz w:val="24"/>
                <w:szCs w:val="22"/>
                <w:lang w:val="zh-CN" w:bidi="zh-CN"/>
              </w:rPr>
            </w:pPr>
            <w:r>
              <w:rPr>
                <w:rFonts w:ascii="宋体" w:eastAsia="宋体" w:hAnsi="宋体" w:cs="宋体"/>
                <w:sz w:val="24"/>
                <w:szCs w:val="22"/>
                <w:lang w:val="zh-CN" w:bidi="zh-CN"/>
              </w:rPr>
              <w:sym w:font="Wingdings 2" w:char="00A3"/>
            </w:r>
            <w:r w:rsidR="00523753">
              <w:rPr>
                <w:rFonts w:ascii="宋体" w:eastAsia="宋体" w:hAnsi="宋体" w:cs="宋体"/>
                <w:sz w:val="24"/>
                <w:szCs w:val="22"/>
                <w:lang w:val="zh-CN" w:bidi="zh-CN"/>
              </w:rPr>
              <w:t xml:space="preserve"> </w:t>
            </w:r>
            <w:r>
              <w:rPr>
                <w:rFonts w:ascii="宋体" w:eastAsia="宋体" w:hAnsi="宋体" w:cs="宋体" w:hint="eastAsia"/>
                <w:sz w:val="24"/>
                <w:szCs w:val="22"/>
                <w:lang w:val="zh-CN" w:bidi="zh-CN"/>
              </w:rPr>
              <w:t>电话会议</w:t>
            </w:r>
          </w:p>
          <w:p w14:paraId="28C24502" w14:textId="77777777" w:rsidR="00A50534" w:rsidRPr="00523753" w:rsidRDefault="00A50534" w:rsidP="00523753">
            <w:pPr>
              <w:pStyle w:val="a7"/>
              <w:numPr>
                <w:ilvl w:val="0"/>
                <w:numId w:val="3"/>
              </w:numPr>
              <w:kinsoku/>
              <w:autoSpaceDE/>
              <w:autoSpaceDN/>
              <w:spacing w:line="400" w:lineRule="exact"/>
              <w:ind w:firstLineChars="0"/>
              <w:rPr>
                <w:rFonts w:ascii="宋体" w:eastAsia="宋体" w:hAnsi="宋体" w:cs="宋体" w:hint="eastAsia"/>
                <w:sz w:val="24"/>
                <w:szCs w:val="24"/>
              </w:rPr>
            </w:pPr>
            <w:r w:rsidRPr="00523753">
              <w:rPr>
                <w:rFonts w:ascii="宋体" w:eastAsia="宋体" w:hAnsi="宋体" w:cs="宋体" w:hint="eastAsia"/>
                <w:spacing w:val="6"/>
                <w:sz w:val="24"/>
                <w:szCs w:val="24"/>
              </w:rPr>
              <w:t>其他</w:t>
            </w:r>
          </w:p>
        </w:tc>
      </w:tr>
      <w:tr w:rsidR="009003EA" w14:paraId="0A51A657" w14:textId="77777777" w:rsidTr="00D4233B">
        <w:trPr>
          <w:trHeight w:val="633"/>
          <w:jc w:val="center"/>
        </w:trPr>
        <w:tc>
          <w:tcPr>
            <w:tcW w:w="1912" w:type="dxa"/>
            <w:vAlign w:val="center"/>
          </w:tcPr>
          <w:p w14:paraId="483227F0" w14:textId="77777777" w:rsidR="009003EA" w:rsidRDefault="00336531" w:rsidP="005235ED">
            <w:pPr>
              <w:kinsoku/>
              <w:autoSpaceDE/>
              <w:autoSpaceDN/>
              <w:spacing w:line="400" w:lineRule="exact"/>
              <w:jc w:val="center"/>
              <w:rPr>
                <w:rFonts w:ascii="宋体" w:eastAsia="宋体" w:hAnsi="宋体" w:cs="宋体" w:hint="eastAsia"/>
                <w:sz w:val="24"/>
                <w:szCs w:val="24"/>
              </w:rPr>
            </w:pPr>
            <w:r>
              <w:rPr>
                <w:rFonts w:ascii="宋体" w:eastAsia="宋体" w:hAnsi="宋体" w:cs="宋体" w:hint="eastAsia"/>
                <w:sz w:val="24"/>
                <w:szCs w:val="24"/>
              </w:rPr>
              <w:t>活动主题</w:t>
            </w:r>
          </w:p>
        </w:tc>
        <w:tc>
          <w:tcPr>
            <w:tcW w:w="6614" w:type="dxa"/>
            <w:gridSpan w:val="2"/>
            <w:vAlign w:val="center"/>
          </w:tcPr>
          <w:p w14:paraId="4732FE46" w14:textId="75C0CBB8" w:rsidR="00A50534" w:rsidRDefault="00336531" w:rsidP="00523753">
            <w:pPr>
              <w:kinsoku/>
              <w:autoSpaceDE/>
              <w:autoSpaceDN/>
              <w:spacing w:line="400" w:lineRule="exact"/>
              <w:ind w:firstLineChars="100" w:firstLine="240"/>
              <w:rPr>
                <w:rFonts w:ascii="宋体" w:eastAsia="宋体" w:hAnsi="宋体" w:cs="宋体" w:hint="eastAsia"/>
                <w:sz w:val="24"/>
                <w:szCs w:val="24"/>
              </w:rPr>
            </w:pPr>
            <w:r>
              <w:rPr>
                <w:rFonts w:ascii="宋体" w:eastAsia="宋体" w:hAnsi="宋体" w:cs="宋体" w:hint="eastAsia"/>
                <w:sz w:val="24"/>
                <w:szCs w:val="24"/>
              </w:rPr>
              <w:t>中远海控2</w:t>
            </w:r>
            <w:r>
              <w:rPr>
                <w:rFonts w:ascii="宋体" w:eastAsia="宋体" w:hAnsi="宋体" w:cs="宋体"/>
                <w:sz w:val="24"/>
                <w:szCs w:val="24"/>
              </w:rPr>
              <w:t>02</w:t>
            </w:r>
            <w:r w:rsidR="00B47A60">
              <w:rPr>
                <w:rFonts w:ascii="宋体" w:eastAsia="宋体" w:hAnsi="宋体" w:cs="宋体" w:hint="eastAsia"/>
                <w:sz w:val="24"/>
                <w:szCs w:val="24"/>
              </w:rPr>
              <w:t>5</w:t>
            </w:r>
            <w:r>
              <w:rPr>
                <w:rFonts w:ascii="宋体" w:eastAsia="宋体" w:hAnsi="宋体" w:cs="宋体" w:hint="eastAsia"/>
                <w:sz w:val="24"/>
                <w:szCs w:val="24"/>
              </w:rPr>
              <w:t>年</w:t>
            </w:r>
            <w:r w:rsidR="00725F5E">
              <w:rPr>
                <w:rFonts w:ascii="宋体" w:eastAsia="宋体" w:hAnsi="宋体" w:cs="宋体" w:hint="eastAsia"/>
                <w:sz w:val="24"/>
                <w:szCs w:val="24"/>
              </w:rPr>
              <w:t>年</w:t>
            </w:r>
            <w:r w:rsidR="00622F9C">
              <w:rPr>
                <w:rFonts w:ascii="宋体" w:eastAsia="宋体" w:hAnsi="宋体" w:cs="宋体" w:hint="eastAsia"/>
                <w:sz w:val="24"/>
                <w:szCs w:val="24"/>
              </w:rPr>
              <w:t>度</w:t>
            </w:r>
            <w:r>
              <w:rPr>
                <w:rFonts w:ascii="宋体" w:eastAsia="宋体" w:hAnsi="宋体" w:cs="宋体" w:hint="eastAsia"/>
                <w:sz w:val="24"/>
                <w:szCs w:val="24"/>
              </w:rPr>
              <w:t>业绩说明会</w:t>
            </w:r>
          </w:p>
        </w:tc>
      </w:tr>
      <w:tr w:rsidR="00336531" w14:paraId="37941EA2" w14:textId="77777777" w:rsidTr="00D4233B">
        <w:trPr>
          <w:trHeight w:val="651"/>
          <w:jc w:val="center"/>
        </w:trPr>
        <w:tc>
          <w:tcPr>
            <w:tcW w:w="1912" w:type="dxa"/>
            <w:vAlign w:val="center"/>
          </w:tcPr>
          <w:p w14:paraId="79670216" w14:textId="77777777" w:rsidR="00336531" w:rsidRDefault="00336531" w:rsidP="00336531">
            <w:pPr>
              <w:kinsoku/>
              <w:autoSpaceDE/>
              <w:autoSpaceDN/>
              <w:spacing w:line="400" w:lineRule="exact"/>
              <w:jc w:val="center"/>
              <w:rPr>
                <w:rFonts w:ascii="宋体" w:eastAsia="宋体" w:hAnsi="宋体" w:cs="宋体" w:hint="eastAsia"/>
                <w:sz w:val="24"/>
                <w:szCs w:val="24"/>
              </w:rPr>
            </w:pPr>
            <w:r>
              <w:rPr>
                <w:rFonts w:ascii="宋体" w:eastAsia="宋体" w:hAnsi="宋体" w:cs="宋体" w:hint="eastAsia"/>
                <w:spacing w:val="10"/>
                <w:sz w:val="24"/>
                <w:szCs w:val="24"/>
              </w:rPr>
              <w:t>参与单位名称</w:t>
            </w:r>
          </w:p>
        </w:tc>
        <w:tc>
          <w:tcPr>
            <w:tcW w:w="6614" w:type="dxa"/>
            <w:gridSpan w:val="2"/>
            <w:vAlign w:val="center"/>
          </w:tcPr>
          <w:p w14:paraId="7FC805D1" w14:textId="77777777" w:rsidR="00336531" w:rsidRDefault="00336531" w:rsidP="00336531">
            <w:pPr>
              <w:kinsoku/>
              <w:autoSpaceDE/>
              <w:autoSpaceDN/>
              <w:spacing w:line="400" w:lineRule="exact"/>
              <w:ind w:firstLineChars="100" w:firstLine="240"/>
              <w:rPr>
                <w:rFonts w:ascii="宋体" w:eastAsia="宋体" w:hAnsi="宋体" w:cs="宋体" w:hint="eastAsia"/>
                <w:sz w:val="24"/>
                <w:szCs w:val="24"/>
              </w:rPr>
            </w:pPr>
            <w:r>
              <w:rPr>
                <w:rFonts w:ascii="宋体" w:eastAsia="宋体" w:hAnsi="宋体" w:cs="宋体" w:hint="eastAsia"/>
                <w:sz w:val="24"/>
                <w:szCs w:val="24"/>
              </w:rPr>
              <w:t>全市场公开</w:t>
            </w:r>
          </w:p>
        </w:tc>
      </w:tr>
      <w:tr w:rsidR="00336531" w14:paraId="501A50F8" w14:textId="77777777" w:rsidTr="00A50534">
        <w:trPr>
          <w:trHeight w:val="629"/>
          <w:jc w:val="center"/>
        </w:trPr>
        <w:tc>
          <w:tcPr>
            <w:tcW w:w="1912" w:type="dxa"/>
            <w:vAlign w:val="center"/>
          </w:tcPr>
          <w:p w14:paraId="4868027F" w14:textId="77777777" w:rsidR="00336531" w:rsidRDefault="00336531" w:rsidP="00336531">
            <w:pPr>
              <w:kinsoku/>
              <w:autoSpaceDE/>
              <w:autoSpaceDN/>
              <w:spacing w:line="400" w:lineRule="exact"/>
              <w:jc w:val="center"/>
              <w:rPr>
                <w:rFonts w:ascii="宋体" w:eastAsia="宋体" w:hAnsi="宋体" w:cs="宋体" w:hint="eastAsia"/>
                <w:sz w:val="24"/>
                <w:szCs w:val="24"/>
              </w:rPr>
            </w:pPr>
            <w:r>
              <w:rPr>
                <w:rFonts w:ascii="宋体" w:eastAsia="宋体" w:hAnsi="宋体" w:cs="宋体" w:hint="eastAsia"/>
                <w:spacing w:val="-1"/>
                <w:sz w:val="24"/>
                <w:szCs w:val="24"/>
              </w:rPr>
              <w:t xml:space="preserve">时 </w:t>
            </w:r>
            <w:r>
              <w:rPr>
                <w:rFonts w:ascii="宋体" w:eastAsia="宋体" w:hAnsi="宋体" w:cs="宋体" w:hint="eastAsia"/>
                <w:sz w:val="24"/>
                <w:szCs w:val="24"/>
              </w:rPr>
              <w:t>间</w:t>
            </w:r>
          </w:p>
        </w:tc>
        <w:tc>
          <w:tcPr>
            <w:tcW w:w="6614" w:type="dxa"/>
            <w:gridSpan w:val="2"/>
            <w:vAlign w:val="center"/>
          </w:tcPr>
          <w:p w14:paraId="59348D37" w14:textId="0316EC3D" w:rsidR="00336531" w:rsidRDefault="00336531" w:rsidP="00336531">
            <w:pPr>
              <w:kinsoku/>
              <w:autoSpaceDE/>
              <w:autoSpaceDN/>
              <w:spacing w:line="400" w:lineRule="exact"/>
              <w:ind w:firstLineChars="100" w:firstLine="240"/>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sz w:val="24"/>
                <w:szCs w:val="24"/>
              </w:rPr>
              <w:t>02</w:t>
            </w:r>
            <w:r w:rsidR="00725F5E">
              <w:rPr>
                <w:rFonts w:ascii="宋体" w:eastAsia="宋体" w:hAnsi="宋体" w:cs="宋体" w:hint="eastAsia"/>
                <w:sz w:val="24"/>
                <w:szCs w:val="24"/>
              </w:rPr>
              <w:t>6</w:t>
            </w:r>
            <w:r>
              <w:rPr>
                <w:rFonts w:ascii="宋体" w:eastAsia="宋体" w:hAnsi="宋体" w:cs="宋体" w:hint="eastAsia"/>
                <w:sz w:val="24"/>
                <w:szCs w:val="24"/>
              </w:rPr>
              <w:t>年</w:t>
            </w:r>
            <w:r w:rsidR="00725F5E">
              <w:rPr>
                <w:rFonts w:ascii="宋体" w:eastAsia="宋体" w:hAnsi="宋体" w:cs="宋体" w:hint="eastAsia"/>
                <w:sz w:val="24"/>
                <w:szCs w:val="24"/>
              </w:rPr>
              <w:t>4</w:t>
            </w:r>
            <w:r>
              <w:rPr>
                <w:rFonts w:ascii="宋体" w:eastAsia="宋体" w:hAnsi="宋体" w:cs="宋体" w:hint="eastAsia"/>
                <w:sz w:val="24"/>
                <w:szCs w:val="24"/>
              </w:rPr>
              <w:t>月</w:t>
            </w:r>
            <w:r w:rsidR="00725F5E">
              <w:rPr>
                <w:rFonts w:ascii="宋体" w:eastAsia="宋体" w:hAnsi="宋体" w:cs="宋体" w:hint="eastAsia"/>
                <w:sz w:val="24"/>
                <w:szCs w:val="24"/>
              </w:rPr>
              <w:t>9</w:t>
            </w:r>
            <w:r>
              <w:rPr>
                <w:rFonts w:ascii="宋体" w:eastAsia="宋体" w:hAnsi="宋体" w:cs="宋体" w:hint="eastAsia"/>
                <w:sz w:val="24"/>
                <w:szCs w:val="24"/>
              </w:rPr>
              <w:t>日（星期</w:t>
            </w:r>
            <w:r w:rsidR="00725F5E">
              <w:rPr>
                <w:rFonts w:ascii="宋体" w:eastAsia="宋体" w:hAnsi="宋体" w:cs="宋体" w:hint="eastAsia"/>
                <w:sz w:val="24"/>
                <w:szCs w:val="24"/>
              </w:rPr>
              <w:t>四</w:t>
            </w:r>
            <w:r>
              <w:rPr>
                <w:rFonts w:ascii="宋体" w:eastAsia="宋体" w:hAnsi="宋体" w:cs="宋体" w:hint="eastAsia"/>
                <w:sz w:val="24"/>
                <w:szCs w:val="24"/>
              </w:rPr>
              <w:t>）1</w:t>
            </w:r>
            <w:r>
              <w:rPr>
                <w:rFonts w:ascii="宋体" w:eastAsia="宋体" w:hAnsi="宋体" w:cs="宋体"/>
                <w:sz w:val="24"/>
                <w:szCs w:val="24"/>
              </w:rPr>
              <w:t>5</w:t>
            </w:r>
            <w:r>
              <w:rPr>
                <w:rFonts w:ascii="宋体" w:eastAsia="宋体" w:hAnsi="宋体" w:cs="宋体" w:hint="eastAsia"/>
                <w:sz w:val="24"/>
                <w:szCs w:val="24"/>
              </w:rPr>
              <w:t>:0</w:t>
            </w:r>
            <w:r>
              <w:rPr>
                <w:rFonts w:ascii="宋体" w:eastAsia="宋体" w:hAnsi="宋体" w:cs="宋体"/>
                <w:sz w:val="24"/>
                <w:szCs w:val="24"/>
              </w:rPr>
              <w:t>0-16</w:t>
            </w:r>
            <w:r>
              <w:rPr>
                <w:rFonts w:ascii="宋体" w:eastAsia="宋体" w:hAnsi="宋体" w:cs="宋体" w:hint="eastAsia"/>
                <w:sz w:val="24"/>
                <w:szCs w:val="24"/>
              </w:rPr>
              <w:t>:</w:t>
            </w:r>
            <w:r>
              <w:rPr>
                <w:rFonts w:ascii="宋体" w:eastAsia="宋体" w:hAnsi="宋体" w:cs="宋体"/>
                <w:sz w:val="24"/>
                <w:szCs w:val="24"/>
              </w:rPr>
              <w:t>00</w:t>
            </w:r>
          </w:p>
        </w:tc>
      </w:tr>
      <w:tr w:rsidR="00336531" w14:paraId="5CD67708" w14:textId="77777777" w:rsidTr="00A50534">
        <w:trPr>
          <w:trHeight w:val="629"/>
          <w:jc w:val="center"/>
        </w:trPr>
        <w:tc>
          <w:tcPr>
            <w:tcW w:w="1912" w:type="dxa"/>
            <w:vAlign w:val="center"/>
          </w:tcPr>
          <w:p w14:paraId="1CA119B4" w14:textId="77777777" w:rsidR="00336531" w:rsidRDefault="00336531" w:rsidP="00336531">
            <w:pPr>
              <w:kinsoku/>
              <w:autoSpaceDE/>
              <w:autoSpaceDN/>
              <w:spacing w:line="400" w:lineRule="exact"/>
              <w:jc w:val="center"/>
              <w:rPr>
                <w:rFonts w:ascii="宋体" w:eastAsia="宋体" w:hAnsi="宋体" w:cs="宋体" w:hint="eastAsia"/>
                <w:sz w:val="24"/>
                <w:szCs w:val="24"/>
              </w:rPr>
            </w:pPr>
            <w:r>
              <w:rPr>
                <w:rFonts w:ascii="宋体" w:eastAsia="宋体" w:hAnsi="宋体" w:cs="宋体" w:hint="eastAsia"/>
                <w:spacing w:val="5"/>
                <w:sz w:val="24"/>
                <w:szCs w:val="24"/>
              </w:rPr>
              <w:t>地 点</w:t>
            </w:r>
          </w:p>
        </w:tc>
        <w:tc>
          <w:tcPr>
            <w:tcW w:w="6614" w:type="dxa"/>
            <w:gridSpan w:val="2"/>
            <w:vAlign w:val="center"/>
          </w:tcPr>
          <w:p w14:paraId="6B63DF89" w14:textId="77777777" w:rsidR="00336531" w:rsidRDefault="00336531" w:rsidP="00336531">
            <w:pPr>
              <w:kinsoku/>
              <w:autoSpaceDE/>
              <w:autoSpaceDN/>
              <w:spacing w:line="400" w:lineRule="exact"/>
              <w:ind w:firstLineChars="100" w:firstLine="240"/>
              <w:rPr>
                <w:rFonts w:ascii="宋体" w:eastAsia="宋体" w:hAnsi="宋体" w:cs="宋体" w:hint="eastAsia"/>
                <w:sz w:val="24"/>
                <w:szCs w:val="24"/>
              </w:rPr>
            </w:pPr>
            <w:r w:rsidRPr="00B1709F">
              <w:rPr>
                <w:rFonts w:ascii="宋体" w:eastAsia="宋体" w:hAnsi="宋体" w:cs="宋体" w:hint="eastAsia"/>
                <w:sz w:val="24"/>
                <w:szCs w:val="24"/>
              </w:rPr>
              <w:t>上海证券交易所上证路演中心</w:t>
            </w:r>
          </w:p>
          <w:p w14:paraId="7183801B" w14:textId="77777777" w:rsidR="00336531" w:rsidRDefault="00336531" w:rsidP="00336531">
            <w:pPr>
              <w:kinsoku/>
              <w:autoSpaceDE/>
              <w:autoSpaceDN/>
              <w:spacing w:line="400" w:lineRule="exact"/>
              <w:ind w:firstLineChars="100" w:firstLine="240"/>
              <w:rPr>
                <w:rFonts w:ascii="宋体" w:eastAsia="宋体" w:hAnsi="宋体" w:cs="宋体" w:hint="eastAsia"/>
                <w:sz w:val="24"/>
                <w:szCs w:val="24"/>
              </w:rPr>
            </w:pPr>
            <w:r w:rsidRPr="00B1709F">
              <w:rPr>
                <w:rFonts w:ascii="宋体" w:eastAsia="宋体" w:hAnsi="宋体" w:cs="宋体" w:hint="eastAsia"/>
                <w:sz w:val="24"/>
                <w:szCs w:val="24"/>
              </w:rPr>
              <w:t>（网址：</w:t>
            </w:r>
            <w:hyperlink r:id="rId8" w:history="1">
              <w:r w:rsidRPr="008F72D5">
                <w:rPr>
                  <w:rStyle w:val="a8"/>
                  <w:rFonts w:ascii="宋体" w:eastAsia="宋体" w:hAnsi="宋体" w:cs="宋体"/>
                  <w:sz w:val="24"/>
                  <w:szCs w:val="24"/>
                </w:rPr>
                <w:t>https://roadshow.sseinfo.com</w:t>
              </w:r>
            </w:hyperlink>
            <w:r>
              <w:rPr>
                <w:rFonts w:ascii="宋体" w:eastAsia="宋体" w:hAnsi="宋体" w:cs="宋体" w:hint="eastAsia"/>
                <w:sz w:val="24"/>
                <w:szCs w:val="24"/>
              </w:rPr>
              <w:t>）</w:t>
            </w:r>
          </w:p>
        </w:tc>
      </w:tr>
      <w:tr w:rsidR="00336531" w14:paraId="069AAFD9" w14:textId="77777777" w:rsidTr="00A50534">
        <w:trPr>
          <w:trHeight w:val="1252"/>
          <w:jc w:val="center"/>
        </w:trPr>
        <w:tc>
          <w:tcPr>
            <w:tcW w:w="1912" w:type="dxa"/>
            <w:vAlign w:val="center"/>
          </w:tcPr>
          <w:p w14:paraId="2AA1450D" w14:textId="77777777" w:rsidR="00336531" w:rsidRDefault="00336531" w:rsidP="00336531">
            <w:pPr>
              <w:kinsoku/>
              <w:autoSpaceDE/>
              <w:autoSpaceDN/>
              <w:spacing w:line="400" w:lineRule="exact"/>
              <w:jc w:val="center"/>
              <w:rPr>
                <w:rFonts w:ascii="宋体" w:eastAsia="宋体" w:hAnsi="宋体" w:cs="宋体" w:hint="eastAsia"/>
                <w:spacing w:val="10"/>
                <w:sz w:val="24"/>
                <w:szCs w:val="24"/>
              </w:rPr>
            </w:pPr>
            <w:r>
              <w:rPr>
                <w:rFonts w:ascii="宋体" w:eastAsia="宋体" w:hAnsi="宋体" w:cs="宋体" w:hint="eastAsia"/>
                <w:spacing w:val="10"/>
                <w:sz w:val="24"/>
                <w:szCs w:val="24"/>
              </w:rPr>
              <w:t>上市公司参加</w:t>
            </w:r>
          </w:p>
          <w:p w14:paraId="07E2C0B8" w14:textId="77777777" w:rsidR="00336531" w:rsidRDefault="00336531" w:rsidP="00336531">
            <w:pPr>
              <w:kinsoku/>
              <w:autoSpaceDE/>
              <w:autoSpaceDN/>
              <w:spacing w:line="400" w:lineRule="exact"/>
              <w:jc w:val="center"/>
              <w:rPr>
                <w:rFonts w:ascii="宋体" w:eastAsia="宋体" w:hAnsi="宋体" w:cs="宋体" w:hint="eastAsia"/>
                <w:sz w:val="24"/>
                <w:szCs w:val="24"/>
              </w:rPr>
            </w:pPr>
            <w:r>
              <w:rPr>
                <w:rFonts w:ascii="宋体" w:eastAsia="宋体" w:hAnsi="宋体" w:cs="宋体" w:hint="eastAsia"/>
                <w:spacing w:val="10"/>
                <w:sz w:val="24"/>
                <w:szCs w:val="24"/>
              </w:rPr>
              <w:t>人</w:t>
            </w:r>
            <w:r>
              <w:rPr>
                <w:rFonts w:ascii="宋体" w:eastAsia="宋体" w:hAnsi="宋体" w:cs="宋体" w:hint="eastAsia"/>
                <w:spacing w:val="5"/>
                <w:sz w:val="24"/>
                <w:szCs w:val="24"/>
              </w:rPr>
              <w:t>员</w:t>
            </w:r>
            <w:r>
              <w:rPr>
                <w:rFonts w:ascii="宋体" w:eastAsia="宋体" w:hAnsi="宋体" w:cs="宋体" w:hint="eastAsia"/>
                <w:spacing w:val="3"/>
                <w:sz w:val="24"/>
                <w:szCs w:val="24"/>
              </w:rPr>
              <w:t>姓名</w:t>
            </w:r>
          </w:p>
        </w:tc>
        <w:tc>
          <w:tcPr>
            <w:tcW w:w="6614" w:type="dxa"/>
            <w:gridSpan w:val="2"/>
          </w:tcPr>
          <w:p w14:paraId="210800C7" w14:textId="77777777" w:rsidR="00336531" w:rsidRDefault="00336531" w:rsidP="00336531">
            <w:pPr>
              <w:kinsoku/>
              <w:autoSpaceDE/>
              <w:autoSpaceDN/>
              <w:spacing w:line="400" w:lineRule="exact"/>
              <w:ind w:firstLineChars="100" w:firstLine="240"/>
              <w:rPr>
                <w:rFonts w:ascii="宋体" w:eastAsia="宋体" w:hAnsi="宋体" w:cs="宋体" w:hint="eastAsia"/>
                <w:sz w:val="24"/>
                <w:szCs w:val="24"/>
              </w:rPr>
            </w:pPr>
            <w:r>
              <w:rPr>
                <w:rFonts w:ascii="宋体" w:eastAsia="宋体" w:hAnsi="宋体" w:cs="宋体" w:hint="eastAsia"/>
                <w:sz w:val="24"/>
                <w:szCs w:val="24"/>
              </w:rPr>
              <w:t xml:space="preserve">陶卫东 </w:t>
            </w:r>
            <w:r>
              <w:rPr>
                <w:rFonts w:ascii="宋体" w:eastAsia="宋体" w:hAnsi="宋体" w:cs="宋体"/>
                <w:sz w:val="24"/>
                <w:szCs w:val="24"/>
              </w:rPr>
              <w:t xml:space="preserve"> </w:t>
            </w:r>
            <w:r>
              <w:rPr>
                <w:rFonts w:ascii="宋体" w:eastAsia="宋体" w:hAnsi="宋体" w:cs="宋体" w:hint="eastAsia"/>
                <w:sz w:val="24"/>
                <w:szCs w:val="24"/>
              </w:rPr>
              <w:t>执行董事、总经理</w:t>
            </w:r>
          </w:p>
          <w:p w14:paraId="4B129308" w14:textId="77777777" w:rsidR="00336531" w:rsidRDefault="00336531" w:rsidP="00336531">
            <w:pPr>
              <w:kinsoku/>
              <w:autoSpaceDE/>
              <w:autoSpaceDN/>
              <w:spacing w:line="400" w:lineRule="exact"/>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 xml:space="preserve">马时亨 </w:t>
            </w:r>
            <w:r>
              <w:rPr>
                <w:rFonts w:ascii="宋体" w:eastAsia="宋体" w:hAnsi="宋体" w:cs="宋体"/>
                <w:sz w:val="24"/>
                <w:szCs w:val="24"/>
              </w:rPr>
              <w:t xml:space="preserve"> </w:t>
            </w:r>
            <w:r>
              <w:rPr>
                <w:rFonts w:ascii="宋体" w:eastAsia="宋体" w:hAnsi="宋体" w:cs="宋体" w:hint="eastAsia"/>
                <w:sz w:val="24"/>
                <w:szCs w:val="24"/>
              </w:rPr>
              <w:t>独立非执行董事</w:t>
            </w:r>
          </w:p>
          <w:p w14:paraId="229F715A" w14:textId="56A32373" w:rsidR="00336531" w:rsidRDefault="00336531" w:rsidP="00336531">
            <w:pPr>
              <w:kinsoku/>
              <w:autoSpaceDE/>
              <w:autoSpaceDN/>
              <w:spacing w:line="400" w:lineRule="exact"/>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 xml:space="preserve">肖俊光 </w:t>
            </w:r>
            <w:r>
              <w:rPr>
                <w:rFonts w:ascii="宋体" w:eastAsia="宋体" w:hAnsi="宋体" w:cs="宋体"/>
                <w:sz w:val="24"/>
                <w:szCs w:val="24"/>
              </w:rPr>
              <w:t xml:space="preserve"> </w:t>
            </w:r>
            <w:r>
              <w:rPr>
                <w:rFonts w:ascii="宋体" w:eastAsia="宋体" w:hAnsi="宋体" w:cs="宋体" w:hint="eastAsia"/>
                <w:sz w:val="24"/>
                <w:szCs w:val="24"/>
              </w:rPr>
              <w:t>董事会秘书</w:t>
            </w:r>
          </w:p>
          <w:p w14:paraId="59CC3C32" w14:textId="43C71BA0" w:rsidR="00336531" w:rsidRDefault="00336531" w:rsidP="00336531">
            <w:pPr>
              <w:kinsoku/>
              <w:autoSpaceDE/>
              <w:autoSpaceDN/>
              <w:spacing w:line="400" w:lineRule="exact"/>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sz w:val="24"/>
                <w:szCs w:val="24"/>
              </w:rPr>
              <w:t xml:space="preserve"> </w:t>
            </w:r>
            <w:r w:rsidR="00DA3923">
              <w:rPr>
                <w:rFonts w:ascii="宋体" w:eastAsia="宋体" w:hAnsi="宋体" w:cs="宋体" w:hint="eastAsia"/>
                <w:sz w:val="24"/>
                <w:szCs w:val="24"/>
              </w:rPr>
              <w:t xml:space="preserve">钱 明   </w:t>
            </w:r>
            <w:r>
              <w:rPr>
                <w:rFonts w:ascii="宋体" w:eastAsia="宋体" w:hAnsi="宋体" w:cs="宋体" w:hint="eastAsia"/>
                <w:sz w:val="24"/>
                <w:szCs w:val="24"/>
              </w:rPr>
              <w:t>副总经理</w:t>
            </w:r>
          </w:p>
          <w:p w14:paraId="0B2E3457" w14:textId="77777777" w:rsidR="00336531" w:rsidRDefault="00336531" w:rsidP="00336531">
            <w:pPr>
              <w:kinsoku/>
              <w:autoSpaceDE/>
              <w:autoSpaceDN/>
              <w:spacing w:line="400" w:lineRule="exact"/>
              <w:ind w:firstLineChars="100" w:firstLine="240"/>
              <w:rPr>
                <w:rFonts w:ascii="宋体" w:eastAsia="宋体" w:hAnsi="宋体" w:cs="宋体" w:hint="eastAsia"/>
                <w:sz w:val="24"/>
                <w:szCs w:val="24"/>
              </w:rPr>
            </w:pPr>
            <w:r>
              <w:rPr>
                <w:rFonts w:ascii="宋体" w:eastAsia="宋体" w:hAnsi="宋体" w:cs="宋体" w:hint="eastAsia"/>
                <w:sz w:val="24"/>
                <w:szCs w:val="24"/>
              </w:rPr>
              <w:t>潘志刚</w:t>
            </w:r>
            <w:r>
              <w:rPr>
                <w:rFonts w:ascii="宋体" w:eastAsia="宋体" w:hAnsi="宋体" w:cs="宋体"/>
                <w:sz w:val="24"/>
                <w:szCs w:val="24"/>
              </w:rPr>
              <w:t xml:space="preserve">  </w:t>
            </w:r>
            <w:r>
              <w:rPr>
                <w:rFonts w:ascii="宋体" w:eastAsia="宋体" w:hAnsi="宋体" w:cs="宋体" w:hint="eastAsia"/>
                <w:sz w:val="24"/>
                <w:szCs w:val="24"/>
              </w:rPr>
              <w:t>总会计师</w:t>
            </w:r>
          </w:p>
        </w:tc>
      </w:tr>
      <w:tr w:rsidR="00336531" w14:paraId="5702766C" w14:textId="77777777" w:rsidTr="00A50534">
        <w:trPr>
          <w:trHeight w:val="2812"/>
          <w:jc w:val="center"/>
        </w:trPr>
        <w:tc>
          <w:tcPr>
            <w:tcW w:w="1912" w:type="dxa"/>
            <w:vAlign w:val="center"/>
          </w:tcPr>
          <w:p w14:paraId="7758BAD2" w14:textId="77777777" w:rsidR="00336531" w:rsidRDefault="00336531" w:rsidP="00336531">
            <w:pPr>
              <w:kinsoku/>
              <w:autoSpaceDE/>
              <w:autoSpaceDN/>
              <w:spacing w:line="400" w:lineRule="exact"/>
              <w:jc w:val="center"/>
              <w:rPr>
                <w:rFonts w:ascii="宋体" w:eastAsia="宋体" w:hAnsi="宋体" w:cs="宋体" w:hint="eastAsia"/>
                <w:spacing w:val="9"/>
                <w:sz w:val="24"/>
                <w:szCs w:val="24"/>
              </w:rPr>
            </w:pPr>
            <w:r>
              <w:rPr>
                <w:rFonts w:ascii="宋体" w:eastAsia="宋体" w:hAnsi="宋体" w:cs="宋体" w:hint="eastAsia"/>
                <w:spacing w:val="10"/>
                <w:sz w:val="24"/>
                <w:szCs w:val="24"/>
              </w:rPr>
              <w:t>投资者关系活</w:t>
            </w:r>
            <w:r>
              <w:rPr>
                <w:rFonts w:ascii="宋体" w:eastAsia="宋体" w:hAnsi="宋体" w:cs="宋体" w:hint="eastAsia"/>
                <w:spacing w:val="9"/>
                <w:sz w:val="24"/>
                <w:szCs w:val="24"/>
              </w:rPr>
              <w:t>动</w:t>
            </w:r>
          </w:p>
          <w:p w14:paraId="220403D3" w14:textId="77777777" w:rsidR="00336531" w:rsidRDefault="00336531" w:rsidP="00336531">
            <w:pPr>
              <w:kinsoku/>
              <w:autoSpaceDE/>
              <w:autoSpaceDN/>
              <w:spacing w:line="400" w:lineRule="exact"/>
              <w:jc w:val="center"/>
              <w:rPr>
                <w:rFonts w:ascii="宋体" w:eastAsia="宋体" w:hAnsi="宋体" w:cs="宋体" w:hint="eastAsia"/>
                <w:sz w:val="24"/>
                <w:szCs w:val="24"/>
              </w:rPr>
            </w:pPr>
            <w:r>
              <w:rPr>
                <w:rFonts w:ascii="宋体" w:eastAsia="宋体" w:hAnsi="宋体" w:cs="宋体" w:hint="eastAsia"/>
                <w:spacing w:val="8"/>
                <w:sz w:val="24"/>
                <w:szCs w:val="24"/>
              </w:rPr>
              <w:t>主要内容介绍</w:t>
            </w:r>
          </w:p>
        </w:tc>
        <w:tc>
          <w:tcPr>
            <w:tcW w:w="6614" w:type="dxa"/>
            <w:gridSpan w:val="2"/>
          </w:tcPr>
          <w:p w14:paraId="0F13811C" w14:textId="1497E288" w:rsidR="00336531" w:rsidRDefault="00336531" w:rsidP="00336531">
            <w:pPr>
              <w:kinsoku/>
              <w:autoSpaceDE/>
              <w:autoSpaceDN/>
              <w:spacing w:line="400" w:lineRule="exact"/>
              <w:ind w:firstLineChars="200" w:firstLine="480"/>
              <w:rPr>
                <w:rFonts w:ascii="宋体" w:eastAsia="宋体" w:hAnsi="宋体" w:cs="宋体" w:hint="eastAsia"/>
                <w:sz w:val="24"/>
                <w:szCs w:val="24"/>
              </w:rPr>
            </w:pPr>
            <w:r w:rsidRPr="00422874">
              <w:rPr>
                <w:rFonts w:ascii="宋体" w:eastAsia="宋体" w:hAnsi="宋体" w:cs="宋体"/>
                <w:sz w:val="24"/>
                <w:szCs w:val="24"/>
              </w:rPr>
              <w:t>20</w:t>
            </w:r>
            <w:r>
              <w:rPr>
                <w:rFonts w:ascii="宋体" w:eastAsia="宋体" w:hAnsi="宋体" w:cs="宋体"/>
                <w:sz w:val="24"/>
                <w:szCs w:val="24"/>
              </w:rPr>
              <w:t>2</w:t>
            </w:r>
            <w:r w:rsidR="00725F5E">
              <w:rPr>
                <w:rFonts w:ascii="宋体" w:eastAsia="宋体" w:hAnsi="宋体" w:cs="宋体" w:hint="eastAsia"/>
                <w:sz w:val="24"/>
                <w:szCs w:val="24"/>
              </w:rPr>
              <w:t>6</w:t>
            </w:r>
            <w:r w:rsidRPr="00422874">
              <w:rPr>
                <w:rFonts w:ascii="宋体" w:eastAsia="宋体" w:hAnsi="宋体" w:cs="宋体" w:hint="eastAsia"/>
                <w:sz w:val="24"/>
                <w:szCs w:val="24"/>
              </w:rPr>
              <w:t>年</w:t>
            </w:r>
            <w:r w:rsidR="00725F5E">
              <w:rPr>
                <w:rFonts w:ascii="宋体" w:eastAsia="宋体" w:hAnsi="宋体" w:cs="宋体" w:hint="eastAsia"/>
                <w:sz w:val="24"/>
                <w:szCs w:val="24"/>
              </w:rPr>
              <w:t>4</w:t>
            </w:r>
            <w:r w:rsidRPr="00422874">
              <w:rPr>
                <w:rFonts w:ascii="宋体" w:eastAsia="宋体" w:hAnsi="宋体" w:cs="宋体" w:hint="eastAsia"/>
                <w:sz w:val="24"/>
                <w:szCs w:val="24"/>
              </w:rPr>
              <w:t>月</w:t>
            </w:r>
            <w:r w:rsidR="00725F5E">
              <w:rPr>
                <w:rFonts w:ascii="宋体" w:eastAsia="宋体" w:hAnsi="宋体" w:cs="宋体" w:hint="eastAsia"/>
                <w:sz w:val="24"/>
                <w:szCs w:val="24"/>
              </w:rPr>
              <w:t>9</w:t>
            </w:r>
            <w:r w:rsidRPr="00422874">
              <w:rPr>
                <w:rFonts w:ascii="宋体" w:eastAsia="宋体" w:hAnsi="宋体" w:cs="宋体" w:hint="eastAsia"/>
                <w:sz w:val="24"/>
                <w:szCs w:val="24"/>
              </w:rPr>
              <w:t>日</w:t>
            </w:r>
            <w:r>
              <w:rPr>
                <w:rFonts w:ascii="宋体" w:eastAsia="宋体" w:hAnsi="宋体" w:cs="宋体" w:hint="eastAsia"/>
                <w:sz w:val="24"/>
                <w:szCs w:val="24"/>
              </w:rPr>
              <w:t>（星期</w:t>
            </w:r>
            <w:r w:rsidR="00725F5E">
              <w:rPr>
                <w:rFonts w:ascii="宋体" w:eastAsia="宋体" w:hAnsi="宋体" w:cs="宋体" w:hint="eastAsia"/>
                <w:sz w:val="24"/>
                <w:szCs w:val="24"/>
              </w:rPr>
              <w:t>四</w:t>
            </w:r>
            <w:r>
              <w:rPr>
                <w:rFonts w:ascii="宋体" w:eastAsia="宋体" w:hAnsi="宋体" w:cs="宋体" w:hint="eastAsia"/>
                <w:sz w:val="24"/>
                <w:szCs w:val="24"/>
              </w:rPr>
              <w:t>）下午</w:t>
            </w:r>
            <w:r w:rsidRPr="00422874">
              <w:rPr>
                <w:rFonts w:ascii="宋体" w:eastAsia="宋体" w:hAnsi="宋体" w:cs="宋体" w:hint="eastAsia"/>
                <w:sz w:val="24"/>
                <w:szCs w:val="24"/>
              </w:rPr>
              <w:t>，</w:t>
            </w:r>
            <w:r>
              <w:rPr>
                <w:rFonts w:ascii="宋体" w:eastAsia="宋体" w:hAnsi="宋体" w:cs="宋体" w:hint="eastAsia"/>
                <w:sz w:val="24"/>
                <w:szCs w:val="24"/>
              </w:rPr>
              <w:t>中远海控在</w:t>
            </w:r>
            <w:r w:rsidRPr="00B1709F">
              <w:rPr>
                <w:rFonts w:ascii="宋体" w:eastAsia="宋体" w:hAnsi="宋体" w:cs="宋体" w:hint="eastAsia"/>
                <w:sz w:val="24"/>
                <w:szCs w:val="24"/>
              </w:rPr>
              <w:t>上海证券交易所</w:t>
            </w:r>
            <w:r>
              <w:rPr>
                <w:rFonts w:ascii="宋体" w:eastAsia="宋体" w:hAnsi="宋体" w:cs="宋体" w:hint="eastAsia"/>
                <w:sz w:val="24"/>
                <w:szCs w:val="24"/>
              </w:rPr>
              <w:t>上证路演中心以</w:t>
            </w:r>
            <w:r w:rsidR="0032044F" w:rsidRPr="0032044F">
              <w:rPr>
                <w:rFonts w:ascii="宋体" w:eastAsia="宋体" w:hAnsi="宋体" w:cs="宋体" w:hint="eastAsia"/>
                <w:sz w:val="24"/>
                <w:szCs w:val="24"/>
              </w:rPr>
              <w:t>视频录播</w:t>
            </w:r>
            <w:r w:rsidR="0032044F" w:rsidRPr="0032044F">
              <w:rPr>
                <w:rFonts w:ascii="宋体" w:eastAsia="宋体" w:hAnsi="宋体" w:cs="宋体"/>
                <w:sz w:val="24"/>
                <w:szCs w:val="24"/>
              </w:rPr>
              <w:t>+</w:t>
            </w:r>
            <w:r>
              <w:rPr>
                <w:rFonts w:ascii="宋体" w:eastAsia="宋体" w:hAnsi="宋体" w:cs="宋体" w:hint="eastAsia"/>
                <w:sz w:val="24"/>
                <w:szCs w:val="24"/>
              </w:rPr>
              <w:t>网络</w:t>
            </w:r>
            <w:r w:rsidR="0032044F">
              <w:rPr>
                <w:rFonts w:ascii="宋体" w:eastAsia="宋体" w:hAnsi="宋体" w:cs="宋体" w:hint="eastAsia"/>
                <w:sz w:val="24"/>
                <w:szCs w:val="24"/>
              </w:rPr>
              <w:t>文字</w:t>
            </w:r>
            <w:r>
              <w:rPr>
                <w:rFonts w:ascii="宋体" w:eastAsia="宋体" w:hAnsi="宋体" w:cs="宋体" w:hint="eastAsia"/>
                <w:sz w:val="24"/>
                <w:szCs w:val="24"/>
              </w:rPr>
              <w:t>互动的方式召开了</w:t>
            </w:r>
            <w:r w:rsidRPr="00422874">
              <w:rPr>
                <w:rFonts w:ascii="宋体" w:eastAsia="宋体" w:hAnsi="宋体" w:cs="宋体" w:hint="eastAsia"/>
                <w:sz w:val="24"/>
                <w:szCs w:val="24"/>
              </w:rPr>
              <w:t>“</w:t>
            </w:r>
            <w:r>
              <w:rPr>
                <w:rFonts w:ascii="宋体" w:eastAsia="宋体" w:hAnsi="宋体" w:cs="宋体" w:hint="eastAsia"/>
                <w:sz w:val="24"/>
                <w:szCs w:val="24"/>
              </w:rPr>
              <w:t>中远海控2</w:t>
            </w:r>
            <w:r>
              <w:rPr>
                <w:rFonts w:ascii="宋体" w:eastAsia="宋体" w:hAnsi="宋体" w:cs="宋体"/>
                <w:sz w:val="24"/>
                <w:szCs w:val="24"/>
              </w:rPr>
              <w:t>02</w:t>
            </w:r>
            <w:r w:rsidR="005A01CD">
              <w:rPr>
                <w:rFonts w:ascii="宋体" w:eastAsia="宋体" w:hAnsi="宋体" w:cs="宋体" w:hint="eastAsia"/>
                <w:sz w:val="24"/>
                <w:szCs w:val="24"/>
              </w:rPr>
              <w:t>5</w:t>
            </w:r>
            <w:r>
              <w:rPr>
                <w:rFonts w:ascii="宋体" w:eastAsia="宋体" w:hAnsi="宋体" w:cs="宋体" w:hint="eastAsia"/>
                <w:sz w:val="24"/>
                <w:szCs w:val="24"/>
              </w:rPr>
              <w:t>年</w:t>
            </w:r>
            <w:r w:rsidR="00725F5E">
              <w:rPr>
                <w:rFonts w:ascii="宋体" w:eastAsia="宋体" w:hAnsi="宋体" w:cs="宋体" w:hint="eastAsia"/>
                <w:sz w:val="24"/>
                <w:szCs w:val="24"/>
              </w:rPr>
              <w:t>年</w:t>
            </w:r>
            <w:r>
              <w:rPr>
                <w:rFonts w:ascii="宋体" w:eastAsia="宋体" w:hAnsi="宋体" w:cs="宋体" w:hint="eastAsia"/>
                <w:sz w:val="24"/>
                <w:szCs w:val="24"/>
              </w:rPr>
              <w:t>度业绩说明会</w:t>
            </w:r>
            <w:r w:rsidRPr="00422874">
              <w:rPr>
                <w:rFonts w:ascii="宋体" w:eastAsia="宋体" w:hAnsi="宋体" w:cs="宋体" w:hint="eastAsia"/>
                <w:sz w:val="24"/>
                <w:szCs w:val="24"/>
              </w:rPr>
              <w:t>”</w:t>
            </w:r>
            <w:r>
              <w:rPr>
                <w:rFonts w:ascii="宋体" w:eastAsia="宋体" w:hAnsi="宋体" w:cs="宋体" w:hint="eastAsia"/>
                <w:sz w:val="24"/>
                <w:szCs w:val="24"/>
              </w:rPr>
              <w:t>，就以下投资者关心的问题进行了互动交流，具体如下：</w:t>
            </w:r>
          </w:p>
          <w:p w14:paraId="7A4CBF46" w14:textId="77777777" w:rsidR="00336531" w:rsidRDefault="00336531" w:rsidP="00336531">
            <w:pPr>
              <w:shd w:val="clear" w:color="auto" w:fill="FFFFFF"/>
              <w:ind w:firstLineChars="200" w:firstLine="480"/>
              <w:rPr>
                <w:rFonts w:ascii="宋体" w:eastAsia="宋体" w:hAnsi="宋体" w:cs="Times New Roman" w:hint="eastAsia"/>
                <w:color w:val="000000" w:themeColor="text1"/>
                <w:sz w:val="24"/>
                <w:szCs w:val="24"/>
              </w:rPr>
            </w:pPr>
          </w:p>
          <w:p w14:paraId="50A3FA4B" w14:textId="77777777" w:rsidR="00725F5E" w:rsidRPr="005A11D1" w:rsidRDefault="00725F5E" w:rsidP="00725F5E">
            <w:pPr>
              <w:shd w:val="clear" w:color="auto" w:fill="FFFFFF"/>
              <w:ind w:firstLineChars="200" w:firstLine="482"/>
              <w:rPr>
                <w:rFonts w:ascii="宋体" w:eastAsia="宋体" w:hAnsi="宋体" w:cs="Times New Roman" w:hint="eastAsia"/>
                <w:b/>
                <w:bCs/>
                <w:snapToGrid/>
                <w:color w:val="000000" w:themeColor="text1"/>
                <w:sz w:val="24"/>
                <w:szCs w:val="24"/>
              </w:rPr>
            </w:pPr>
            <w:r w:rsidRPr="005A11D1">
              <w:rPr>
                <w:rFonts w:ascii="宋体" w:eastAsia="宋体" w:hAnsi="宋体" w:cs="Times New Roman" w:hint="eastAsia"/>
                <w:b/>
                <w:bCs/>
                <w:color w:val="000000" w:themeColor="text1"/>
                <w:sz w:val="24"/>
                <w:szCs w:val="24"/>
              </w:rPr>
              <w:t>1、</w:t>
            </w:r>
            <w:r w:rsidRPr="005A11D1">
              <w:rPr>
                <w:rFonts w:ascii="宋体" w:eastAsia="宋体" w:hAnsi="宋体" w:cs="Times New Roman" w:hint="eastAsia"/>
                <w:b/>
                <w:bCs/>
                <w:snapToGrid/>
                <w:color w:val="000000" w:themeColor="text1"/>
                <w:sz w:val="24"/>
                <w:szCs w:val="24"/>
              </w:rPr>
              <w:t xml:space="preserve"> 中东局势持续紧张，公司采取了哪些应对措施？公司恢复订舱后，实际货运需求如何？ 面对全球贸易格局加速向区域化、多元化、近岸化方向演进，公司在船队优化与港口布局方面，将如何部署？</w:t>
            </w:r>
          </w:p>
          <w:p w14:paraId="3DC5E603" w14:textId="77777777" w:rsidR="00725F5E" w:rsidRDefault="00725F5E" w:rsidP="00725F5E">
            <w:pPr>
              <w:shd w:val="clear" w:color="auto" w:fill="FFFFFF"/>
              <w:ind w:firstLineChars="200" w:firstLine="480"/>
              <w:rPr>
                <w:rFonts w:ascii="宋体" w:eastAsia="宋体" w:hAnsi="宋体" w:cs="Times New Roman" w:hint="eastAsia"/>
                <w:color w:val="000000" w:themeColor="text1"/>
                <w:sz w:val="24"/>
                <w:szCs w:val="24"/>
              </w:rPr>
            </w:pPr>
          </w:p>
          <w:p w14:paraId="6C15E7F7"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尊敬的投资者，您好！</w:t>
            </w:r>
          </w:p>
          <w:p w14:paraId="1F70D7A2"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国际贸易政策和地缘局势的不确定性，放大了全球供应链的波动性，推动全球贸易格局加速向区域化、多元化、近岸化方向演进。</w:t>
            </w:r>
          </w:p>
          <w:p w14:paraId="470D20B7"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lastRenderedPageBreak/>
              <w:t>关于中东地区冲突的影响，集运市场涉及中东航线的运力占全球总运力的比重较小，该地区局势所带来的运力溢出影响总的来说较为有限。对公司自身而言，相关航线的营业收入占营收总额较小，因此对于公司收入端的影响目前看比较有限。</w:t>
            </w:r>
          </w:p>
          <w:p w14:paraId="5DACF587"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目前，集运市场仍有部分船公司暂未恢复中东航线订舱。3月4日，公司发布告客户书，暂停中东相关航线新订舱业务。为了满足广大客户对该流向的货运需求，3月25日公司更新了中东地区服务，经多式联运转运方式，恢复远东至中东地区阿联酋、沙特、巴林、卡塔尔、科威特、伊拉克、阿曼等国家的新订舱业务（普通箱）。具体运输方案为：（1）阿布扎比和杰贝阿里的本地货：可经由豪尔费坎或富查伊拉任一港口，通过保税陆桥方式运输。（2）海湾上游国家货物：自豪尔费坎或富查伊拉通过保税陆桥运至阿布扎比CSP，衔接以阿布扎比CSP为枢纽的自有支线网络，转运至阿联酋其他地区、沙特、卡塔尔、巴林、科威特及伊拉克。（3）阿曼货物：自印度孟买新港转运至阿曼苏哈尔。目前，市场整体需求正在逐步恢复。但鉴于中东地区局势的不确定性，上述新订舱业务的安排以及实际的运输可能会有变动。目前，公司暂未考虑恢复霍尔木兹海峡通行。同时，公司会持续关注中东地区事态发展，并通过官方网站及客服渠道及时向客户更新后续进展。</w:t>
            </w:r>
          </w:p>
          <w:p w14:paraId="4F542F35"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关于船队优化与港口布局规划，公司将统筹推进双品牌航线运力租造项目和航线网络优化设计相适配，通过多重路径实现年度运力的有效增长、运力结构优化和均衡布局，力争保持行业第一梯队。以秘鲁钱凯港、希腊比雷埃夫斯港、阿布扎比港等为战略枢纽，加快铺设面向全球的干支航线网络，同步加速与之相匹配的集疏运体系能力建设。同时，兼顾全球区域其它关键港口资源和配套物流资源的获取和锁定，推进落实全球港口资源、供应链资源基础设施前瞻性规划布局，以关键枢纽节点的互联互通实现“连线成网”的能力跃升。港口布局上，将以“对外拓展全球布局、对内深耕效益”为主线，构建成熟市场与新兴市场协同发展的全球码头网络，重点提升秘鲁钱凯港、比雷埃夫斯码头、阿布扎比码头等关键枢纽服务能级，完善支线网络布局，增强航线聚集效应，实现各码头协同发展。</w:t>
            </w:r>
          </w:p>
          <w:p w14:paraId="6BA3E50F"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谢谢关注！</w:t>
            </w:r>
          </w:p>
          <w:p w14:paraId="0997645E"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p>
          <w:p w14:paraId="0FF21DA1" w14:textId="77777777" w:rsidR="00725F5E" w:rsidRPr="005A11D1" w:rsidRDefault="00725F5E" w:rsidP="00725F5E">
            <w:pPr>
              <w:shd w:val="clear" w:color="auto" w:fill="FFFFFF"/>
              <w:ind w:firstLineChars="200" w:firstLine="482"/>
              <w:rPr>
                <w:rFonts w:ascii="宋体" w:eastAsia="宋体" w:hAnsi="宋体" w:cs="Times New Roman" w:hint="eastAsia"/>
                <w:b/>
                <w:bCs/>
                <w:snapToGrid/>
                <w:color w:val="000000" w:themeColor="text1"/>
                <w:sz w:val="24"/>
                <w:szCs w:val="24"/>
              </w:rPr>
            </w:pPr>
            <w:r>
              <w:rPr>
                <w:rFonts w:ascii="宋体" w:eastAsia="宋体" w:hAnsi="宋体" w:cs="Times New Roman" w:hint="eastAsia"/>
                <w:b/>
                <w:bCs/>
                <w:color w:val="000000" w:themeColor="text1"/>
                <w:sz w:val="24"/>
                <w:szCs w:val="24"/>
              </w:rPr>
              <w:t>2、请介绍一下，</w:t>
            </w:r>
            <w:r w:rsidRPr="005A11D1">
              <w:rPr>
                <w:rFonts w:ascii="宋体" w:eastAsia="宋体" w:hAnsi="宋体" w:cs="Times New Roman" w:hint="eastAsia"/>
                <w:b/>
                <w:bCs/>
                <w:snapToGrid/>
                <w:color w:val="000000" w:themeColor="text1"/>
                <w:sz w:val="24"/>
                <w:szCs w:val="24"/>
              </w:rPr>
              <w:t>和同业相比中远海控有哪些竞争优势。</w:t>
            </w:r>
          </w:p>
          <w:p w14:paraId="566754CC" w14:textId="77777777" w:rsidR="00725F5E" w:rsidRDefault="00725F5E" w:rsidP="00725F5E">
            <w:pPr>
              <w:shd w:val="clear" w:color="auto" w:fill="FFFFFF"/>
              <w:ind w:firstLineChars="200" w:firstLine="480"/>
              <w:rPr>
                <w:rFonts w:ascii="宋体" w:eastAsia="宋体" w:hAnsi="宋体" w:cs="Times New Roman" w:hint="eastAsia"/>
                <w:color w:val="000000" w:themeColor="text1"/>
                <w:sz w:val="24"/>
                <w:szCs w:val="24"/>
              </w:rPr>
            </w:pPr>
          </w:p>
          <w:p w14:paraId="552CEF7F"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尊敬的投资者，您好！</w:t>
            </w:r>
          </w:p>
          <w:p w14:paraId="37ECCFBA"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中远海控是中国远洋海运集团核心产业中重要的组成部分，集中了集装箱航运及码头运营管理两大板块的优势资源，且具备显著的规模优势。</w:t>
            </w:r>
          </w:p>
          <w:p w14:paraId="12E9DE53"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 xml:space="preserve">1、船队结构优势。截至2025年末，中远海控旗下自营集装箱船队规模590艘，运力约360万TEU，自有和光租船舶运力合计占比达75%，船队规模继续稳居行业第一梯队。截至2025年末，公司手持新造船订单共计54艘，合计运力超过82万TEU。公司积极顺应行业绿色发展新趋势，通过订造绿色新能源船舶和船舶改造等方式，持续优化公司船队结构。截至2025年末，公司已订造42艘、近78万TEU甲醇双燃料集装箱船舶（其中3艘已交付）。此外，公司于2026年初订造了12艘18,000 TEU LNG双燃料动力集装箱船舶。中远海控坚定不移走好绿色低碳发展之路，继续将绿色优势转化为服务竞争力。  </w:t>
            </w:r>
          </w:p>
          <w:p w14:paraId="3102E222"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 xml:space="preserve">2、航线布局优势。中远海控主动顺应全球产业链调整趋势，持续优化全球布局，扩大资源协同优势。公司双品牌共经营308条国际航线（含国际支线）、62条中国沿海航线及85条珠江三角洲和长江支线，合计挂靠全球约146个国家和地区的654个港口。同时，公司始终坚持全球化均衡布局，在强化联盟合作、稳固提升主干航线领先优势的同时，也积极拓展新兴市场、第三国市场和区域市场。   </w:t>
            </w:r>
          </w:p>
          <w:p w14:paraId="56A9ECDF"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 xml:space="preserve">3、全链服务优势。公司坚持以客户需求为导向，不断开创业务新模式，增强发展新动能。公司依托自身丰富的全球资源，推动海内外资源整合和高效运作，形成了覆盖干线、支线、公路、铁路、关务、仓储的全链路服务，为涵盖跨境电商、家电、光伏、汽车等行业的众多企业，提供全球数字化供应链解决方案。  </w:t>
            </w:r>
          </w:p>
          <w:p w14:paraId="4FF0FB88"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 xml:space="preserve">2025年，面对全球经贸政策频繁调整，地缘政治博弈持续加剧，集装箱航运市场受宏观环境及供需关系变化等因素影响，市场运价总体呈现波动回落走势等多重考验，中远海控锚定“以集装箱航运为核心的全球数字化供应链运营和投资平台”的定位，统筹推进“集装箱航运+港口+相关物流”一体化发展，加快通道建设，持续升级全链服务，加速数智绿色转型，致力于构建稳定高效、韧性充沛、抗风险能力强劲的全球供应链网络。 </w:t>
            </w:r>
          </w:p>
          <w:p w14:paraId="6AEE660C"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期间，公司始终保持战略定力，聚焦提升核心竞争力，精准发力新赛道，不断增强盈利能力和抗风险能力，以自身经营的确定性实现稳健业绩。2025年，公司实现营业收入人民币2195.04亿元，实现息税前利润（EBIT）人民币450.13亿元，实现净利润人民币352.28亿元，实现归属于上市公司股东的净利润人民币308.68亿元。其中，面对第四季度运价疲软、市场下行的挑战，公司仍实现当季归属于上市公司股东的净利润人民币37.99亿元，延续盈利态势，盈利能力行业领先。</w:t>
            </w:r>
          </w:p>
          <w:p w14:paraId="56CDCBCD"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谢谢关注！</w:t>
            </w:r>
          </w:p>
          <w:p w14:paraId="3010519D"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p>
          <w:p w14:paraId="7D17BB37" w14:textId="77777777" w:rsidR="00725F5E" w:rsidRPr="005A11D1" w:rsidRDefault="00725F5E" w:rsidP="00725F5E">
            <w:pPr>
              <w:shd w:val="clear" w:color="auto" w:fill="FFFFFF"/>
              <w:ind w:firstLineChars="200" w:firstLine="482"/>
              <w:rPr>
                <w:rFonts w:ascii="宋体" w:eastAsia="宋体" w:hAnsi="宋体" w:cs="Times New Roman" w:hint="eastAsia"/>
                <w:b/>
                <w:bCs/>
                <w:snapToGrid/>
                <w:color w:val="000000" w:themeColor="text1"/>
                <w:sz w:val="24"/>
                <w:szCs w:val="24"/>
              </w:rPr>
            </w:pPr>
            <w:r w:rsidRPr="005A11D1">
              <w:rPr>
                <w:rFonts w:ascii="宋体" w:eastAsia="宋体" w:hAnsi="宋体" w:cs="Times New Roman" w:hint="eastAsia"/>
                <w:b/>
                <w:bCs/>
                <w:color w:val="000000" w:themeColor="text1"/>
                <w:sz w:val="24"/>
                <w:szCs w:val="24"/>
              </w:rPr>
              <w:t>3、</w:t>
            </w:r>
            <w:r w:rsidRPr="005A11D1">
              <w:rPr>
                <w:rFonts w:ascii="宋体" w:eastAsia="宋体" w:hAnsi="宋体" w:cs="Times New Roman" w:hint="eastAsia"/>
                <w:b/>
                <w:bCs/>
                <w:snapToGrid/>
                <w:color w:val="000000" w:themeColor="text1"/>
                <w:sz w:val="24"/>
                <w:szCs w:val="24"/>
              </w:rPr>
              <w:t>2026年2月底以来美以伊冲突升级，霍尔木兹海峡通行受阻，全球航运运力被动收缩。公司如何评估这一事件对2026年运价和业绩的影响？是否已启动应急预案？若冲突在年内缓解、红海恢复通航，公司如何应对可能的运力过剩风险？</w:t>
            </w:r>
          </w:p>
          <w:p w14:paraId="12761C41"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p>
          <w:p w14:paraId="5826930C"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尊敬的投资者，您好！</w:t>
            </w:r>
          </w:p>
          <w:p w14:paraId="5AE41E5B"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集运市场涉及中东航线的运力占全球总运力的比重较小，该地区局势所带来的运力溢出影响总的来说较为有限。对公司自身而言，相关航线的营业收入占营收总额较小，因此对于公司收入端的影响目前看比较有限。</w:t>
            </w:r>
          </w:p>
          <w:p w14:paraId="7C6D7195"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目前，集运市场仍有部分船公司暂未恢复中东航线订舱。3月4日，公司发布告客户书，暂停中东相关航线新订舱业务。为了满足广大客户对该流向的货运需求，3月25日公司更新了中东地区服务，经多式联运转运方式，恢复远东至中东地区阿联酋、沙特、巴林、卡塔尔、科威特、伊拉克、阿曼等国家的新订舱业务（普通箱）。具体运输方案为：（1）阿布扎比和杰贝阿里的本地货：可经由豪尔费坎或富查伊拉任一港口，通过保税陆桥方式运输。（2）海湾上游国家货物：自豪尔费坎或富查伊拉通过保税陆桥运至阿布扎比CSP，衔接以阿布扎比CSP为枢纽的自有支线网络，转运至阿联酋其他地区、沙特、卡塔尔、巴林、科威特及伊拉克。（3）阿曼货物：自印度孟买新港转运至阿曼苏哈尔。目前，市场整体需求正在逐步恢复。但鉴于中东地区局势的不确定性，上述新订舱业务的安排以及实际的运输可能会有变动。目前，公司暂未考虑恢复霍尔木兹海峡通行。同时，公司会持续关注中东地区事态发展，并通过官方网站及客服渠道及时向客户更新后续进展。</w:t>
            </w:r>
          </w:p>
          <w:p w14:paraId="0DAB49E2"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谢谢关注！</w:t>
            </w:r>
          </w:p>
          <w:p w14:paraId="7F3E142D"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p>
          <w:p w14:paraId="0B990194" w14:textId="77777777" w:rsidR="00725F5E" w:rsidRPr="005A11D1" w:rsidRDefault="00725F5E" w:rsidP="00725F5E">
            <w:pPr>
              <w:shd w:val="clear" w:color="auto" w:fill="FFFFFF"/>
              <w:ind w:firstLineChars="200" w:firstLine="482"/>
              <w:rPr>
                <w:rFonts w:ascii="宋体" w:eastAsia="宋体" w:hAnsi="宋体" w:cs="Times New Roman" w:hint="eastAsia"/>
                <w:b/>
                <w:bCs/>
                <w:snapToGrid/>
                <w:color w:val="000000" w:themeColor="text1"/>
                <w:sz w:val="24"/>
                <w:szCs w:val="24"/>
              </w:rPr>
            </w:pPr>
            <w:r>
              <w:rPr>
                <w:rFonts w:ascii="宋体" w:eastAsia="宋体" w:hAnsi="宋体" w:cs="Times New Roman" w:hint="eastAsia"/>
                <w:b/>
                <w:bCs/>
                <w:color w:val="000000" w:themeColor="text1"/>
                <w:sz w:val="24"/>
                <w:szCs w:val="24"/>
              </w:rPr>
              <w:t>4、</w:t>
            </w:r>
            <w:r w:rsidRPr="005A11D1">
              <w:rPr>
                <w:rFonts w:ascii="宋体" w:eastAsia="宋体" w:hAnsi="宋体" w:cs="Times New Roman" w:hint="eastAsia"/>
                <w:b/>
                <w:bCs/>
                <w:snapToGrid/>
                <w:color w:val="000000" w:themeColor="text1"/>
                <w:sz w:val="24"/>
                <w:szCs w:val="24"/>
              </w:rPr>
              <w:t>2025年公司归母净利润309亿元，同比下降37%，主要受运价回落影响。面对行业周期下行，公司如何平衡短期盈利压力与长期战略投入？2026年公司营收和利润增长目标是多少？</w:t>
            </w:r>
          </w:p>
          <w:p w14:paraId="07DE4EBB"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p>
          <w:p w14:paraId="767F05BE"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snapToGrid/>
                <w:color w:val="000000" w:themeColor="text1"/>
                <w:sz w:val="24"/>
                <w:szCs w:val="24"/>
              </w:rPr>
              <w:t xml:space="preserve">尊敬的投资者，您好！ </w:t>
            </w:r>
          </w:p>
          <w:p w14:paraId="020C3181"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snapToGrid/>
                <w:color w:val="000000" w:themeColor="text1"/>
                <w:sz w:val="24"/>
                <w:szCs w:val="24"/>
              </w:rPr>
              <w:t xml:space="preserve">展望未来，集装箱航运市场的复杂性和不确定性将进一步加剧。一方面，国际贸易政策和地缘局势的不确定性，放大全球供应链的波动性，推动全球贸易格局加速向区域化、多元化、近岸化方向演进。另一方面，货主对供应链稳定性与全链路可控性的需求大幅提升，对于承运人的全球化布局与端到端能力提出了更高要求；而数字化与人工智能的深度应用，将成为航运物流业转型升级、塑造未来竞争优势的重要契机。 </w:t>
            </w:r>
          </w:p>
          <w:p w14:paraId="28D3CF7F"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snapToGrid/>
                <w:color w:val="000000" w:themeColor="text1"/>
                <w:sz w:val="24"/>
                <w:szCs w:val="24"/>
              </w:rPr>
              <w:t xml:space="preserve">面对机遇和挑战，中远海控将始终以全球客户需求为导向，围绕自身发展定位，在坚定推进全球化、规模化发展的基础上，统筹推进全链化、数智化、绿色化、融合化发展。以数智赋能驱动运营效率提升与全链服务效能优化，着力构建智能绿色的协同融合发展新生态，以自身高质量发展的确定性，有效应对市场环境的不确定性，在变局中锻造可持续发展的核心竞争力，致力为客户提供更优质的服务。 </w:t>
            </w:r>
          </w:p>
          <w:p w14:paraId="60CC065E"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snapToGrid/>
                <w:color w:val="000000" w:themeColor="text1"/>
                <w:sz w:val="24"/>
                <w:szCs w:val="24"/>
              </w:rPr>
              <w:t>谢谢关注！</w:t>
            </w:r>
          </w:p>
          <w:p w14:paraId="0E1D1CB8"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p>
          <w:p w14:paraId="0DE366C9" w14:textId="77777777" w:rsidR="00725F5E" w:rsidRPr="005A11D1" w:rsidRDefault="00725F5E" w:rsidP="00725F5E">
            <w:pPr>
              <w:shd w:val="clear" w:color="auto" w:fill="FFFFFF"/>
              <w:ind w:firstLineChars="200" w:firstLine="482"/>
              <w:rPr>
                <w:rFonts w:ascii="宋体" w:eastAsia="宋体" w:hAnsi="宋体" w:cs="Times New Roman" w:hint="eastAsia"/>
                <w:b/>
                <w:bCs/>
                <w:snapToGrid/>
                <w:color w:val="000000" w:themeColor="text1"/>
                <w:sz w:val="24"/>
                <w:szCs w:val="24"/>
              </w:rPr>
            </w:pPr>
            <w:r>
              <w:rPr>
                <w:rFonts w:ascii="宋体" w:eastAsia="宋体" w:hAnsi="宋体" w:cs="Times New Roman" w:hint="eastAsia"/>
                <w:b/>
                <w:bCs/>
                <w:color w:val="000000" w:themeColor="text1"/>
                <w:sz w:val="24"/>
                <w:szCs w:val="24"/>
              </w:rPr>
              <w:t>5、</w:t>
            </w:r>
            <w:r w:rsidRPr="005A11D1">
              <w:rPr>
                <w:rFonts w:ascii="宋体" w:eastAsia="宋体" w:hAnsi="宋体" w:cs="Times New Roman"/>
                <w:b/>
                <w:bCs/>
                <w:snapToGrid/>
                <w:color w:val="000000" w:themeColor="text1"/>
                <w:sz w:val="24"/>
                <w:szCs w:val="24"/>
              </w:rPr>
              <w:t xml:space="preserve">请问总会计师：国际航运税收政策复杂，公司如何应对？例如： </w:t>
            </w:r>
          </w:p>
          <w:p w14:paraId="67EAD960" w14:textId="77777777" w:rsidR="00725F5E" w:rsidRPr="005A11D1" w:rsidRDefault="00725F5E" w:rsidP="00725F5E">
            <w:pPr>
              <w:shd w:val="clear" w:color="auto" w:fill="FFFFFF"/>
              <w:ind w:firstLineChars="200" w:firstLine="482"/>
              <w:rPr>
                <w:rFonts w:ascii="宋体" w:eastAsia="宋体" w:hAnsi="宋体" w:cs="Times New Roman" w:hint="eastAsia"/>
                <w:b/>
                <w:bCs/>
                <w:snapToGrid/>
                <w:color w:val="000000" w:themeColor="text1"/>
                <w:sz w:val="24"/>
                <w:szCs w:val="24"/>
              </w:rPr>
            </w:pPr>
            <w:r w:rsidRPr="005A11D1">
              <w:rPr>
                <w:rFonts w:ascii="宋体" w:eastAsia="宋体" w:hAnsi="宋体" w:cs="Times New Roman"/>
                <w:b/>
                <w:bCs/>
                <w:snapToGrid/>
                <w:color w:val="000000" w:themeColor="text1"/>
                <w:sz w:val="24"/>
                <w:szCs w:val="24"/>
              </w:rPr>
              <w:t xml:space="preserve">- 是否享受船舶投资税收优惠或航线补贴？相关政策变化对利润的敏感性如何？ </w:t>
            </w:r>
          </w:p>
          <w:p w14:paraId="37A22618" w14:textId="77777777" w:rsidR="00725F5E" w:rsidRPr="005A11D1" w:rsidRDefault="00725F5E" w:rsidP="00725F5E">
            <w:pPr>
              <w:shd w:val="clear" w:color="auto" w:fill="FFFFFF"/>
              <w:ind w:firstLineChars="200" w:firstLine="482"/>
              <w:rPr>
                <w:rFonts w:ascii="宋体" w:eastAsia="宋体" w:hAnsi="宋体" w:cs="Times New Roman" w:hint="eastAsia"/>
                <w:b/>
                <w:bCs/>
                <w:snapToGrid/>
                <w:color w:val="000000" w:themeColor="text1"/>
                <w:sz w:val="24"/>
                <w:szCs w:val="24"/>
              </w:rPr>
            </w:pPr>
            <w:r w:rsidRPr="005A11D1">
              <w:rPr>
                <w:rFonts w:ascii="宋体" w:eastAsia="宋体" w:hAnsi="宋体" w:cs="Times New Roman"/>
                <w:b/>
                <w:bCs/>
                <w:snapToGrid/>
                <w:color w:val="000000" w:themeColor="text1"/>
                <w:sz w:val="24"/>
                <w:szCs w:val="24"/>
              </w:rPr>
              <w:t>- 在研发费用加计扣除方面，公司数字化或绿色技术投入的税盾效应有多大？</w:t>
            </w:r>
          </w:p>
          <w:p w14:paraId="629C47F9"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p>
          <w:p w14:paraId="208212D2"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snapToGrid/>
                <w:color w:val="000000" w:themeColor="text1"/>
                <w:sz w:val="24"/>
                <w:szCs w:val="24"/>
              </w:rPr>
              <w:t>谢谢提问！对于国家或地方出台的具有普遍适用性的相关税收优惠及补贴政策，公司一直在积极争取落实，提升公司的降本增收效果。感谢您的关注与支持！</w:t>
            </w:r>
          </w:p>
          <w:p w14:paraId="3918C354"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p>
          <w:p w14:paraId="060A3A79" w14:textId="77777777" w:rsidR="00725F5E" w:rsidRPr="005A11D1" w:rsidRDefault="00725F5E" w:rsidP="00725F5E">
            <w:pPr>
              <w:shd w:val="clear" w:color="auto" w:fill="FFFFFF"/>
              <w:ind w:firstLineChars="200" w:firstLine="482"/>
              <w:rPr>
                <w:rFonts w:ascii="宋体" w:eastAsia="宋体" w:hAnsi="宋体" w:cs="Times New Roman" w:hint="eastAsia"/>
                <w:b/>
                <w:bCs/>
                <w:snapToGrid/>
                <w:color w:val="000000" w:themeColor="text1"/>
                <w:sz w:val="24"/>
                <w:szCs w:val="24"/>
              </w:rPr>
            </w:pPr>
            <w:r>
              <w:rPr>
                <w:rFonts w:ascii="宋体" w:eastAsia="宋体" w:hAnsi="宋体" w:cs="Times New Roman" w:hint="eastAsia"/>
                <w:b/>
                <w:bCs/>
                <w:color w:val="000000" w:themeColor="text1"/>
                <w:sz w:val="24"/>
                <w:szCs w:val="24"/>
              </w:rPr>
              <w:t>6、</w:t>
            </w:r>
            <w:r w:rsidRPr="005A11D1">
              <w:rPr>
                <w:rFonts w:ascii="宋体" w:eastAsia="宋体" w:hAnsi="宋体" w:cs="Times New Roman" w:hint="eastAsia"/>
                <w:b/>
                <w:bCs/>
                <w:snapToGrid/>
                <w:color w:val="000000" w:themeColor="text1"/>
                <w:sz w:val="24"/>
                <w:szCs w:val="24"/>
              </w:rPr>
              <w:t>公司资产负债率41.42%，期末现金1508.82亿元。请问总会计师：</w:t>
            </w:r>
          </w:p>
          <w:p w14:paraId="5171D5F9" w14:textId="77777777" w:rsidR="00725F5E" w:rsidRPr="005A11D1" w:rsidRDefault="00725F5E" w:rsidP="00725F5E">
            <w:pPr>
              <w:shd w:val="clear" w:color="auto" w:fill="FFFFFF"/>
              <w:ind w:firstLineChars="200" w:firstLine="482"/>
              <w:rPr>
                <w:rFonts w:ascii="宋体" w:eastAsia="宋体" w:hAnsi="宋体" w:cs="Times New Roman" w:hint="eastAsia"/>
                <w:b/>
                <w:bCs/>
                <w:snapToGrid/>
                <w:color w:val="000000" w:themeColor="text1"/>
                <w:sz w:val="24"/>
                <w:szCs w:val="24"/>
              </w:rPr>
            </w:pPr>
            <w:r w:rsidRPr="005A11D1">
              <w:rPr>
                <w:rFonts w:ascii="宋体" w:eastAsia="宋体" w:hAnsi="宋体" w:cs="Times New Roman" w:hint="eastAsia"/>
                <w:b/>
                <w:bCs/>
                <w:snapToGrid/>
                <w:color w:val="000000" w:themeColor="text1"/>
                <w:sz w:val="24"/>
                <w:szCs w:val="24"/>
              </w:rPr>
              <w:t>- 未来三年重大资本开支计划（如：绿色船舶订造、码头扩建）的资金来源结构（自有资金或债务或股权）？负债率警戒线设定为多少？</w:t>
            </w:r>
          </w:p>
          <w:p w14:paraId="172A9D22" w14:textId="77777777" w:rsidR="00725F5E" w:rsidRPr="005A11D1" w:rsidRDefault="00725F5E" w:rsidP="00725F5E">
            <w:pPr>
              <w:shd w:val="clear" w:color="auto" w:fill="FFFFFF"/>
              <w:ind w:firstLineChars="200" w:firstLine="482"/>
              <w:rPr>
                <w:rFonts w:ascii="宋体" w:eastAsia="宋体" w:hAnsi="宋体" w:cs="Times New Roman" w:hint="eastAsia"/>
                <w:b/>
                <w:bCs/>
                <w:snapToGrid/>
                <w:color w:val="000000" w:themeColor="text1"/>
                <w:sz w:val="24"/>
                <w:szCs w:val="24"/>
              </w:rPr>
            </w:pPr>
            <w:r w:rsidRPr="005A11D1">
              <w:rPr>
                <w:rFonts w:ascii="宋体" w:eastAsia="宋体" w:hAnsi="宋体" w:cs="Times New Roman" w:hint="eastAsia"/>
                <w:b/>
                <w:bCs/>
                <w:snapToGrid/>
                <w:color w:val="000000" w:themeColor="text1"/>
                <w:sz w:val="24"/>
                <w:szCs w:val="24"/>
              </w:rPr>
              <w:t>- 是否考虑发行绿色债券等创新融资工具支持低碳转型？</w:t>
            </w:r>
          </w:p>
          <w:p w14:paraId="58DAD580"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p>
          <w:p w14:paraId="5E3D7986"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感谢提问！截至2025年末，公司已签订尚未支付的船舶建造合同总金额为520.54亿元，目前公司一直在使用自有资金支付船舶建造进度款，后续公司将综合考虑整体财务状况和未来资本性开支等情况，提前统筹做好未来资金安排。谢谢您的关注与支持！</w:t>
            </w:r>
          </w:p>
          <w:p w14:paraId="776BE457"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p>
          <w:p w14:paraId="0123D592" w14:textId="77777777" w:rsidR="00725F5E" w:rsidRPr="005A11D1" w:rsidRDefault="00725F5E" w:rsidP="00725F5E">
            <w:pPr>
              <w:shd w:val="clear" w:color="auto" w:fill="FFFFFF"/>
              <w:ind w:firstLineChars="200" w:firstLine="482"/>
              <w:rPr>
                <w:rFonts w:ascii="宋体" w:eastAsia="宋体" w:hAnsi="宋体" w:cs="Times New Roman" w:hint="eastAsia"/>
                <w:b/>
                <w:bCs/>
                <w:snapToGrid/>
                <w:color w:val="000000" w:themeColor="text1"/>
                <w:sz w:val="24"/>
                <w:szCs w:val="24"/>
              </w:rPr>
            </w:pPr>
            <w:r>
              <w:rPr>
                <w:rFonts w:ascii="宋体" w:eastAsia="宋体" w:hAnsi="宋体" w:cs="Times New Roman" w:hint="eastAsia"/>
                <w:b/>
                <w:bCs/>
                <w:color w:val="000000" w:themeColor="text1"/>
                <w:sz w:val="24"/>
                <w:szCs w:val="24"/>
              </w:rPr>
              <w:t>7、</w:t>
            </w:r>
            <w:r w:rsidRPr="005A11D1">
              <w:rPr>
                <w:rFonts w:ascii="宋体" w:eastAsia="宋体" w:hAnsi="宋体" w:cs="Times New Roman" w:hint="eastAsia"/>
                <w:b/>
                <w:bCs/>
                <w:snapToGrid/>
                <w:color w:val="000000" w:themeColor="text1"/>
                <w:sz w:val="24"/>
                <w:szCs w:val="24"/>
              </w:rPr>
              <w:t>2025年营收下降但净利润仍达308.68亿元，现金流净额455.46亿元，同比下降34.29%。请问总会计师：</w:t>
            </w:r>
          </w:p>
          <w:p w14:paraId="56C4EE2C" w14:textId="77777777" w:rsidR="00725F5E" w:rsidRPr="005A11D1" w:rsidRDefault="00725F5E" w:rsidP="00725F5E">
            <w:pPr>
              <w:shd w:val="clear" w:color="auto" w:fill="FFFFFF"/>
              <w:ind w:firstLineChars="200" w:firstLine="482"/>
              <w:rPr>
                <w:rFonts w:ascii="宋体" w:eastAsia="宋体" w:hAnsi="宋体" w:cs="Times New Roman" w:hint="eastAsia"/>
                <w:b/>
                <w:bCs/>
                <w:snapToGrid/>
                <w:color w:val="000000" w:themeColor="text1"/>
                <w:sz w:val="24"/>
                <w:szCs w:val="24"/>
              </w:rPr>
            </w:pPr>
            <w:r w:rsidRPr="005A11D1">
              <w:rPr>
                <w:rFonts w:ascii="宋体" w:eastAsia="宋体" w:hAnsi="宋体" w:cs="Times New Roman" w:hint="eastAsia"/>
                <w:b/>
                <w:bCs/>
                <w:snapToGrid/>
                <w:color w:val="000000" w:themeColor="text1"/>
                <w:sz w:val="24"/>
                <w:szCs w:val="24"/>
              </w:rPr>
              <w:t>- 现金流减少的主要原因是什么（如资本开支增加、分红支付）？未来是否可持续支撑高分红政策？</w:t>
            </w:r>
          </w:p>
          <w:p w14:paraId="5BF1E74C" w14:textId="77777777" w:rsidR="00725F5E" w:rsidRPr="005A11D1" w:rsidRDefault="00725F5E" w:rsidP="00725F5E">
            <w:pPr>
              <w:shd w:val="clear" w:color="auto" w:fill="FFFFFF"/>
              <w:ind w:firstLineChars="200" w:firstLine="482"/>
              <w:rPr>
                <w:rFonts w:ascii="宋体" w:eastAsia="宋体" w:hAnsi="宋体" w:cs="Times New Roman" w:hint="eastAsia"/>
                <w:b/>
                <w:bCs/>
                <w:snapToGrid/>
                <w:color w:val="000000" w:themeColor="text1"/>
                <w:sz w:val="24"/>
                <w:szCs w:val="24"/>
              </w:rPr>
            </w:pPr>
            <w:r w:rsidRPr="005A11D1">
              <w:rPr>
                <w:rFonts w:ascii="宋体" w:eastAsia="宋体" w:hAnsi="宋体" w:cs="Times New Roman" w:hint="eastAsia"/>
                <w:b/>
                <w:bCs/>
                <w:snapToGrid/>
                <w:color w:val="000000" w:themeColor="text1"/>
                <w:sz w:val="24"/>
                <w:szCs w:val="24"/>
              </w:rPr>
              <w:t>- 分业务板块的利润结构如何？集装箱航运与码头业务的利润贡献比例变化？是否存在低效资产剥离计划？</w:t>
            </w:r>
          </w:p>
          <w:p w14:paraId="6A4347B1"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p>
          <w:p w14:paraId="32223F85"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snapToGrid/>
                <w:color w:val="000000" w:themeColor="text1"/>
                <w:sz w:val="24"/>
                <w:szCs w:val="24"/>
              </w:rPr>
              <w:t xml:space="preserve">感谢提问！截至2025年末，本集团现金及现金等价物余额1,508.82亿元，比上年末减少333.07亿元。其中： </w:t>
            </w:r>
          </w:p>
          <w:p w14:paraId="66EBB292"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snapToGrid/>
                <w:color w:val="000000" w:themeColor="text1"/>
                <w:sz w:val="24"/>
                <w:szCs w:val="24"/>
              </w:rPr>
              <w:t xml:space="preserve">1、经营活动产生的现金流量 2025年本集团经营活动现金净流入455.46亿元，同比减少净流入237.67亿元，降幅34.29%。主要是2025年本集团集装箱航运业务经营业绩同比下降所致。 </w:t>
            </w:r>
          </w:p>
          <w:p w14:paraId="7B2E8266"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snapToGrid/>
                <w:color w:val="000000" w:themeColor="text1"/>
                <w:sz w:val="24"/>
                <w:szCs w:val="24"/>
              </w:rPr>
              <w:t xml:space="preserve">2、投资活动产生的现金流量 2025 年本集团投资活动现金净流出253.79亿元，同比减少净流出15.93亿元。主要是2025年本集团船舶建造、码头建设、股权投资支付的现金同比减少所致。 </w:t>
            </w:r>
          </w:p>
          <w:p w14:paraId="424D6A75"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snapToGrid/>
                <w:color w:val="000000" w:themeColor="text1"/>
                <w:sz w:val="24"/>
                <w:szCs w:val="24"/>
              </w:rPr>
              <w:t xml:space="preserve">3、筹资活动产生的现金流量 2025 年本集团筹资活动现金净流出517.37亿元，同比增加净流出111.17亿元。2025年本集团分配股利、回购本公司股票支付的现金有所增加，归还借款支付的现金同比有所减少。 </w:t>
            </w:r>
          </w:p>
          <w:p w14:paraId="2EF9D775"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snapToGrid/>
                <w:color w:val="000000" w:themeColor="text1"/>
                <w:sz w:val="24"/>
                <w:szCs w:val="24"/>
              </w:rPr>
              <w:t>2025年本集团集装箱航运业务实现收入2107.31亿元，实现息税前利润378.08亿元，实现净利润295.02亿元。感谢您的关注与支持！</w:t>
            </w:r>
          </w:p>
          <w:p w14:paraId="41CB6BE3" w14:textId="77777777" w:rsidR="00725F5E" w:rsidRDefault="00725F5E" w:rsidP="00725F5E">
            <w:pPr>
              <w:shd w:val="clear" w:color="auto" w:fill="FFFFFF"/>
              <w:ind w:firstLineChars="200" w:firstLine="482"/>
              <w:rPr>
                <w:rFonts w:ascii="宋体" w:eastAsia="宋体" w:hAnsi="宋体" w:cs="Times New Roman" w:hint="eastAsia"/>
                <w:b/>
                <w:bCs/>
                <w:color w:val="000000" w:themeColor="text1"/>
                <w:sz w:val="24"/>
                <w:szCs w:val="24"/>
              </w:rPr>
            </w:pPr>
          </w:p>
          <w:p w14:paraId="33F6A8C6" w14:textId="77777777" w:rsidR="00725F5E" w:rsidRPr="005A11D1" w:rsidRDefault="00725F5E" w:rsidP="00725F5E">
            <w:pPr>
              <w:shd w:val="clear" w:color="auto" w:fill="FFFFFF"/>
              <w:ind w:firstLineChars="200" w:firstLine="482"/>
              <w:rPr>
                <w:rFonts w:ascii="宋体" w:eastAsia="宋体" w:hAnsi="宋体" w:cs="Times New Roman" w:hint="eastAsia"/>
                <w:b/>
                <w:bCs/>
                <w:snapToGrid/>
                <w:color w:val="000000" w:themeColor="text1"/>
                <w:sz w:val="24"/>
                <w:szCs w:val="24"/>
              </w:rPr>
            </w:pPr>
            <w:r>
              <w:rPr>
                <w:rFonts w:ascii="宋体" w:eastAsia="宋体" w:hAnsi="宋体" w:cs="Times New Roman" w:hint="eastAsia"/>
                <w:b/>
                <w:bCs/>
                <w:color w:val="000000" w:themeColor="text1"/>
                <w:sz w:val="24"/>
                <w:szCs w:val="24"/>
              </w:rPr>
              <w:t>8、</w:t>
            </w:r>
            <w:r w:rsidRPr="005A11D1">
              <w:rPr>
                <w:rFonts w:ascii="宋体" w:eastAsia="宋体" w:hAnsi="宋体" w:cs="Times New Roman" w:hint="eastAsia"/>
                <w:b/>
                <w:bCs/>
                <w:snapToGrid/>
                <w:color w:val="000000" w:themeColor="text1"/>
                <w:sz w:val="24"/>
                <w:szCs w:val="24"/>
              </w:rPr>
              <w:t>公司亚欧航线货运量同比增长6.07%，但干线运价下滑。请问副总经理：</w:t>
            </w:r>
          </w:p>
          <w:p w14:paraId="18B58E72" w14:textId="77777777" w:rsidR="00725F5E" w:rsidRPr="005A11D1" w:rsidRDefault="00725F5E" w:rsidP="00725F5E">
            <w:pPr>
              <w:shd w:val="clear" w:color="auto" w:fill="FFFFFF"/>
              <w:ind w:firstLineChars="200" w:firstLine="482"/>
              <w:rPr>
                <w:rFonts w:ascii="宋体" w:eastAsia="宋体" w:hAnsi="宋体" w:cs="Times New Roman" w:hint="eastAsia"/>
                <w:b/>
                <w:bCs/>
                <w:snapToGrid/>
                <w:color w:val="000000" w:themeColor="text1"/>
                <w:sz w:val="24"/>
                <w:szCs w:val="24"/>
              </w:rPr>
            </w:pPr>
            <w:r w:rsidRPr="005A11D1">
              <w:rPr>
                <w:rFonts w:ascii="宋体" w:eastAsia="宋体" w:hAnsi="宋体" w:cs="Times New Roman" w:hint="eastAsia"/>
                <w:b/>
                <w:bCs/>
                <w:snapToGrid/>
                <w:color w:val="000000" w:themeColor="text1"/>
                <w:sz w:val="24"/>
                <w:szCs w:val="24"/>
              </w:rPr>
              <w:t>- 如何通过增值服务（如端到端物流、供应链金融）提升客户粘性？是否有高附加值产品（如冷链集装箱）的收入增长目标？</w:t>
            </w:r>
          </w:p>
          <w:p w14:paraId="08266F14" w14:textId="77777777" w:rsidR="00725F5E" w:rsidRPr="005A11D1" w:rsidRDefault="00725F5E" w:rsidP="00725F5E">
            <w:pPr>
              <w:shd w:val="clear" w:color="auto" w:fill="FFFFFF"/>
              <w:ind w:firstLineChars="200" w:firstLine="482"/>
              <w:rPr>
                <w:rFonts w:ascii="宋体" w:eastAsia="宋体" w:hAnsi="宋体" w:cs="Times New Roman" w:hint="eastAsia"/>
                <w:b/>
                <w:bCs/>
                <w:snapToGrid/>
                <w:color w:val="000000" w:themeColor="text1"/>
                <w:sz w:val="24"/>
                <w:szCs w:val="24"/>
              </w:rPr>
            </w:pPr>
            <w:r w:rsidRPr="005A11D1">
              <w:rPr>
                <w:rFonts w:ascii="宋体" w:eastAsia="宋体" w:hAnsi="宋体" w:cs="Times New Roman" w:hint="eastAsia"/>
                <w:b/>
                <w:bCs/>
                <w:snapToGrid/>
                <w:color w:val="000000" w:themeColor="text1"/>
                <w:sz w:val="24"/>
                <w:szCs w:val="24"/>
              </w:rPr>
              <w:t>- 面对货主需求变化，公司是否开发‘定制化航线’或‘快速交付’产品？客户满意度（NPS）等指标是否纳入业务考核？</w:t>
            </w:r>
          </w:p>
          <w:p w14:paraId="45800691" w14:textId="77777777" w:rsidR="00725F5E" w:rsidRPr="005A11D1" w:rsidRDefault="00725F5E" w:rsidP="00725F5E">
            <w:pPr>
              <w:shd w:val="clear" w:color="auto" w:fill="FFFFFF"/>
              <w:ind w:firstLineChars="200" w:firstLine="482"/>
              <w:rPr>
                <w:rFonts w:ascii="宋体" w:eastAsia="宋体" w:hAnsi="宋体" w:cs="Times New Roman" w:hint="eastAsia"/>
                <w:b/>
                <w:bCs/>
                <w:snapToGrid/>
                <w:color w:val="000000" w:themeColor="text1"/>
                <w:sz w:val="24"/>
                <w:szCs w:val="24"/>
              </w:rPr>
            </w:pPr>
          </w:p>
          <w:p w14:paraId="5B88BA45"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尊敬的投资者，您好！</w:t>
            </w:r>
          </w:p>
          <w:p w14:paraId="275EE1DA"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中远海控立足市场和客户差异化需求，不断丰富全链产品。</w:t>
            </w:r>
          </w:p>
          <w:p w14:paraId="7E0B3A8A"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中远海控“樱桃快航”就是专为智利—中国的樱桃进口打造的季节性定制冷链快航，其23天直达的快速交货期，专业的宽体高冷插船，以及依托物联网技术打造的My Reefer 智能平台，可以为客户提供优质保鲜的全程恒温冷链服务。</w:t>
            </w:r>
          </w:p>
          <w:p w14:paraId="0FD1B1E1"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中远海控还深度融入汽车、家电、光伏等行业客户产业链供应链，打造形成12个定制化全程物流解决方案，以更具价值的服务体验，有效提升客户黏性。</w:t>
            </w:r>
          </w:p>
          <w:p w14:paraId="7AA1AE05"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谢谢关注！</w:t>
            </w:r>
          </w:p>
          <w:p w14:paraId="279DF93E"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p>
          <w:p w14:paraId="726F8A13" w14:textId="77777777" w:rsidR="00725F5E" w:rsidRPr="005A11D1" w:rsidRDefault="00725F5E" w:rsidP="00725F5E">
            <w:pPr>
              <w:shd w:val="clear" w:color="auto" w:fill="FFFFFF"/>
              <w:ind w:firstLineChars="200" w:firstLine="482"/>
              <w:rPr>
                <w:rFonts w:ascii="宋体" w:eastAsia="宋体" w:hAnsi="宋体" w:cs="Times New Roman" w:hint="eastAsia"/>
                <w:b/>
                <w:bCs/>
                <w:snapToGrid/>
                <w:color w:val="000000" w:themeColor="text1"/>
                <w:sz w:val="24"/>
                <w:szCs w:val="24"/>
              </w:rPr>
            </w:pPr>
            <w:r>
              <w:rPr>
                <w:rFonts w:ascii="宋体" w:eastAsia="宋体" w:hAnsi="宋体" w:cs="Times New Roman" w:hint="eastAsia"/>
                <w:b/>
                <w:bCs/>
                <w:color w:val="000000" w:themeColor="text1"/>
                <w:sz w:val="24"/>
                <w:szCs w:val="24"/>
              </w:rPr>
              <w:t>9、</w:t>
            </w:r>
            <w:r w:rsidRPr="005A11D1">
              <w:rPr>
                <w:rFonts w:ascii="宋体" w:eastAsia="宋体" w:hAnsi="宋体" w:cs="Times New Roman" w:hint="eastAsia"/>
                <w:b/>
                <w:bCs/>
                <w:snapToGrid/>
                <w:color w:val="000000" w:themeColor="text1"/>
                <w:sz w:val="24"/>
                <w:szCs w:val="24"/>
              </w:rPr>
              <w:t>请问董秘：是否支持中小股东通过累积投票制参与董事会选举？未来是否增加独立董事中小股东提名比例？股东大会是否采用线上投票提升参与率？</w:t>
            </w:r>
          </w:p>
          <w:p w14:paraId="3C10F0D7"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p>
          <w:p w14:paraId="70F43E58"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snapToGrid/>
                <w:color w:val="000000" w:themeColor="text1"/>
                <w:sz w:val="24"/>
                <w:szCs w:val="24"/>
              </w:rPr>
              <w:t>尊敬的股东，您好。中远海控全面遵守沪港两地法律、法规及规范性文件，高度重视并维护中小股东的合法权益，公司历次董事选举时均采用了累积投票制度。同时，在股东会投票环节，A股股东可以选择在交易时段通过网络投票方式投票，详情请参阅公司已披露的股东会通知公告。感谢您的提问。</w:t>
            </w:r>
          </w:p>
          <w:p w14:paraId="6508B8CB"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p>
          <w:p w14:paraId="1AA62348" w14:textId="77777777" w:rsidR="00725F5E" w:rsidRPr="005A11D1" w:rsidRDefault="00725F5E" w:rsidP="00725F5E">
            <w:pPr>
              <w:shd w:val="clear" w:color="auto" w:fill="FFFFFF"/>
              <w:ind w:firstLineChars="200" w:firstLine="482"/>
              <w:rPr>
                <w:rFonts w:ascii="宋体" w:eastAsia="宋体" w:hAnsi="宋体" w:cs="Times New Roman" w:hint="eastAsia"/>
                <w:b/>
                <w:bCs/>
                <w:snapToGrid/>
                <w:color w:val="000000" w:themeColor="text1"/>
                <w:sz w:val="24"/>
                <w:szCs w:val="24"/>
              </w:rPr>
            </w:pPr>
            <w:r>
              <w:rPr>
                <w:rFonts w:ascii="宋体" w:eastAsia="宋体" w:hAnsi="宋体" w:cs="Times New Roman" w:hint="eastAsia"/>
                <w:b/>
                <w:bCs/>
                <w:color w:val="000000" w:themeColor="text1"/>
                <w:sz w:val="24"/>
                <w:szCs w:val="24"/>
              </w:rPr>
              <w:t>10、</w:t>
            </w:r>
            <w:r w:rsidRPr="005A11D1">
              <w:rPr>
                <w:rFonts w:ascii="宋体" w:eastAsia="宋体" w:hAnsi="宋体" w:cs="Times New Roman" w:hint="eastAsia"/>
                <w:b/>
                <w:bCs/>
                <w:snapToGrid/>
                <w:color w:val="000000" w:themeColor="text1"/>
                <w:sz w:val="24"/>
                <w:szCs w:val="24"/>
              </w:rPr>
              <w:t>2025年公司营收2195.04亿元（-6.14%），归母净利润308.68亿元（-37.13%），主要受运价指数（SCFI/CCFI同比下滑37%/23%）回落影响。请问总经理：</w:t>
            </w:r>
          </w:p>
          <w:p w14:paraId="72A44B55" w14:textId="77777777" w:rsidR="00725F5E" w:rsidRPr="005A11D1" w:rsidRDefault="00725F5E" w:rsidP="00725F5E">
            <w:pPr>
              <w:shd w:val="clear" w:color="auto" w:fill="FFFFFF"/>
              <w:ind w:firstLineChars="200" w:firstLine="482"/>
              <w:rPr>
                <w:rFonts w:ascii="宋体" w:eastAsia="宋体" w:hAnsi="宋体" w:cs="Times New Roman" w:hint="eastAsia"/>
                <w:b/>
                <w:bCs/>
                <w:snapToGrid/>
                <w:color w:val="000000" w:themeColor="text1"/>
                <w:sz w:val="24"/>
                <w:szCs w:val="24"/>
              </w:rPr>
            </w:pPr>
            <w:r w:rsidRPr="005A11D1">
              <w:rPr>
                <w:rFonts w:ascii="宋体" w:eastAsia="宋体" w:hAnsi="宋体" w:cs="Times New Roman" w:hint="eastAsia"/>
                <w:b/>
                <w:bCs/>
                <w:snapToGrid/>
                <w:color w:val="000000" w:themeColor="text1"/>
                <w:sz w:val="24"/>
                <w:szCs w:val="24"/>
              </w:rPr>
              <w:t>- 公司如何评估当前集装箱航运市场的周期位置？未来是否计划通过航线优化、运力调整或联盟合作（如海洋联盟）抵御市场波动？</w:t>
            </w:r>
          </w:p>
          <w:p w14:paraId="23EAF557" w14:textId="77777777" w:rsidR="00725F5E" w:rsidRPr="005A11D1" w:rsidRDefault="00725F5E" w:rsidP="00725F5E">
            <w:pPr>
              <w:shd w:val="clear" w:color="auto" w:fill="FFFFFF"/>
              <w:ind w:firstLineChars="200" w:firstLine="482"/>
              <w:rPr>
                <w:rFonts w:ascii="宋体" w:eastAsia="宋体" w:hAnsi="宋体" w:cs="Times New Roman" w:hint="eastAsia"/>
                <w:b/>
                <w:bCs/>
                <w:snapToGrid/>
                <w:color w:val="000000" w:themeColor="text1"/>
                <w:sz w:val="24"/>
                <w:szCs w:val="24"/>
              </w:rPr>
            </w:pPr>
            <w:r w:rsidRPr="005A11D1">
              <w:rPr>
                <w:rFonts w:ascii="宋体" w:eastAsia="宋体" w:hAnsi="宋体" w:cs="Times New Roman" w:hint="eastAsia"/>
                <w:b/>
                <w:bCs/>
                <w:snapToGrid/>
                <w:color w:val="000000" w:themeColor="text1"/>
                <w:sz w:val="24"/>
                <w:szCs w:val="24"/>
              </w:rPr>
              <w:t>- 在东西干线运价承压的背景下，公司如何提升亚非、拉美等新兴市场的收入占比？是否有具体的区域增长目标或新航线开通计划？</w:t>
            </w:r>
          </w:p>
          <w:p w14:paraId="07D2CF05" w14:textId="77777777" w:rsidR="00725F5E" w:rsidRPr="005A11D1" w:rsidRDefault="00725F5E" w:rsidP="00725F5E">
            <w:pPr>
              <w:shd w:val="clear" w:color="auto" w:fill="FFFFFF"/>
              <w:ind w:firstLineChars="200" w:firstLine="482"/>
              <w:rPr>
                <w:rFonts w:ascii="宋体" w:eastAsia="宋体" w:hAnsi="宋体" w:cs="Times New Roman" w:hint="eastAsia"/>
                <w:b/>
                <w:bCs/>
                <w:snapToGrid/>
                <w:color w:val="000000" w:themeColor="text1"/>
                <w:sz w:val="24"/>
                <w:szCs w:val="24"/>
              </w:rPr>
            </w:pPr>
            <w:r w:rsidRPr="005A11D1">
              <w:rPr>
                <w:rFonts w:ascii="宋体" w:eastAsia="宋体" w:hAnsi="宋体" w:cs="Times New Roman" w:hint="eastAsia"/>
                <w:b/>
                <w:bCs/>
                <w:snapToGrid/>
                <w:color w:val="000000" w:themeColor="text1"/>
                <w:sz w:val="24"/>
                <w:szCs w:val="24"/>
              </w:rPr>
              <w:t>- 面对地缘政治风险（如红海局势），公司如何调整航线布局或采取风险对冲措施？是否建立了应急响应机制保障供应链稳定？</w:t>
            </w:r>
          </w:p>
          <w:p w14:paraId="3D5CA013"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p>
          <w:p w14:paraId="2575C7A7"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尊敬的投资者，您好！</w:t>
            </w:r>
          </w:p>
          <w:p w14:paraId="327927D6"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 xml:space="preserve">集装箱航运市场的复杂性和不确定性将进一步加剧。一方面，国际贸易政策和地缘局势的不确定性，放大全球供应链的波动性，推动全球贸易格局加速向区域化、多元化、近岸化方向演进。另一方面，货主对供应链稳定性与全链路可控性的需求大幅提升，对于承运人的全球化布局与端到端能力提出了更高要求；而数字化与人工智能的深度应用，将成为航运物流业转型升级、塑造未来竞争优势的重要契机。  </w:t>
            </w:r>
          </w:p>
          <w:p w14:paraId="6CFA123C"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面对机遇和挑战，中远海控将始终以全球客户需求为导向，围绕自身发展定位，在坚定推进全球化、规模化发展的基础上，统筹推进全链化、数智化、绿色化、融合化发展。以数智赋能驱动运营效率提升与全链服务效能优化，着力构建智能绿色的协同融合发展新生态，以自身高质量发展的确定性，有效应对市场环境的不确定性，在变局中锻造可持续发展的核心竞争力，致力为客户提供更优质的服务。</w:t>
            </w:r>
          </w:p>
          <w:p w14:paraId="509A6B4D"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中远海控始终坚持全球化均衡布局，在强化联盟合作、稳固提升主干航线领先优势的同时，也积极拓展新兴市场、第三国市场和区域市场。公司将统筹推进双品牌航线运力租造项目和航线网络优化设计相适配，通过多重路径实现年度运力的有效增长、运力结构优化和均衡布局，力争保持行业第一梯队。中远海控持续强化联盟稳健运作，进一步放大服务优势，提升主干市场的核心竞争力和服务品质。2026年1月，双品牌所在海洋联盟发布DAY10航线产品，合作运力规模超530万TEU，共同运营42组东西干线航线，提供超过500组直达港到港服务，在规模和服务频率上保持领先优势。</w:t>
            </w:r>
          </w:p>
          <w:p w14:paraId="4F134B34"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谢谢关注！</w:t>
            </w:r>
          </w:p>
          <w:p w14:paraId="3238E8C0"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p>
          <w:p w14:paraId="4C45E5F1" w14:textId="77777777" w:rsidR="00725F5E" w:rsidRPr="005A11D1" w:rsidRDefault="00725F5E" w:rsidP="00725F5E">
            <w:pPr>
              <w:shd w:val="clear" w:color="auto" w:fill="FFFFFF"/>
              <w:ind w:firstLineChars="200" w:firstLine="482"/>
              <w:rPr>
                <w:rFonts w:ascii="宋体" w:eastAsia="宋体" w:hAnsi="宋体" w:cs="Times New Roman" w:hint="eastAsia"/>
                <w:b/>
                <w:bCs/>
                <w:snapToGrid/>
                <w:color w:val="000000" w:themeColor="text1"/>
                <w:sz w:val="24"/>
                <w:szCs w:val="24"/>
              </w:rPr>
            </w:pPr>
            <w:r>
              <w:rPr>
                <w:rFonts w:ascii="宋体" w:eastAsia="宋体" w:hAnsi="宋体" w:cs="Times New Roman" w:hint="eastAsia"/>
                <w:b/>
                <w:bCs/>
                <w:color w:val="000000" w:themeColor="text1"/>
                <w:sz w:val="24"/>
                <w:szCs w:val="24"/>
              </w:rPr>
              <w:t>11、</w:t>
            </w:r>
            <w:r w:rsidRPr="005A11D1">
              <w:rPr>
                <w:rFonts w:ascii="宋体" w:eastAsia="宋体" w:hAnsi="宋体" w:cs="Times New Roman"/>
                <w:b/>
                <w:bCs/>
                <w:snapToGrid/>
                <w:color w:val="000000" w:themeColor="text1"/>
                <w:sz w:val="24"/>
                <w:szCs w:val="24"/>
              </w:rPr>
              <w:t>截至2025年末，公司自营船队达590艘，自有及光租运力占比75%。请问总经理：</w:t>
            </w:r>
          </w:p>
          <w:p w14:paraId="30932060" w14:textId="77777777" w:rsidR="00725F5E" w:rsidRPr="005A11D1" w:rsidRDefault="00725F5E" w:rsidP="00725F5E">
            <w:pPr>
              <w:shd w:val="clear" w:color="auto" w:fill="FFFFFF"/>
              <w:ind w:firstLineChars="200" w:firstLine="482"/>
              <w:rPr>
                <w:rFonts w:ascii="宋体" w:eastAsia="宋体" w:hAnsi="宋体" w:cs="Times New Roman" w:hint="eastAsia"/>
                <w:b/>
                <w:bCs/>
                <w:snapToGrid/>
                <w:color w:val="000000" w:themeColor="text1"/>
                <w:sz w:val="24"/>
                <w:szCs w:val="24"/>
              </w:rPr>
            </w:pPr>
            <w:r w:rsidRPr="005A11D1">
              <w:rPr>
                <w:rFonts w:ascii="宋体" w:eastAsia="宋体" w:hAnsi="宋体" w:cs="Times New Roman"/>
                <w:b/>
                <w:bCs/>
                <w:snapToGrid/>
                <w:color w:val="000000" w:themeColor="text1"/>
                <w:sz w:val="24"/>
                <w:szCs w:val="24"/>
              </w:rPr>
              <w:t xml:space="preserve"> - 未来是否计划进一步加大自有船舶比例？在船舶大型化与中小型船舶的运力配置上如何平衡成本与灵活性？</w:t>
            </w:r>
          </w:p>
          <w:p w14:paraId="174DC3D7" w14:textId="77777777" w:rsidR="00725F5E" w:rsidRPr="005A11D1" w:rsidRDefault="00725F5E" w:rsidP="00725F5E">
            <w:pPr>
              <w:shd w:val="clear" w:color="auto" w:fill="FFFFFF"/>
              <w:ind w:firstLineChars="200" w:firstLine="482"/>
              <w:rPr>
                <w:rFonts w:ascii="宋体" w:eastAsia="宋体" w:hAnsi="宋体" w:cs="Times New Roman" w:hint="eastAsia"/>
                <w:b/>
                <w:bCs/>
                <w:snapToGrid/>
                <w:color w:val="000000" w:themeColor="text1"/>
                <w:sz w:val="24"/>
                <w:szCs w:val="24"/>
              </w:rPr>
            </w:pPr>
            <w:r w:rsidRPr="005A11D1">
              <w:rPr>
                <w:rFonts w:ascii="宋体" w:eastAsia="宋体" w:hAnsi="宋体" w:cs="Times New Roman"/>
                <w:b/>
                <w:bCs/>
                <w:snapToGrid/>
                <w:color w:val="000000" w:themeColor="text1"/>
                <w:sz w:val="24"/>
                <w:szCs w:val="24"/>
              </w:rPr>
              <w:t xml:space="preserve"> - 公司数字化转型（如区块链、智能调度系统）的进展如何？是否有量化指标评估数字化对运营成本或效率的提升（如单箱成本下降率、准班率提升目标）？</w:t>
            </w:r>
          </w:p>
          <w:p w14:paraId="1D5ED517"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p>
          <w:p w14:paraId="5A219FDB"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尊敬的投资者，您好！</w:t>
            </w:r>
          </w:p>
          <w:p w14:paraId="56FE7FDB"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截至2025年末，中远海控旗下双品牌自营集装箱船队规模达590艘，运力约360万TEU，自有和光租船舶运力合计占比达75%，稳居行业第一梯队。截至2025年末，公司手持新造船订单共计54艘、合计运力约83万TEU。2026年1月，公司先后订造了12艘18,000TEU LNG双燃料动力及6艘3,000TEU集装箱船舶（请参相关公告）。上述船舶订单，计划于2026年至2029年期间陆续交付。未来，公司将统筹推进双品牌航线运力租造项目和航线网络优化设计相适配，通过多重路径实现年度运力的有效增长、运力结构优化和均衡布局，力争保持行业第一梯队。截至目前，公司暂无进一步新造船计划。后续如有相关进展，公司将依法合规及时对外披露。</w:t>
            </w:r>
          </w:p>
          <w:p w14:paraId="7C7BD297"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 xml:space="preserve">    数字化转型方面，中远海控坚持以客户需求为导向，强化数智技术支撑，依托数智赋能，大力推动以“货”为中心的全球数字化供应链平台建设，有效提升资源运营管理效率和客户服务水平。中远海控将坚定拥抱变革创新，加快锻造航运物流新质生产力优势，探索推动公司内部全链组织架构、业务流程、运营体系和激励机制的优化调整，加快构建与发展新质生产力相适应的新型生产关系，为培育壮大航运物流新质生产力夯实基础。公司将全面开展“AI+”行动，以FDE（前沿部署工程师）专业化人才培养为抓手，坚持业务场景牵引，建设业务与技术深度融合的人工智能研发队伍，加强数智创新社区建设，激活业务一线自主创新活力。</w:t>
            </w:r>
          </w:p>
          <w:p w14:paraId="354AE97C"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 xml:space="preserve">    谢谢关注！</w:t>
            </w:r>
          </w:p>
          <w:p w14:paraId="15EC12FD"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p>
          <w:p w14:paraId="1CA13EB1" w14:textId="77777777" w:rsidR="00725F5E" w:rsidRPr="005A11D1" w:rsidRDefault="00725F5E" w:rsidP="00725F5E">
            <w:pPr>
              <w:shd w:val="clear" w:color="auto" w:fill="FFFFFF"/>
              <w:ind w:firstLineChars="200" w:firstLine="482"/>
              <w:rPr>
                <w:rFonts w:ascii="宋体" w:eastAsia="宋体" w:hAnsi="宋体" w:cs="Times New Roman" w:hint="eastAsia"/>
                <w:b/>
                <w:bCs/>
                <w:snapToGrid/>
                <w:color w:val="000000" w:themeColor="text1"/>
                <w:sz w:val="24"/>
                <w:szCs w:val="24"/>
              </w:rPr>
            </w:pPr>
            <w:r>
              <w:rPr>
                <w:rFonts w:ascii="宋体" w:eastAsia="宋体" w:hAnsi="宋体" w:cs="Times New Roman" w:hint="eastAsia"/>
                <w:b/>
                <w:bCs/>
                <w:color w:val="000000" w:themeColor="text1"/>
                <w:sz w:val="24"/>
                <w:szCs w:val="24"/>
              </w:rPr>
              <w:t>12、</w:t>
            </w:r>
            <w:r w:rsidRPr="005A11D1">
              <w:rPr>
                <w:rFonts w:ascii="宋体" w:eastAsia="宋体" w:hAnsi="宋体" w:cs="Times New Roman" w:hint="eastAsia"/>
                <w:b/>
                <w:bCs/>
                <w:snapToGrid/>
                <w:color w:val="000000" w:themeColor="text1"/>
                <w:sz w:val="24"/>
                <w:szCs w:val="24"/>
              </w:rPr>
              <w:t>2025年公司维持高比例分红（全年派息占归母净利润约50%，末期现金红利0.44元/股）。作为独立董事，您如何看待：</w:t>
            </w:r>
          </w:p>
          <w:p w14:paraId="70EECA6A" w14:textId="77777777" w:rsidR="00725F5E" w:rsidRPr="005A11D1" w:rsidRDefault="00725F5E" w:rsidP="00725F5E">
            <w:pPr>
              <w:shd w:val="clear" w:color="auto" w:fill="FFFFFF"/>
              <w:ind w:firstLineChars="200" w:firstLine="482"/>
              <w:rPr>
                <w:rFonts w:ascii="宋体" w:eastAsia="宋体" w:hAnsi="宋体" w:cs="Times New Roman" w:hint="eastAsia"/>
                <w:b/>
                <w:bCs/>
                <w:snapToGrid/>
                <w:color w:val="000000" w:themeColor="text1"/>
                <w:sz w:val="24"/>
                <w:szCs w:val="24"/>
              </w:rPr>
            </w:pPr>
            <w:r w:rsidRPr="005A11D1">
              <w:rPr>
                <w:rFonts w:ascii="宋体" w:eastAsia="宋体" w:hAnsi="宋体" w:cs="Times New Roman" w:hint="eastAsia"/>
                <w:b/>
                <w:bCs/>
                <w:snapToGrid/>
                <w:color w:val="000000" w:themeColor="text1"/>
                <w:sz w:val="24"/>
                <w:szCs w:val="24"/>
              </w:rPr>
              <w:t>- 高分红政策的可持续性？若未来资本开支（如绿色船队投资）增加，公司是否会调整分红比例以平衡发展需求？</w:t>
            </w:r>
          </w:p>
          <w:p w14:paraId="13D8349B" w14:textId="77777777" w:rsidR="00725F5E" w:rsidRPr="005A11D1" w:rsidRDefault="00725F5E" w:rsidP="00725F5E">
            <w:pPr>
              <w:shd w:val="clear" w:color="auto" w:fill="FFFFFF"/>
              <w:ind w:firstLineChars="200" w:firstLine="482"/>
              <w:rPr>
                <w:rFonts w:ascii="宋体" w:eastAsia="宋体" w:hAnsi="宋体" w:cs="Times New Roman" w:hint="eastAsia"/>
                <w:b/>
                <w:bCs/>
                <w:snapToGrid/>
                <w:color w:val="000000" w:themeColor="text1"/>
                <w:sz w:val="24"/>
                <w:szCs w:val="24"/>
              </w:rPr>
            </w:pPr>
            <w:r w:rsidRPr="005A11D1">
              <w:rPr>
                <w:rFonts w:ascii="宋体" w:eastAsia="宋体" w:hAnsi="宋体" w:cs="Times New Roman" w:hint="eastAsia"/>
                <w:b/>
                <w:bCs/>
                <w:snapToGrid/>
                <w:color w:val="000000" w:themeColor="text1"/>
                <w:sz w:val="24"/>
                <w:szCs w:val="24"/>
              </w:rPr>
              <w:t>- 中小股东权益保护机制？公司如何确保分红决策的透明性及合理性，避免大股东利益输送风险？</w:t>
            </w:r>
          </w:p>
          <w:p w14:paraId="6866C798"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p>
          <w:p w14:paraId="4A03EF48"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尊敬的投资者，您好！</w:t>
            </w:r>
          </w:p>
          <w:p w14:paraId="13FF6790"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中远海控始终兼顾公司可持续发展与股东回报，已先后制定中远海控《未来三年股东分红回报规划（2022年-2024年）》及《未来三年股东分红回报规划（2025年-2027年）》。上述规划明确，公司年度内分配的现金分红总额应占公司当年度实现的归属于上市公司股东净利润的30%-50%。</w:t>
            </w:r>
          </w:p>
          <w:p w14:paraId="4834C0F3"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 xml:space="preserve">    为保持利润分配政策的连续性和稳定性，继续积极回报股东，近期董事会建议向全体股东每股派发2025年末期现金红利人民币0.44元（含税）；加上2025年中期已派发的现金红利，预计2025年全年派发的现金红利总额，约占公司在该年度实现的归属于上市公司股东净利润的50%。公司2025年末期利润分派方案尚需提交股东会审议。   </w:t>
            </w:r>
          </w:p>
          <w:p w14:paraId="2ADB089D"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如含上述2025年末期现金分红在内，自 2021 年起至今在满足现金分红条件的情况下，公司共计实施现金分红 9次，累计派发现金红利总额约为人民币 1,202亿元，该分红力度位列行业前列。在中国上市公司协会发布的《2025年上市公司现金分红榜单》中，中远海控位列股息率榜单第1位、现金分红总额榜单第11位。</w:t>
            </w:r>
          </w:p>
          <w:p w14:paraId="2FE63CD0"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hint="eastAsia"/>
                <w:snapToGrid/>
                <w:color w:val="000000" w:themeColor="text1"/>
                <w:sz w:val="24"/>
                <w:szCs w:val="24"/>
              </w:rPr>
              <w:t>谢谢关注！</w:t>
            </w:r>
          </w:p>
          <w:p w14:paraId="2EB7BFDF"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p>
          <w:p w14:paraId="5A488C5A" w14:textId="77777777" w:rsidR="00725F5E" w:rsidRPr="005A11D1" w:rsidRDefault="00725F5E" w:rsidP="00725F5E">
            <w:pPr>
              <w:shd w:val="clear" w:color="auto" w:fill="FFFFFF"/>
              <w:ind w:firstLineChars="200" w:firstLine="482"/>
              <w:rPr>
                <w:rFonts w:ascii="宋体" w:eastAsia="宋体" w:hAnsi="宋体" w:cs="Times New Roman" w:hint="eastAsia"/>
                <w:b/>
                <w:bCs/>
                <w:snapToGrid/>
                <w:color w:val="000000" w:themeColor="text1"/>
                <w:sz w:val="24"/>
                <w:szCs w:val="24"/>
              </w:rPr>
            </w:pPr>
            <w:r>
              <w:rPr>
                <w:rFonts w:ascii="宋体" w:eastAsia="宋体" w:hAnsi="宋体" w:cs="Times New Roman" w:hint="eastAsia"/>
                <w:b/>
                <w:bCs/>
                <w:color w:val="000000" w:themeColor="text1"/>
                <w:sz w:val="24"/>
                <w:szCs w:val="24"/>
              </w:rPr>
              <w:t>13、</w:t>
            </w:r>
            <w:r w:rsidRPr="005A11D1">
              <w:rPr>
                <w:rFonts w:ascii="宋体" w:eastAsia="宋体" w:hAnsi="宋体" w:cs="Times New Roman"/>
                <w:b/>
                <w:bCs/>
                <w:snapToGrid/>
                <w:color w:val="000000" w:themeColor="text1"/>
                <w:sz w:val="24"/>
                <w:szCs w:val="24"/>
              </w:rPr>
              <w:t xml:space="preserve">2025年公司资产负债率降至41.42%，但面临运价波动、地缘政治等风险。请问独董： </w:t>
            </w:r>
          </w:p>
          <w:p w14:paraId="2C3D3755" w14:textId="77777777" w:rsidR="00725F5E" w:rsidRPr="005A11D1" w:rsidRDefault="00725F5E" w:rsidP="00725F5E">
            <w:pPr>
              <w:shd w:val="clear" w:color="auto" w:fill="FFFFFF"/>
              <w:ind w:firstLineChars="200" w:firstLine="482"/>
              <w:rPr>
                <w:rFonts w:ascii="宋体" w:eastAsia="宋体" w:hAnsi="宋体" w:cs="Times New Roman" w:hint="eastAsia"/>
                <w:b/>
                <w:bCs/>
                <w:snapToGrid/>
                <w:color w:val="000000" w:themeColor="text1"/>
                <w:sz w:val="24"/>
                <w:szCs w:val="24"/>
              </w:rPr>
            </w:pPr>
            <w:r w:rsidRPr="005A11D1">
              <w:rPr>
                <w:rFonts w:ascii="宋体" w:eastAsia="宋体" w:hAnsi="宋体" w:cs="Times New Roman"/>
                <w:b/>
                <w:bCs/>
                <w:snapToGrid/>
                <w:color w:val="000000" w:themeColor="text1"/>
                <w:sz w:val="24"/>
                <w:szCs w:val="24"/>
              </w:rPr>
              <w:t xml:space="preserve">- 公司是否建立压力测试模型评估极端风险（如燃油价格暴涨、贸易摩擦升级）对利润的影响？是否有对冲工具或保险方案覆盖核心风险？ </w:t>
            </w:r>
          </w:p>
          <w:p w14:paraId="43807B2A" w14:textId="77777777" w:rsidR="00725F5E" w:rsidRPr="005A11D1" w:rsidRDefault="00725F5E" w:rsidP="00725F5E">
            <w:pPr>
              <w:shd w:val="clear" w:color="auto" w:fill="FFFFFF"/>
              <w:ind w:firstLineChars="200" w:firstLine="482"/>
              <w:rPr>
                <w:rFonts w:ascii="宋体" w:eastAsia="宋体" w:hAnsi="宋体" w:cs="Times New Roman" w:hint="eastAsia"/>
                <w:b/>
                <w:bCs/>
                <w:snapToGrid/>
                <w:color w:val="000000" w:themeColor="text1"/>
                <w:sz w:val="24"/>
                <w:szCs w:val="24"/>
              </w:rPr>
            </w:pPr>
            <w:r w:rsidRPr="005A11D1">
              <w:rPr>
                <w:rFonts w:ascii="宋体" w:eastAsia="宋体" w:hAnsi="宋体" w:cs="Times New Roman"/>
                <w:b/>
                <w:bCs/>
                <w:snapToGrid/>
                <w:color w:val="000000" w:themeColor="text1"/>
                <w:sz w:val="24"/>
                <w:szCs w:val="24"/>
              </w:rPr>
              <w:t>- 作为独立董事，您如何监督重大投资（如码头收购）或关联交易的公允性？是否存在利益冲突的防范机制？</w:t>
            </w:r>
          </w:p>
          <w:p w14:paraId="3301D872"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p>
          <w:p w14:paraId="68D94D40"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snapToGrid/>
                <w:color w:val="000000" w:themeColor="text1"/>
                <w:sz w:val="24"/>
                <w:szCs w:val="24"/>
              </w:rPr>
              <w:t xml:space="preserve">尊敬的股东，您好。 </w:t>
            </w:r>
          </w:p>
          <w:p w14:paraId="73758729"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snapToGrid/>
                <w:color w:val="000000" w:themeColor="text1"/>
                <w:sz w:val="24"/>
                <w:szCs w:val="24"/>
              </w:rPr>
              <w:t>一、关于风险防范及应对</w:t>
            </w:r>
            <w:r w:rsidRPr="00A74875">
              <w:rPr>
                <w:rFonts w:ascii="宋体" w:eastAsia="宋体" w:hAnsi="宋体" w:cs="Times New Roman" w:hint="eastAsia"/>
                <w:snapToGrid/>
                <w:color w:val="000000" w:themeColor="text1"/>
                <w:sz w:val="24"/>
                <w:szCs w:val="24"/>
              </w:rPr>
              <w:t>。</w:t>
            </w:r>
            <w:r w:rsidRPr="00A74875">
              <w:rPr>
                <w:rFonts w:ascii="宋体" w:eastAsia="宋体" w:hAnsi="宋体" w:cs="Times New Roman"/>
                <w:snapToGrid/>
                <w:color w:val="000000" w:themeColor="text1"/>
                <w:sz w:val="24"/>
                <w:szCs w:val="24"/>
              </w:rPr>
              <w:t xml:space="preserve">在公司治理层面，董事会发挥“定战略、作决策、防风险”的作用，对股东会负责；董事会下设风险控制委员会，主要负责识别、管理、监督及控制公司的各类风险，向董事会提供风险分析和决策支持。根据公司已发布的《2025年年度报告》，公司可能面对的风险包括：地缘政治风险、供应链投资风险、汇率波动风险、信息系统安全风险、港口投资风险等五项风险，对相关风险做了描述与分析，并阐述了风险应对的策略。 </w:t>
            </w:r>
          </w:p>
          <w:p w14:paraId="7ECF13D8"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snapToGrid/>
                <w:color w:val="000000" w:themeColor="text1"/>
                <w:sz w:val="24"/>
                <w:szCs w:val="24"/>
              </w:rPr>
              <w:t>二、关于关联交易合规管理</w:t>
            </w:r>
            <w:r w:rsidRPr="00A74875">
              <w:rPr>
                <w:rFonts w:ascii="宋体" w:eastAsia="宋体" w:hAnsi="宋体" w:cs="Times New Roman" w:hint="eastAsia"/>
                <w:snapToGrid/>
                <w:color w:val="000000" w:themeColor="text1"/>
                <w:sz w:val="24"/>
                <w:szCs w:val="24"/>
              </w:rPr>
              <w:t>。</w:t>
            </w:r>
            <w:r w:rsidRPr="00A74875">
              <w:rPr>
                <w:rFonts w:ascii="宋体" w:eastAsia="宋体" w:hAnsi="宋体" w:cs="Times New Roman"/>
                <w:snapToGrid/>
                <w:color w:val="000000" w:themeColor="text1"/>
                <w:sz w:val="24"/>
                <w:szCs w:val="24"/>
              </w:rPr>
              <w:t xml:space="preserve">根据上市地法律法规及相关规则，公司建立了完善的关联交易管理制度，详见已披露的《公司章程》《董事会议事规则》《关联交易管理办法》等制度文件。在落实过程中，公司严格遵循以上法律法规及规章制度，确保各项关联交易的公允性，切实保护中小股东合法权益。 </w:t>
            </w:r>
          </w:p>
          <w:p w14:paraId="693951A8" w14:textId="77777777" w:rsidR="00725F5E" w:rsidRPr="00A74875" w:rsidRDefault="00725F5E" w:rsidP="00725F5E">
            <w:pPr>
              <w:shd w:val="clear" w:color="auto" w:fill="FFFFFF"/>
              <w:ind w:firstLineChars="200" w:firstLine="480"/>
              <w:rPr>
                <w:rFonts w:ascii="宋体" w:eastAsia="宋体" w:hAnsi="宋体" w:cs="Times New Roman" w:hint="eastAsia"/>
                <w:snapToGrid/>
                <w:color w:val="000000" w:themeColor="text1"/>
                <w:sz w:val="24"/>
                <w:szCs w:val="24"/>
              </w:rPr>
            </w:pPr>
            <w:r w:rsidRPr="00A74875">
              <w:rPr>
                <w:rFonts w:ascii="宋体" w:eastAsia="宋体" w:hAnsi="宋体" w:cs="Times New Roman"/>
                <w:snapToGrid/>
                <w:color w:val="000000" w:themeColor="text1"/>
                <w:sz w:val="24"/>
                <w:szCs w:val="24"/>
              </w:rPr>
              <w:t xml:space="preserve">感谢您的提问。 </w:t>
            </w:r>
          </w:p>
          <w:p w14:paraId="2C410FA8" w14:textId="124C6914" w:rsidR="00336531" w:rsidRPr="00BB1BCC" w:rsidRDefault="00336531" w:rsidP="002D0721">
            <w:pPr>
              <w:shd w:val="clear" w:color="auto" w:fill="FFFFFF"/>
              <w:spacing w:afterLines="50" w:after="156"/>
              <w:ind w:firstLineChars="200" w:firstLine="480"/>
              <w:rPr>
                <w:rFonts w:ascii="Times New Roman" w:eastAsia="宋体" w:hAnsi="Times New Roman" w:cs="Times New Roman"/>
                <w:sz w:val="24"/>
                <w:szCs w:val="24"/>
              </w:rPr>
            </w:pPr>
          </w:p>
        </w:tc>
      </w:tr>
    </w:tbl>
    <w:p w14:paraId="1485F7A3" w14:textId="77777777" w:rsidR="009003EA" w:rsidRDefault="009003EA"/>
    <w:sectPr w:rsidR="009003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9A4AC" w14:textId="77777777" w:rsidR="001369C4" w:rsidRDefault="001369C4">
      <w:r>
        <w:separator/>
      </w:r>
    </w:p>
  </w:endnote>
  <w:endnote w:type="continuationSeparator" w:id="0">
    <w:p w14:paraId="7CC4D2E2" w14:textId="77777777" w:rsidR="001369C4" w:rsidRDefault="0013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28736" w14:textId="77777777" w:rsidR="001369C4" w:rsidRDefault="001369C4">
      <w:r>
        <w:separator/>
      </w:r>
    </w:p>
  </w:footnote>
  <w:footnote w:type="continuationSeparator" w:id="0">
    <w:p w14:paraId="7CCC447E" w14:textId="77777777" w:rsidR="001369C4" w:rsidRDefault="00136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6D65"/>
    <w:multiLevelType w:val="hybridMultilevel"/>
    <w:tmpl w:val="4086A440"/>
    <w:lvl w:ilvl="0" w:tplc="5B7407CA">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D852797"/>
    <w:multiLevelType w:val="hybridMultilevel"/>
    <w:tmpl w:val="9FB0D44E"/>
    <w:lvl w:ilvl="0" w:tplc="D6703E76">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66CC6327"/>
    <w:multiLevelType w:val="hybridMultilevel"/>
    <w:tmpl w:val="BB3215A0"/>
    <w:lvl w:ilvl="0" w:tplc="F8C42BDA">
      <w:start w:val="1"/>
      <w:numFmt w:val="decimal"/>
      <w:lvlText w:val="%1."/>
      <w:lvlJc w:val="left"/>
      <w:pPr>
        <w:ind w:left="601" w:hanging="36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3" w15:restartNumberingAfterBreak="0">
    <w:nsid w:val="69176523"/>
    <w:multiLevelType w:val="hybridMultilevel"/>
    <w:tmpl w:val="200E2160"/>
    <w:lvl w:ilvl="0" w:tplc="425627EE">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num w:numId="1" w16cid:durableId="2114352876">
    <w:abstractNumId w:val="2"/>
  </w:num>
  <w:num w:numId="2" w16cid:durableId="1623918460">
    <w:abstractNumId w:val="3"/>
  </w:num>
  <w:num w:numId="3" w16cid:durableId="1612975932">
    <w:abstractNumId w:val="1"/>
  </w:num>
  <w:num w:numId="4" w16cid:durableId="849762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YxNzlkZjkzMGU2ZjM4MTExNmU5MTU5YjgzNWJjMjMifQ=="/>
  </w:docVars>
  <w:rsids>
    <w:rsidRoot w:val="69C3779E"/>
    <w:rsid w:val="00020F67"/>
    <w:rsid w:val="000246AF"/>
    <w:rsid w:val="00046AD7"/>
    <w:rsid w:val="00050AB4"/>
    <w:rsid w:val="00051DE7"/>
    <w:rsid w:val="0007634D"/>
    <w:rsid w:val="00077961"/>
    <w:rsid w:val="000A4CFB"/>
    <w:rsid w:val="000F24D6"/>
    <w:rsid w:val="0011296C"/>
    <w:rsid w:val="00120727"/>
    <w:rsid w:val="00122A93"/>
    <w:rsid w:val="001369C4"/>
    <w:rsid w:val="001434C5"/>
    <w:rsid w:val="001635BB"/>
    <w:rsid w:val="00166794"/>
    <w:rsid w:val="0016757A"/>
    <w:rsid w:val="001A6FED"/>
    <w:rsid w:val="001C7152"/>
    <w:rsid w:val="001D40A5"/>
    <w:rsid w:val="00201E2B"/>
    <w:rsid w:val="0022004B"/>
    <w:rsid w:val="00247008"/>
    <w:rsid w:val="002577D2"/>
    <w:rsid w:val="00262940"/>
    <w:rsid w:val="00265822"/>
    <w:rsid w:val="00272E3B"/>
    <w:rsid w:val="00274E46"/>
    <w:rsid w:val="002B63C8"/>
    <w:rsid w:val="002D0721"/>
    <w:rsid w:val="002D34EA"/>
    <w:rsid w:val="002E16B9"/>
    <w:rsid w:val="002F1E03"/>
    <w:rsid w:val="002F343D"/>
    <w:rsid w:val="0031088B"/>
    <w:rsid w:val="00313925"/>
    <w:rsid w:val="0032044F"/>
    <w:rsid w:val="003218D0"/>
    <w:rsid w:val="0032348F"/>
    <w:rsid w:val="00330212"/>
    <w:rsid w:val="0033059C"/>
    <w:rsid w:val="00336531"/>
    <w:rsid w:val="00365DA1"/>
    <w:rsid w:val="003B6DB4"/>
    <w:rsid w:val="003C160A"/>
    <w:rsid w:val="003C2609"/>
    <w:rsid w:val="003D089B"/>
    <w:rsid w:val="003F19DF"/>
    <w:rsid w:val="00407FE4"/>
    <w:rsid w:val="00415502"/>
    <w:rsid w:val="00422874"/>
    <w:rsid w:val="00425081"/>
    <w:rsid w:val="0043024A"/>
    <w:rsid w:val="00447FC8"/>
    <w:rsid w:val="00453EAE"/>
    <w:rsid w:val="00467FEF"/>
    <w:rsid w:val="00482745"/>
    <w:rsid w:val="004B4E96"/>
    <w:rsid w:val="004E767A"/>
    <w:rsid w:val="004F3FF1"/>
    <w:rsid w:val="004F659F"/>
    <w:rsid w:val="0051372C"/>
    <w:rsid w:val="005235ED"/>
    <w:rsid w:val="00523753"/>
    <w:rsid w:val="005532F2"/>
    <w:rsid w:val="00557926"/>
    <w:rsid w:val="005617A9"/>
    <w:rsid w:val="0057424A"/>
    <w:rsid w:val="00577CEF"/>
    <w:rsid w:val="0058025A"/>
    <w:rsid w:val="005A01CD"/>
    <w:rsid w:val="005C7009"/>
    <w:rsid w:val="005D08AE"/>
    <w:rsid w:val="005D6752"/>
    <w:rsid w:val="005F64B6"/>
    <w:rsid w:val="00622113"/>
    <w:rsid w:val="00622F9C"/>
    <w:rsid w:val="006A473B"/>
    <w:rsid w:val="006C7194"/>
    <w:rsid w:val="006D5570"/>
    <w:rsid w:val="00707096"/>
    <w:rsid w:val="007118D6"/>
    <w:rsid w:val="00714653"/>
    <w:rsid w:val="007158D8"/>
    <w:rsid w:val="00717A73"/>
    <w:rsid w:val="00725F5E"/>
    <w:rsid w:val="0076600F"/>
    <w:rsid w:val="007A434A"/>
    <w:rsid w:val="007C324C"/>
    <w:rsid w:val="00807125"/>
    <w:rsid w:val="008173BC"/>
    <w:rsid w:val="008231EA"/>
    <w:rsid w:val="0082359A"/>
    <w:rsid w:val="00842CED"/>
    <w:rsid w:val="008517B6"/>
    <w:rsid w:val="00884883"/>
    <w:rsid w:val="008A229B"/>
    <w:rsid w:val="008A2CA3"/>
    <w:rsid w:val="008F0EE7"/>
    <w:rsid w:val="009003EA"/>
    <w:rsid w:val="009004EF"/>
    <w:rsid w:val="00927001"/>
    <w:rsid w:val="00950945"/>
    <w:rsid w:val="009772A5"/>
    <w:rsid w:val="00983D90"/>
    <w:rsid w:val="00990696"/>
    <w:rsid w:val="009914B0"/>
    <w:rsid w:val="009A5695"/>
    <w:rsid w:val="009A5E27"/>
    <w:rsid w:val="009F41A0"/>
    <w:rsid w:val="009F66B1"/>
    <w:rsid w:val="00A16F6E"/>
    <w:rsid w:val="00A468DE"/>
    <w:rsid w:val="00A50534"/>
    <w:rsid w:val="00A7492F"/>
    <w:rsid w:val="00A74A04"/>
    <w:rsid w:val="00A92299"/>
    <w:rsid w:val="00AC1D81"/>
    <w:rsid w:val="00AC30B4"/>
    <w:rsid w:val="00AD56ED"/>
    <w:rsid w:val="00AE72F5"/>
    <w:rsid w:val="00B1709F"/>
    <w:rsid w:val="00B47A60"/>
    <w:rsid w:val="00B504D6"/>
    <w:rsid w:val="00B571DB"/>
    <w:rsid w:val="00B62351"/>
    <w:rsid w:val="00B645BB"/>
    <w:rsid w:val="00B657A7"/>
    <w:rsid w:val="00B667BA"/>
    <w:rsid w:val="00B93EFA"/>
    <w:rsid w:val="00BB1BCC"/>
    <w:rsid w:val="00BC158E"/>
    <w:rsid w:val="00BE649F"/>
    <w:rsid w:val="00BF6B76"/>
    <w:rsid w:val="00C13AA8"/>
    <w:rsid w:val="00C23ED5"/>
    <w:rsid w:val="00C2563D"/>
    <w:rsid w:val="00C70170"/>
    <w:rsid w:val="00C748A6"/>
    <w:rsid w:val="00C90477"/>
    <w:rsid w:val="00CA5F3B"/>
    <w:rsid w:val="00D00FAE"/>
    <w:rsid w:val="00D13E22"/>
    <w:rsid w:val="00D24258"/>
    <w:rsid w:val="00D36CBF"/>
    <w:rsid w:val="00D41715"/>
    <w:rsid w:val="00D4233B"/>
    <w:rsid w:val="00D52A01"/>
    <w:rsid w:val="00D57743"/>
    <w:rsid w:val="00D72CD4"/>
    <w:rsid w:val="00D90850"/>
    <w:rsid w:val="00DA3923"/>
    <w:rsid w:val="00DA4D04"/>
    <w:rsid w:val="00DB223C"/>
    <w:rsid w:val="00DC7A5D"/>
    <w:rsid w:val="00DC7DFD"/>
    <w:rsid w:val="00DD0375"/>
    <w:rsid w:val="00DE0FE3"/>
    <w:rsid w:val="00DE1D54"/>
    <w:rsid w:val="00DF0A1D"/>
    <w:rsid w:val="00DF5960"/>
    <w:rsid w:val="00E02DB7"/>
    <w:rsid w:val="00E032C7"/>
    <w:rsid w:val="00E10019"/>
    <w:rsid w:val="00E54EA2"/>
    <w:rsid w:val="00E91B29"/>
    <w:rsid w:val="00EA3305"/>
    <w:rsid w:val="00EB2F75"/>
    <w:rsid w:val="00EC7E8D"/>
    <w:rsid w:val="00F15586"/>
    <w:rsid w:val="00F16A14"/>
    <w:rsid w:val="00F25796"/>
    <w:rsid w:val="00F27E88"/>
    <w:rsid w:val="00F4559E"/>
    <w:rsid w:val="00F717B7"/>
    <w:rsid w:val="00F82561"/>
    <w:rsid w:val="00FA3BC9"/>
    <w:rsid w:val="00FD4EF5"/>
    <w:rsid w:val="00FF7714"/>
    <w:rsid w:val="69C37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919F5"/>
  <w15:docId w15:val="{738C7797-BE2E-4D3C-A5A7-2D3DFC2B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header"/>
    <w:basedOn w:val="a"/>
    <w:link w:val="a4"/>
    <w:rsid w:val="00A50534"/>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rsid w:val="00A50534"/>
    <w:rPr>
      <w:rFonts w:ascii="Arial" w:eastAsia="Arial" w:hAnsi="Arial" w:cs="Arial"/>
      <w:snapToGrid w:val="0"/>
      <w:color w:val="000000"/>
      <w:sz w:val="18"/>
      <w:szCs w:val="18"/>
    </w:rPr>
  </w:style>
  <w:style w:type="paragraph" w:styleId="a5">
    <w:name w:val="footer"/>
    <w:basedOn w:val="a"/>
    <w:link w:val="a6"/>
    <w:rsid w:val="00A50534"/>
    <w:pPr>
      <w:tabs>
        <w:tab w:val="center" w:pos="4153"/>
        <w:tab w:val="right" w:pos="8306"/>
      </w:tabs>
    </w:pPr>
    <w:rPr>
      <w:sz w:val="18"/>
      <w:szCs w:val="18"/>
    </w:rPr>
  </w:style>
  <w:style w:type="character" w:customStyle="1" w:styleId="a6">
    <w:name w:val="页脚 字符"/>
    <w:basedOn w:val="a0"/>
    <w:link w:val="a5"/>
    <w:rsid w:val="00A50534"/>
    <w:rPr>
      <w:rFonts w:ascii="Arial" w:eastAsia="Arial" w:hAnsi="Arial" w:cs="Arial"/>
      <w:snapToGrid w:val="0"/>
      <w:color w:val="000000"/>
      <w:sz w:val="18"/>
      <w:szCs w:val="18"/>
    </w:rPr>
  </w:style>
  <w:style w:type="paragraph" w:styleId="a7">
    <w:name w:val="List Paragraph"/>
    <w:basedOn w:val="a"/>
    <w:uiPriority w:val="99"/>
    <w:rsid w:val="00C90477"/>
    <w:pPr>
      <w:ind w:firstLineChars="200" w:firstLine="420"/>
    </w:pPr>
  </w:style>
  <w:style w:type="character" w:styleId="a8">
    <w:name w:val="Hyperlink"/>
    <w:basedOn w:val="a0"/>
    <w:rsid w:val="00B1709F"/>
    <w:rPr>
      <w:color w:val="0563C1" w:themeColor="hyperlink"/>
      <w:u w:val="single"/>
    </w:rPr>
  </w:style>
  <w:style w:type="paragraph" w:styleId="a9">
    <w:name w:val="Balloon Text"/>
    <w:basedOn w:val="a"/>
    <w:link w:val="aa"/>
    <w:rsid w:val="007118D6"/>
    <w:rPr>
      <w:sz w:val="18"/>
      <w:szCs w:val="18"/>
    </w:rPr>
  </w:style>
  <w:style w:type="character" w:customStyle="1" w:styleId="aa">
    <w:name w:val="批注框文本 字符"/>
    <w:basedOn w:val="a0"/>
    <w:link w:val="a9"/>
    <w:rsid w:val="007118D6"/>
    <w:rPr>
      <w:rFonts w:ascii="Arial" w:eastAsia="Arial" w:hAnsi="Arial" w:cs="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adshow.sseinf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F7D39-E079-4802-AA28-14F7FA1EE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9</Pages>
  <Words>1239</Words>
  <Characters>7068</Characters>
  <Application>Microsoft Office Word</Application>
  <DocSecurity>0</DocSecurity>
  <Lines>58</Lines>
  <Paragraphs>16</Paragraphs>
  <ScaleCrop>false</ScaleCrop>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杨璐</dc:creator>
  <cp:lastModifiedBy>章静</cp:lastModifiedBy>
  <cp:revision>90</cp:revision>
  <cp:lastPrinted>2024-11-19T08:49:00Z</cp:lastPrinted>
  <dcterms:created xsi:type="dcterms:W3CDTF">2024-05-21T11:19:00Z</dcterms:created>
  <dcterms:modified xsi:type="dcterms:W3CDTF">2026-04-10T01:05:00Z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5BEDABCD920442E38996B8948E5712B1_11</vt:lpwstr>
  </property>
</Properties>
</file>