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14E76" w14:textId="77777777" w:rsidR="00D3704D" w:rsidRPr="008F3177" w:rsidRDefault="00D3704D" w:rsidP="00871A26">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proofErr w:type="gramStart"/>
      <w:r w:rsidR="009D2D7D" w:rsidRPr="008F3177">
        <w:rPr>
          <w:rFonts w:ascii="TimesNewRoman" w:hAnsi="宋体" w:hint="eastAsia"/>
          <w:b/>
          <w:sz w:val="24"/>
        </w:rPr>
        <w:t>利元亨</w:t>
      </w:r>
      <w:proofErr w:type="gramEnd"/>
    </w:p>
    <w:p w14:paraId="1B0BF9FC" w14:textId="77777777" w:rsidR="00C04DF9" w:rsidRDefault="009D2D7D" w:rsidP="00871A26">
      <w:pPr>
        <w:spacing w:beforeLines="100" w:before="312" w:afterLines="100" w:after="312" w:line="400" w:lineRule="exact"/>
        <w:jc w:val="center"/>
        <w:rPr>
          <w:rFonts w:ascii="TimesNewRoman" w:hAnsi="宋体"/>
          <w:b/>
          <w:sz w:val="32"/>
          <w:szCs w:val="32"/>
        </w:rPr>
      </w:pPr>
      <w:proofErr w:type="gramStart"/>
      <w:r>
        <w:rPr>
          <w:rFonts w:ascii="TimesNewRoman" w:hAnsi="宋体" w:hint="eastAsia"/>
          <w:b/>
          <w:sz w:val="32"/>
          <w:szCs w:val="32"/>
        </w:rPr>
        <w:t>广东利元亨</w:t>
      </w:r>
      <w:proofErr w:type="gramEnd"/>
      <w:r>
        <w:rPr>
          <w:rFonts w:ascii="TimesNewRoman" w:hAnsi="宋体" w:hint="eastAsia"/>
          <w:b/>
          <w:sz w:val="32"/>
          <w:szCs w:val="32"/>
        </w:rPr>
        <w:t>智能装备</w:t>
      </w:r>
      <w:r w:rsidR="00E83A63">
        <w:rPr>
          <w:rFonts w:ascii="TimesNewRoman" w:hAnsi="宋体" w:hint="eastAsia"/>
          <w:b/>
          <w:sz w:val="32"/>
          <w:szCs w:val="32"/>
        </w:rPr>
        <w:t>股份有限公司</w:t>
      </w:r>
    </w:p>
    <w:p w14:paraId="3581E85A" w14:textId="77777777" w:rsidR="00D3704D" w:rsidRPr="00943E94" w:rsidRDefault="00563647" w:rsidP="00871A26">
      <w:pPr>
        <w:spacing w:beforeLines="100" w:before="312" w:afterLines="100" w:after="312" w:line="400" w:lineRule="exact"/>
        <w:jc w:val="center"/>
        <w:rPr>
          <w:rFonts w:ascii="TimesNewRoman" w:hAnsi="TimesNewRoman" w:hint="eastAsia"/>
          <w:b/>
          <w:sz w:val="32"/>
          <w:szCs w:val="32"/>
        </w:rPr>
      </w:pPr>
      <w:r>
        <w:rPr>
          <w:rFonts w:ascii="TimesNewRoman" w:hAnsi="TimesNewRoman" w:hint="eastAsia"/>
          <w:b/>
          <w:sz w:val="32"/>
          <w:szCs w:val="32"/>
        </w:rPr>
        <w:t>投资者交流记录表</w:t>
      </w:r>
    </w:p>
    <w:p w14:paraId="53BB9A30" w14:textId="4721AC8A"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009F518A">
        <w:rPr>
          <w:rFonts w:ascii="TimesNewRoman" w:hAnsi="TimesNewRoman" w:hint="eastAsia"/>
          <w:sz w:val="24"/>
        </w:rPr>
        <w:t xml:space="preserve">                               </w:t>
      </w:r>
      <w:r w:rsidRPr="00943E94">
        <w:rPr>
          <w:rFonts w:ascii="TimesNewRoman" w:hAnsi="TimesNewRoman" w:hint="eastAsia"/>
          <w:sz w:val="24"/>
        </w:rPr>
        <w:t xml:space="preserve"> </w:t>
      </w:r>
      <w:r w:rsidRPr="00943E94">
        <w:rPr>
          <w:rFonts w:ascii="TimesNewRoman" w:hAnsi="宋体" w:hint="eastAsia"/>
          <w:sz w:val="24"/>
        </w:rPr>
        <w:t>编号：</w:t>
      </w:r>
      <w:r w:rsidR="004D2728" w:rsidRPr="004D2728">
        <w:rPr>
          <w:rFonts w:ascii="TimesNewRoman" w:hAnsi="TimesNewRoman"/>
          <w:sz w:val="24"/>
        </w:rPr>
        <w:t>202</w:t>
      </w:r>
      <w:r w:rsidR="00051ACF">
        <w:rPr>
          <w:rFonts w:ascii="TimesNewRoman" w:hAnsi="TimesNewRoman"/>
          <w:sz w:val="24"/>
        </w:rPr>
        <w:t>6</w:t>
      </w:r>
      <w:r w:rsidR="009F518A">
        <w:rPr>
          <w:rFonts w:ascii="TimesNewRoman" w:hAnsi="TimesNewRoman" w:hint="eastAsia"/>
          <w:sz w:val="24"/>
        </w:rPr>
        <w:t>-</w:t>
      </w:r>
      <w:r w:rsidR="00051ACF">
        <w:rPr>
          <w:rFonts w:ascii="TimesNewRoman" w:hAnsi="TimesNewRoman"/>
          <w:sz w:val="24"/>
        </w:rPr>
        <w:t>0</w:t>
      </w:r>
      <w:r w:rsidR="008B6696">
        <w:rPr>
          <w:rFonts w:ascii="TimesNewRoman" w:hAnsi="TimesNewRoman"/>
          <w:sz w:val="24"/>
        </w:rPr>
        <w:t>4</w:t>
      </w:r>
      <w:r w:rsidR="004D2728" w:rsidRPr="004D2728">
        <w:rPr>
          <w:rFonts w:ascii="TimesNewRoman" w:hAnsi="TimesNewRoman"/>
          <w:sz w:val="24"/>
        </w:rPr>
        <w:t>00</w:t>
      </w:r>
      <w:r w:rsidR="003A0A09">
        <w:rPr>
          <w:rFonts w:ascii="TimesNewRoman" w:hAnsi="TimesNewRoman" w:hint="eastAsia"/>
          <w:sz w:val="24"/>
        </w:rPr>
        <w:t>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14:paraId="706E4AAA" w14:textId="77777777" w:rsidTr="006C69C5">
        <w:trPr>
          <w:trHeight w:val="2126"/>
          <w:jc w:val="center"/>
        </w:trPr>
        <w:tc>
          <w:tcPr>
            <w:tcW w:w="1908" w:type="dxa"/>
            <w:vAlign w:val="center"/>
          </w:tcPr>
          <w:p w14:paraId="5F1706F1" w14:textId="77777777" w:rsidR="00D3704D" w:rsidRPr="00943E94" w:rsidRDefault="00D3704D" w:rsidP="006C69C5">
            <w:pPr>
              <w:spacing w:line="480" w:lineRule="atLeast"/>
              <w:jc w:val="center"/>
              <w:rPr>
                <w:rFonts w:ascii="TimesNewRoman" w:hAnsi="TimesNewRoman" w:hint="eastAsia"/>
                <w:b/>
                <w:sz w:val="24"/>
              </w:rPr>
            </w:pPr>
            <w:r w:rsidRPr="00943E94">
              <w:rPr>
                <w:rFonts w:ascii="TimesNewRoman" w:hAnsi="宋体" w:hint="eastAsia"/>
                <w:b/>
                <w:sz w:val="24"/>
              </w:rPr>
              <w:t>投资者关系活动类别</w:t>
            </w:r>
          </w:p>
        </w:tc>
        <w:tc>
          <w:tcPr>
            <w:tcW w:w="7117" w:type="dxa"/>
            <w:tcBorders>
              <w:bottom w:val="single" w:sz="4" w:space="0" w:color="auto"/>
            </w:tcBorders>
          </w:tcPr>
          <w:p w14:paraId="11722DC9" w14:textId="77777777" w:rsidR="00D3704D" w:rsidRPr="00943E94" w:rsidRDefault="009D2D7D" w:rsidP="002749ED">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14:paraId="64533083" w14:textId="77777777"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Pr="00943E94">
              <w:rPr>
                <w:rFonts w:ascii="TimesNewRoman" w:hAnsi="TimesNewRoman" w:hint="eastAsia"/>
                <w:sz w:val="24"/>
              </w:rPr>
              <w:t>□</w:t>
            </w:r>
            <w:r w:rsidR="00B64417">
              <w:rPr>
                <w:rFonts w:ascii="TimesNewRoman" w:hAnsi="宋体" w:hint="eastAsia"/>
                <w:sz w:val="24"/>
              </w:rPr>
              <w:t>业绩</w:t>
            </w:r>
            <w:r w:rsidRPr="00943E94">
              <w:rPr>
                <w:rFonts w:ascii="TimesNewRoman" w:hAnsi="宋体" w:hint="eastAsia"/>
                <w:sz w:val="24"/>
              </w:rPr>
              <w:t>说明会</w:t>
            </w:r>
          </w:p>
          <w:p w14:paraId="66791024" w14:textId="77777777"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14:paraId="4D6D2D43" w14:textId="0DE0D626" w:rsidR="00D3704D" w:rsidRPr="00943E94" w:rsidRDefault="008B6696" w:rsidP="008C175B">
            <w:pPr>
              <w:tabs>
                <w:tab w:val="left" w:pos="3045"/>
                <w:tab w:val="center" w:pos="3199"/>
              </w:tabs>
              <w:spacing w:line="480" w:lineRule="atLeast"/>
              <w:rPr>
                <w:rFonts w:ascii="TimesNewRoman" w:hAnsi="TimesNewRoman" w:hint="eastAsia"/>
                <w:sz w:val="24"/>
              </w:rPr>
            </w:pPr>
            <w:r w:rsidRPr="00943E94">
              <w:rPr>
                <w:rFonts w:ascii="TimesNewRoman" w:hAnsi="TimesNewRoman" w:hint="eastAsia"/>
                <w:sz w:val="24"/>
              </w:rPr>
              <w:t>□</w:t>
            </w:r>
            <w:r w:rsidR="00563647">
              <w:rPr>
                <w:rFonts w:ascii="TimesNewRoman" w:hAnsi="宋体" w:hint="eastAsia"/>
                <w:sz w:val="24"/>
              </w:rPr>
              <w:t>现场参观</w:t>
            </w:r>
            <w:r w:rsidR="00292646">
              <w:rPr>
                <w:rFonts w:ascii="TimesNewRoman" w:hAnsi="TimesNewRoman" w:hint="eastAsia"/>
                <w:sz w:val="24"/>
              </w:rPr>
              <w:t xml:space="preserve"> </w:t>
            </w:r>
            <w:r w:rsidR="00292646">
              <w:rPr>
                <w:rFonts w:ascii="TimesNewRoman" w:hAnsi="TimesNewRoman"/>
                <w:sz w:val="24"/>
              </w:rPr>
              <w:t xml:space="preserve">           </w:t>
            </w:r>
            <w:r w:rsidR="00292646">
              <w:rPr>
                <w:rFonts w:ascii="宋体" w:hAnsi="宋体" w:hint="eastAsia"/>
                <w:sz w:val="24"/>
              </w:rPr>
              <w:t>■</w:t>
            </w:r>
            <w:r w:rsidR="008C175B" w:rsidRPr="008C175B">
              <w:rPr>
                <w:rFonts w:ascii="TimesNewRoman" w:hAnsi="TimesNewRoman" w:hint="eastAsia"/>
                <w:sz w:val="24"/>
              </w:rPr>
              <w:t>其他（电话会议）</w:t>
            </w:r>
            <w:r w:rsidR="00D3704D" w:rsidRPr="00943E94">
              <w:rPr>
                <w:rFonts w:ascii="TimesNewRoman" w:hAnsi="TimesNewRoman" w:hint="eastAsia"/>
                <w:sz w:val="24"/>
              </w:rPr>
              <w:t xml:space="preserve"> </w:t>
            </w:r>
          </w:p>
        </w:tc>
      </w:tr>
      <w:tr w:rsidR="00134783" w:rsidRPr="004973D8" w14:paraId="57560574" w14:textId="77777777" w:rsidTr="006C69C5">
        <w:trPr>
          <w:trHeight w:val="3403"/>
          <w:jc w:val="center"/>
        </w:trPr>
        <w:tc>
          <w:tcPr>
            <w:tcW w:w="1908" w:type="dxa"/>
            <w:vAlign w:val="center"/>
          </w:tcPr>
          <w:p w14:paraId="5233481A" w14:textId="77777777" w:rsidR="00134783" w:rsidRPr="00943E94" w:rsidRDefault="00134783" w:rsidP="006C69C5">
            <w:pPr>
              <w:spacing w:line="480" w:lineRule="atLeast"/>
              <w:jc w:val="center"/>
              <w:rPr>
                <w:rFonts w:ascii="TimesNewRoman" w:hAnsi="TimesNewRoman" w:hint="eastAsia"/>
                <w:b/>
                <w:sz w:val="24"/>
              </w:rPr>
            </w:pPr>
            <w:bookmarkStart w:id="0" w:name="_Hlk203399294"/>
            <w:r w:rsidRPr="00943E94">
              <w:rPr>
                <w:rFonts w:ascii="TimesNewRoman" w:hAnsi="宋体" w:hint="eastAsia"/>
                <w:b/>
                <w:sz w:val="24"/>
              </w:rPr>
              <w:t>参与单位名称</w:t>
            </w:r>
          </w:p>
        </w:tc>
        <w:tc>
          <w:tcPr>
            <w:tcW w:w="7117" w:type="dxa"/>
          </w:tcPr>
          <w:p w14:paraId="0EB881BE" w14:textId="4088A4FC" w:rsidR="00AD58AA" w:rsidRPr="00D6046F" w:rsidRDefault="008E189B" w:rsidP="003C0C47">
            <w:pPr>
              <w:spacing w:line="480" w:lineRule="atLeast"/>
              <w:rPr>
                <w:rFonts w:ascii="TimesNewRoman" w:eastAsiaTheme="minorEastAsia" w:hAnsi="TimesNewRoman" w:cs="Arial" w:hint="eastAsia"/>
                <w:b/>
                <w:kern w:val="0"/>
                <w:sz w:val="24"/>
                <w:szCs w:val="24"/>
              </w:rPr>
            </w:pPr>
            <w:r w:rsidRPr="008E189B">
              <w:rPr>
                <w:rFonts w:eastAsiaTheme="minorEastAsia" w:hint="eastAsia"/>
                <w:b/>
                <w:kern w:val="0"/>
                <w:sz w:val="24"/>
                <w:szCs w:val="24"/>
              </w:rPr>
              <w:t>银华基金、鹏华基金、国泰基金、建信理财、国寿安保基金、</w:t>
            </w:r>
            <w:proofErr w:type="gramStart"/>
            <w:r w:rsidRPr="008E189B">
              <w:rPr>
                <w:rFonts w:eastAsiaTheme="minorEastAsia" w:hint="eastAsia"/>
                <w:b/>
                <w:kern w:val="0"/>
                <w:sz w:val="24"/>
                <w:szCs w:val="24"/>
              </w:rPr>
              <w:t>圆信永丰</w:t>
            </w:r>
            <w:proofErr w:type="gramEnd"/>
            <w:r w:rsidRPr="008E189B">
              <w:rPr>
                <w:rFonts w:eastAsiaTheme="minorEastAsia" w:hint="eastAsia"/>
                <w:b/>
                <w:kern w:val="0"/>
                <w:sz w:val="24"/>
                <w:szCs w:val="24"/>
              </w:rPr>
              <w:t>基金、高通、通用创投、</w:t>
            </w:r>
            <w:proofErr w:type="gramStart"/>
            <w:r w:rsidRPr="008E189B">
              <w:rPr>
                <w:rFonts w:eastAsiaTheme="minorEastAsia" w:hint="eastAsia"/>
                <w:b/>
                <w:kern w:val="0"/>
                <w:sz w:val="24"/>
                <w:szCs w:val="24"/>
              </w:rPr>
              <w:t>中哲物产</w:t>
            </w:r>
            <w:proofErr w:type="gramEnd"/>
            <w:r w:rsidRPr="008E189B">
              <w:rPr>
                <w:rFonts w:eastAsiaTheme="minorEastAsia" w:hint="eastAsia"/>
                <w:b/>
                <w:kern w:val="0"/>
                <w:sz w:val="24"/>
                <w:szCs w:val="24"/>
              </w:rPr>
              <w:t>、工银安盛资产、和谐健康保险、正圆私募、</w:t>
            </w:r>
            <w:proofErr w:type="gramStart"/>
            <w:r w:rsidRPr="008E189B">
              <w:rPr>
                <w:rFonts w:eastAsiaTheme="minorEastAsia" w:hint="eastAsia"/>
                <w:b/>
                <w:kern w:val="0"/>
                <w:sz w:val="24"/>
                <w:szCs w:val="24"/>
              </w:rPr>
              <w:t>健顺投资</w:t>
            </w:r>
            <w:proofErr w:type="gramEnd"/>
            <w:r w:rsidRPr="008E189B">
              <w:rPr>
                <w:rFonts w:eastAsiaTheme="minorEastAsia" w:hint="eastAsia"/>
                <w:b/>
                <w:kern w:val="0"/>
                <w:sz w:val="24"/>
                <w:szCs w:val="24"/>
              </w:rPr>
              <w:t>、远信投资、兆顺私募、高竹私募、景瑞私募、彼得明奇私募、彼得明奇资产、添笙投资、玄卜投资、耕霁投资、明河投资、</w:t>
            </w:r>
            <w:proofErr w:type="gramStart"/>
            <w:r w:rsidRPr="008E189B">
              <w:rPr>
                <w:rFonts w:eastAsiaTheme="minorEastAsia" w:hint="eastAsia"/>
                <w:b/>
                <w:kern w:val="0"/>
                <w:sz w:val="24"/>
                <w:szCs w:val="24"/>
              </w:rPr>
              <w:t>睿</w:t>
            </w:r>
            <w:proofErr w:type="gramEnd"/>
            <w:r w:rsidRPr="008E189B">
              <w:rPr>
                <w:rFonts w:eastAsiaTheme="minorEastAsia" w:hint="eastAsia"/>
                <w:b/>
                <w:kern w:val="0"/>
                <w:sz w:val="24"/>
                <w:szCs w:val="24"/>
              </w:rPr>
              <w:t>德信投资、前海百川基金、禹田资本、橡果资产、</w:t>
            </w:r>
            <w:proofErr w:type="gramStart"/>
            <w:r w:rsidRPr="008E189B">
              <w:rPr>
                <w:rFonts w:eastAsiaTheme="minorEastAsia" w:hint="eastAsia"/>
                <w:b/>
                <w:kern w:val="0"/>
                <w:sz w:val="24"/>
                <w:szCs w:val="24"/>
              </w:rPr>
              <w:t>泽铭投资</w:t>
            </w:r>
            <w:proofErr w:type="gramEnd"/>
            <w:r w:rsidRPr="008E189B">
              <w:rPr>
                <w:rFonts w:eastAsiaTheme="minorEastAsia" w:hint="eastAsia"/>
                <w:b/>
                <w:kern w:val="0"/>
                <w:sz w:val="24"/>
                <w:szCs w:val="24"/>
              </w:rPr>
              <w:t>、国富联合私募、康禧私募、红华资本、中信证券、中金公司、中</w:t>
            </w:r>
            <w:proofErr w:type="gramStart"/>
            <w:r w:rsidRPr="008E189B">
              <w:rPr>
                <w:rFonts w:eastAsiaTheme="minorEastAsia" w:hint="eastAsia"/>
                <w:b/>
                <w:kern w:val="0"/>
                <w:sz w:val="24"/>
                <w:szCs w:val="24"/>
              </w:rPr>
              <w:t>信建投证券</w:t>
            </w:r>
            <w:proofErr w:type="gramEnd"/>
            <w:r w:rsidRPr="008E189B">
              <w:rPr>
                <w:rFonts w:eastAsiaTheme="minorEastAsia" w:hint="eastAsia"/>
                <w:b/>
                <w:kern w:val="0"/>
                <w:sz w:val="24"/>
                <w:szCs w:val="24"/>
              </w:rPr>
              <w:t>、华泰证券、招商证券、广发证券、银河证券、国信证券、光大证券、兴业证券、长江证券、申万研究所、平安证券、瑞银证券、摩根大通证券、美林、</w:t>
            </w:r>
            <w:r w:rsidRPr="008E189B">
              <w:rPr>
                <w:rFonts w:eastAsiaTheme="minorEastAsia" w:hint="eastAsia"/>
                <w:b/>
                <w:kern w:val="0"/>
                <w:sz w:val="24"/>
                <w:szCs w:val="24"/>
              </w:rPr>
              <w:t>Jefferies</w:t>
            </w:r>
            <w:r>
              <w:rPr>
                <w:rFonts w:eastAsiaTheme="minorEastAsia" w:hint="eastAsia"/>
                <w:b/>
                <w:kern w:val="0"/>
                <w:sz w:val="24"/>
                <w:szCs w:val="24"/>
              </w:rPr>
              <w:t>、</w:t>
            </w:r>
            <w:r w:rsidRPr="008E189B">
              <w:rPr>
                <w:rFonts w:eastAsiaTheme="minorEastAsia" w:hint="eastAsia"/>
                <w:b/>
                <w:kern w:val="0"/>
                <w:sz w:val="24"/>
                <w:szCs w:val="24"/>
              </w:rPr>
              <w:t>汇丰前海证券、</w:t>
            </w:r>
            <w:proofErr w:type="gramStart"/>
            <w:r w:rsidRPr="008E189B">
              <w:rPr>
                <w:rFonts w:eastAsiaTheme="minorEastAsia" w:hint="eastAsia"/>
                <w:b/>
                <w:kern w:val="0"/>
                <w:sz w:val="24"/>
                <w:szCs w:val="24"/>
              </w:rPr>
              <w:t>星展证券</w:t>
            </w:r>
            <w:proofErr w:type="gramEnd"/>
            <w:r w:rsidRPr="008E189B">
              <w:rPr>
                <w:rFonts w:eastAsiaTheme="minorEastAsia" w:hint="eastAsia"/>
                <w:b/>
                <w:kern w:val="0"/>
                <w:sz w:val="24"/>
                <w:szCs w:val="24"/>
              </w:rPr>
              <w:t>、中银国际证券、开源证券、太平洋证券、西部证券、西南证券、民生证券、东吴证券、</w:t>
            </w:r>
            <w:proofErr w:type="gramStart"/>
            <w:r w:rsidRPr="008E189B">
              <w:rPr>
                <w:rFonts w:eastAsiaTheme="minorEastAsia" w:hint="eastAsia"/>
                <w:b/>
                <w:kern w:val="0"/>
                <w:sz w:val="24"/>
                <w:szCs w:val="24"/>
              </w:rPr>
              <w:t>浙商</w:t>
            </w:r>
            <w:r>
              <w:rPr>
                <w:rFonts w:eastAsiaTheme="minorEastAsia" w:hint="eastAsia"/>
                <w:b/>
                <w:kern w:val="0"/>
                <w:sz w:val="24"/>
                <w:szCs w:val="24"/>
              </w:rPr>
              <w:t>证券</w:t>
            </w:r>
            <w:proofErr w:type="gramEnd"/>
            <w:r>
              <w:rPr>
                <w:rFonts w:eastAsiaTheme="minorEastAsia" w:hint="eastAsia"/>
                <w:b/>
                <w:kern w:val="0"/>
                <w:sz w:val="24"/>
                <w:szCs w:val="24"/>
              </w:rPr>
              <w:t>、信达证券、五矿证券、东莞证券、国海证券</w:t>
            </w:r>
            <w:r w:rsidR="008A1A45">
              <w:rPr>
                <w:rFonts w:eastAsiaTheme="minorEastAsia" w:hint="eastAsia"/>
                <w:b/>
                <w:kern w:val="0"/>
                <w:sz w:val="24"/>
                <w:szCs w:val="24"/>
              </w:rPr>
              <w:t>等机构</w:t>
            </w:r>
            <w:r w:rsidR="00053977" w:rsidRPr="008A1A45">
              <w:rPr>
                <w:rFonts w:eastAsiaTheme="minorEastAsia" w:hint="eastAsia"/>
                <w:kern w:val="0"/>
                <w:sz w:val="24"/>
                <w:szCs w:val="24"/>
              </w:rPr>
              <w:t>（合计</w:t>
            </w:r>
            <w:r w:rsidR="008B6696">
              <w:rPr>
                <w:rFonts w:eastAsiaTheme="minorEastAsia"/>
                <w:kern w:val="0"/>
                <w:sz w:val="24"/>
                <w:szCs w:val="24"/>
              </w:rPr>
              <w:t>66</w:t>
            </w:r>
            <w:r w:rsidR="005A7E6C" w:rsidRPr="008A1A45">
              <w:rPr>
                <w:rFonts w:eastAsiaTheme="minorEastAsia" w:hint="eastAsia"/>
                <w:kern w:val="0"/>
                <w:sz w:val="24"/>
                <w:szCs w:val="24"/>
              </w:rPr>
              <w:t>家机构</w:t>
            </w:r>
            <w:r w:rsidR="008A1A45">
              <w:rPr>
                <w:rFonts w:eastAsiaTheme="minorEastAsia" w:hint="eastAsia"/>
                <w:kern w:val="0"/>
                <w:sz w:val="24"/>
                <w:szCs w:val="24"/>
              </w:rPr>
              <w:t>，</w:t>
            </w:r>
            <w:r w:rsidR="008A1A45">
              <w:rPr>
                <w:rFonts w:eastAsiaTheme="minorEastAsia" w:hint="eastAsia"/>
                <w:kern w:val="0"/>
                <w:sz w:val="24"/>
                <w:szCs w:val="24"/>
              </w:rPr>
              <w:t>8</w:t>
            </w:r>
            <w:r w:rsidR="008A1A45">
              <w:rPr>
                <w:rFonts w:eastAsiaTheme="minorEastAsia"/>
                <w:kern w:val="0"/>
                <w:sz w:val="24"/>
                <w:szCs w:val="24"/>
              </w:rPr>
              <w:t>1</w:t>
            </w:r>
            <w:r w:rsidR="008A1A45">
              <w:rPr>
                <w:rFonts w:eastAsiaTheme="minorEastAsia" w:hint="eastAsia"/>
                <w:kern w:val="0"/>
                <w:sz w:val="24"/>
                <w:szCs w:val="24"/>
              </w:rPr>
              <w:t>位投资者</w:t>
            </w:r>
            <w:r w:rsidR="00053977" w:rsidRPr="008A1A45">
              <w:rPr>
                <w:rFonts w:eastAsiaTheme="minorEastAsia" w:hint="eastAsia"/>
                <w:kern w:val="0"/>
                <w:sz w:val="24"/>
                <w:szCs w:val="24"/>
              </w:rPr>
              <w:t>参与交流）（以上排名不分先后）</w:t>
            </w:r>
          </w:p>
        </w:tc>
      </w:tr>
      <w:bookmarkEnd w:id="0"/>
      <w:tr w:rsidR="00D3704D" w:rsidRPr="00943E94" w14:paraId="64AE8026" w14:textId="77777777" w:rsidTr="006C69C5">
        <w:trPr>
          <w:trHeight w:val="435"/>
          <w:jc w:val="center"/>
        </w:trPr>
        <w:tc>
          <w:tcPr>
            <w:tcW w:w="1908" w:type="dxa"/>
            <w:vAlign w:val="center"/>
          </w:tcPr>
          <w:p w14:paraId="1A1C0C28" w14:textId="77777777" w:rsidR="00D3704D" w:rsidRPr="00943E94" w:rsidRDefault="00D3704D" w:rsidP="006C69C5">
            <w:pPr>
              <w:spacing w:line="480" w:lineRule="atLeast"/>
              <w:jc w:val="center"/>
              <w:rPr>
                <w:rFonts w:ascii="TimesNewRoman" w:hAnsi="TimesNewRoman" w:hint="eastAsia"/>
                <w:b/>
                <w:sz w:val="24"/>
              </w:rPr>
            </w:pPr>
            <w:r w:rsidRPr="00943E94">
              <w:rPr>
                <w:rFonts w:ascii="TimesNewRoman" w:hAnsi="宋体" w:hint="eastAsia"/>
                <w:b/>
                <w:sz w:val="24"/>
              </w:rPr>
              <w:t>时间</w:t>
            </w:r>
          </w:p>
        </w:tc>
        <w:tc>
          <w:tcPr>
            <w:tcW w:w="7117" w:type="dxa"/>
          </w:tcPr>
          <w:p w14:paraId="410B2C47" w14:textId="3E3053CB" w:rsidR="00D3704D" w:rsidRPr="00864760" w:rsidRDefault="009E7DE3" w:rsidP="008B6696">
            <w:pPr>
              <w:spacing w:line="480" w:lineRule="atLeast"/>
              <w:jc w:val="left"/>
              <w:rPr>
                <w:rFonts w:ascii="TimesNewRoman" w:eastAsiaTheme="minorEastAsia" w:hAnsi="TimesNewRoman" w:cs="Arial" w:hint="eastAsia"/>
                <w:color w:val="000000"/>
                <w:kern w:val="0"/>
                <w:sz w:val="24"/>
                <w:szCs w:val="24"/>
              </w:rPr>
            </w:pPr>
            <w:bookmarkStart w:id="1" w:name="OLE_LINK3"/>
            <w:bookmarkStart w:id="2" w:name="OLE_LINK4"/>
            <w:r w:rsidRPr="00864760">
              <w:rPr>
                <w:rFonts w:ascii="TimesNewRoman" w:eastAsiaTheme="minorEastAsia" w:hAnsi="TimesNewRoman" w:cs="Arial" w:hint="eastAsia"/>
                <w:color w:val="000000"/>
                <w:kern w:val="0"/>
                <w:sz w:val="24"/>
                <w:szCs w:val="24"/>
              </w:rPr>
              <w:t>2</w:t>
            </w:r>
            <w:r w:rsidRPr="00864760">
              <w:rPr>
                <w:rFonts w:ascii="TimesNewRoman" w:eastAsiaTheme="minorEastAsia" w:hAnsi="TimesNewRoman" w:cs="Arial"/>
                <w:color w:val="000000"/>
                <w:kern w:val="0"/>
                <w:sz w:val="24"/>
                <w:szCs w:val="24"/>
              </w:rPr>
              <w:t>02</w:t>
            </w:r>
            <w:r w:rsidR="00210C2A">
              <w:rPr>
                <w:rFonts w:ascii="TimesNewRoman" w:eastAsiaTheme="minorEastAsia" w:hAnsi="TimesNewRoman" w:cs="Arial"/>
                <w:color w:val="000000"/>
                <w:kern w:val="0"/>
                <w:sz w:val="24"/>
                <w:szCs w:val="24"/>
              </w:rPr>
              <w:t>6</w:t>
            </w:r>
            <w:r w:rsidRPr="00864760">
              <w:rPr>
                <w:rFonts w:ascii="TimesNewRoman" w:eastAsiaTheme="minorEastAsia" w:hAnsi="TimesNewRoman" w:cs="Arial" w:hint="eastAsia"/>
                <w:color w:val="000000"/>
                <w:kern w:val="0"/>
                <w:sz w:val="24"/>
                <w:szCs w:val="24"/>
              </w:rPr>
              <w:t>年</w:t>
            </w:r>
            <w:r w:rsidR="008B6696">
              <w:rPr>
                <w:rFonts w:ascii="TimesNewRoman" w:eastAsiaTheme="minorEastAsia" w:hAnsi="TimesNewRoman" w:cs="Arial"/>
                <w:color w:val="000000"/>
                <w:kern w:val="0"/>
                <w:sz w:val="24"/>
                <w:szCs w:val="24"/>
              </w:rPr>
              <w:t>4</w:t>
            </w:r>
            <w:r w:rsidR="004C17CA" w:rsidRPr="00864760">
              <w:rPr>
                <w:rFonts w:ascii="TimesNewRoman" w:eastAsiaTheme="minorEastAsia" w:hAnsi="TimesNewRoman" w:cs="Arial" w:hint="eastAsia"/>
                <w:color w:val="000000"/>
                <w:kern w:val="0"/>
                <w:sz w:val="24"/>
                <w:szCs w:val="24"/>
              </w:rPr>
              <w:t>月</w:t>
            </w:r>
            <w:r w:rsidR="008B6696">
              <w:rPr>
                <w:rFonts w:ascii="TimesNewRoman" w:eastAsiaTheme="minorEastAsia" w:hAnsi="TimesNewRoman" w:cs="Arial"/>
                <w:color w:val="000000"/>
                <w:kern w:val="0"/>
                <w:sz w:val="24"/>
                <w:szCs w:val="24"/>
              </w:rPr>
              <w:t>16</w:t>
            </w:r>
            <w:r w:rsidR="004C17CA" w:rsidRPr="00864760">
              <w:rPr>
                <w:rFonts w:ascii="TimesNewRoman" w:eastAsiaTheme="minorEastAsia" w:hAnsi="TimesNewRoman" w:cs="Arial" w:hint="eastAsia"/>
                <w:color w:val="000000"/>
                <w:kern w:val="0"/>
                <w:sz w:val="24"/>
                <w:szCs w:val="24"/>
              </w:rPr>
              <w:t>日</w:t>
            </w:r>
            <w:bookmarkEnd w:id="1"/>
            <w:bookmarkEnd w:id="2"/>
          </w:p>
        </w:tc>
      </w:tr>
      <w:tr w:rsidR="00D3704D" w:rsidRPr="00943E94" w14:paraId="14116D68" w14:textId="77777777" w:rsidTr="006C69C5">
        <w:trPr>
          <w:trHeight w:val="513"/>
          <w:jc w:val="center"/>
        </w:trPr>
        <w:tc>
          <w:tcPr>
            <w:tcW w:w="1908" w:type="dxa"/>
            <w:vAlign w:val="center"/>
          </w:tcPr>
          <w:p w14:paraId="15772246" w14:textId="77777777" w:rsidR="00D3704D" w:rsidRPr="00943E94" w:rsidRDefault="00D3704D" w:rsidP="006C69C5">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14:paraId="166AA38F" w14:textId="77777777" w:rsidR="00D3704D" w:rsidRPr="00943E94" w:rsidRDefault="00CE1111" w:rsidP="002749ED">
            <w:pPr>
              <w:spacing w:line="480" w:lineRule="atLeast"/>
              <w:rPr>
                <w:rFonts w:ascii="TimesNewRoman" w:hAnsi="TimesNewRoman" w:hint="eastAsia"/>
                <w:sz w:val="24"/>
              </w:rPr>
            </w:pPr>
            <w:proofErr w:type="gramStart"/>
            <w:r>
              <w:rPr>
                <w:rFonts w:ascii="TimesNewRoman" w:hAnsi="TimesNewRoman" w:hint="eastAsia"/>
                <w:sz w:val="24"/>
              </w:rPr>
              <w:t>利元亨</w:t>
            </w:r>
            <w:proofErr w:type="gramEnd"/>
            <w:r>
              <w:rPr>
                <w:rFonts w:ascii="TimesNewRoman" w:hAnsi="TimesNewRoman" w:hint="eastAsia"/>
                <w:sz w:val="24"/>
              </w:rPr>
              <w:t>办公室</w:t>
            </w:r>
          </w:p>
        </w:tc>
      </w:tr>
      <w:tr w:rsidR="00D3704D" w:rsidRPr="00943E94" w14:paraId="1390759D" w14:textId="77777777" w:rsidTr="006C69C5">
        <w:trPr>
          <w:trHeight w:val="1592"/>
          <w:jc w:val="center"/>
        </w:trPr>
        <w:tc>
          <w:tcPr>
            <w:tcW w:w="1908" w:type="dxa"/>
            <w:vAlign w:val="center"/>
          </w:tcPr>
          <w:p w14:paraId="7B9EFB0E" w14:textId="77777777" w:rsidR="00D3704D" w:rsidRPr="00943E94" w:rsidRDefault="00D3704D" w:rsidP="006C69C5">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14:paraId="1D1244D8" w14:textId="77777777" w:rsidR="00B52A9F" w:rsidRDefault="00AE7BA9" w:rsidP="00B52A9F">
            <w:pPr>
              <w:spacing w:line="480" w:lineRule="atLeast"/>
              <w:rPr>
                <w:rFonts w:ascii="TimesNewRoman" w:hAnsi="宋体"/>
                <w:sz w:val="24"/>
              </w:rPr>
            </w:pPr>
            <w:proofErr w:type="gramStart"/>
            <w:r w:rsidRPr="00AE7BA9">
              <w:rPr>
                <w:rFonts w:ascii="TimesNewRoman" w:hAnsi="宋体" w:hint="eastAsia"/>
                <w:sz w:val="24"/>
              </w:rPr>
              <w:t>广东利元亨</w:t>
            </w:r>
            <w:proofErr w:type="gramEnd"/>
            <w:r w:rsidRPr="00AE7BA9">
              <w:rPr>
                <w:rFonts w:ascii="TimesNewRoman" w:hAnsi="宋体" w:hint="eastAsia"/>
                <w:sz w:val="24"/>
              </w:rPr>
              <w:t>智能装备股份有限公司</w:t>
            </w:r>
            <w:r w:rsidR="004973D8">
              <w:rPr>
                <w:rFonts w:ascii="TimesNewRoman" w:hAnsi="宋体" w:hint="eastAsia"/>
                <w:sz w:val="24"/>
              </w:rPr>
              <w:t>董事会秘书</w:t>
            </w:r>
            <w:r w:rsidRPr="00AE7BA9">
              <w:rPr>
                <w:rFonts w:ascii="TimesNewRoman" w:hAnsi="宋体" w:hint="eastAsia"/>
                <w:sz w:val="24"/>
              </w:rPr>
              <w:t xml:space="preserve"> </w:t>
            </w:r>
            <w:r w:rsidRPr="00AE7BA9">
              <w:rPr>
                <w:rFonts w:ascii="TimesNewRoman" w:hAnsi="宋体" w:hint="eastAsia"/>
                <w:sz w:val="24"/>
              </w:rPr>
              <w:t>陈振容</w:t>
            </w:r>
          </w:p>
          <w:p w14:paraId="60E7D694" w14:textId="4F7C99E0" w:rsidR="00DF0E3E" w:rsidRDefault="00960BBD" w:rsidP="00960BBD">
            <w:pPr>
              <w:spacing w:line="480" w:lineRule="atLeast"/>
              <w:rPr>
                <w:rFonts w:ascii="TimesNewRoman" w:hAnsi="宋体"/>
                <w:sz w:val="24"/>
              </w:rPr>
            </w:pPr>
            <w:proofErr w:type="gramStart"/>
            <w:r>
              <w:rPr>
                <w:rFonts w:ascii="TimesNewRoman" w:hAnsi="宋体" w:hint="eastAsia"/>
                <w:sz w:val="24"/>
              </w:rPr>
              <w:t>广东利元亨</w:t>
            </w:r>
            <w:proofErr w:type="gramEnd"/>
            <w:r>
              <w:rPr>
                <w:rFonts w:ascii="TimesNewRoman" w:hAnsi="宋体" w:hint="eastAsia"/>
                <w:sz w:val="24"/>
              </w:rPr>
              <w:t>智能装备股份有限公司研究院院长</w:t>
            </w:r>
            <w:r>
              <w:rPr>
                <w:rFonts w:ascii="TimesNewRoman" w:hAnsi="宋体" w:hint="eastAsia"/>
                <w:sz w:val="24"/>
              </w:rPr>
              <w:t xml:space="preserve"> </w:t>
            </w:r>
            <w:proofErr w:type="gramStart"/>
            <w:r w:rsidR="008B6696">
              <w:rPr>
                <w:rFonts w:ascii="TimesNewRoman" w:hAnsi="宋体" w:hint="eastAsia"/>
                <w:sz w:val="24"/>
              </w:rPr>
              <w:t>杜义贤</w:t>
            </w:r>
            <w:proofErr w:type="gramEnd"/>
          </w:p>
          <w:p w14:paraId="391FC9E0" w14:textId="77777777" w:rsidR="004A7ECB" w:rsidRPr="005F46D2" w:rsidRDefault="005F46D2" w:rsidP="00960BBD">
            <w:pPr>
              <w:spacing w:line="480" w:lineRule="atLeast"/>
              <w:rPr>
                <w:rFonts w:ascii="TimesNewRoman" w:hAnsi="宋体"/>
                <w:sz w:val="24"/>
              </w:rPr>
            </w:pPr>
            <w:proofErr w:type="gramStart"/>
            <w:r>
              <w:rPr>
                <w:rFonts w:ascii="TimesNewRoman" w:hAnsi="宋体" w:hint="eastAsia"/>
                <w:sz w:val="24"/>
              </w:rPr>
              <w:t>广东利元亨</w:t>
            </w:r>
            <w:proofErr w:type="gramEnd"/>
            <w:r>
              <w:rPr>
                <w:rFonts w:ascii="TimesNewRoman" w:hAnsi="宋体" w:hint="eastAsia"/>
                <w:sz w:val="24"/>
              </w:rPr>
              <w:t>智能装备股份有限公司</w:t>
            </w:r>
            <w:r>
              <w:rPr>
                <w:rFonts w:ascii="TimesNewRoman" w:hAnsi="宋体" w:hint="eastAsia"/>
                <w:sz w:val="24"/>
              </w:rPr>
              <w:t>I</w:t>
            </w:r>
            <w:r>
              <w:rPr>
                <w:rFonts w:ascii="TimesNewRoman" w:hAnsi="宋体"/>
                <w:sz w:val="24"/>
              </w:rPr>
              <w:t>R</w:t>
            </w:r>
            <w:r>
              <w:rPr>
                <w:rFonts w:ascii="TimesNewRoman" w:hAnsi="宋体" w:hint="eastAsia"/>
                <w:sz w:val="24"/>
              </w:rPr>
              <w:t xml:space="preserve"> </w:t>
            </w:r>
            <w:proofErr w:type="gramStart"/>
            <w:r>
              <w:rPr>
                <w:rFonts w:ascii="TimesNewRoman" w:hAnsi="宋体" w:hint="eastAsia"/>
                <w:sz w:val="24"/>
              </w:rPr>
              <w:t>陈丽凡</w:t>
            </w:r>
            <w:proofErr w:type="gramEnd"/>
          </w:p>
        </w:tc>
      </w:tr>
      <w:tr w:rsidR="00CC352C" w:rsidRPr="00943E94" w14:paraId="5259FD20" w14:textId="77777777" w:rsidTr="006C69C5">
        <w:trPr>
          <w:trHeight w:val="706"/>
          <w:jc w:val="center"/>
        </w:trPr>
        <w:tc>
          <w:tcPr>
            <w:tcW w:w="1908" w:type="dxa"/>
            <w:vAlign w:val="center"/>
          </w:tcPr>
          <w:p w14:paraId="27FCB658" w14:textId="77777777" w:rsidR="00CC352C" w:rsidRPr="00943E94" w:rsidRDefault="00CC352C" w:rsidP="006C69C5">
            <w:pPr>
              <w:spacing w:line="480" w:lineRule="atLeast"/>
              <w:jc w:val="center"/>
              <w:rPr>
                <w:rFonts w:ascii="TimesNewRoman" w:hAnsi="宋体"/>
                <w:b/>
                <w:sz w:val="24"/>
              </w:rPr>
            </w:pPr>
            <w:r w:rsidRPr="00DE27EC">
              <w:rPr>
                <w:rFonts w:ascii="TimesNewRoman" w:hAnsi="宋体" w:hint="eastAsia"/>
                <w:b/>
                <w:sz w:val="24"/>
              </w:rPr>
              <w:lastRenderedPageBreak/>
              <w:t>投资者关系活动主要内容介绍</w:t>
            </w:r>
          </w:p>
        </w:tc>
        <w:tc>
          <w:tcPr>
            <w:tcW w:w="7117" w:type="dxa"/>
          </w:tcPr>
          <w:p w14:paraId="24EC0B30" w14:textId="7A211022" w:rsidR="002115CC" w:rsidRPr="003A3EE9" w:rsidRDefault="006C1C0E" w:rsidP="003C0C47">
            <w:pPr>
              <w:spacing w:line="360" w:lineRule="auto"/>
              <w:ind w:firstLineChars="100" w:firstLine="241"/>
              <w:rPr>
                <w:rFonts w:eastAsiaTheme="minorEastAsia"/>
                <w:b/>
                <w:sz w:val="24"/>
                <w:szCs w:val="24"/>
              </w:rPr>
            </w:pPr>
            <w:bookmarkStart w:id="3" w:name="OLE_LINK1"/>
            <w:bookmarkStart w:id="4" w:name="OLE_LINK2"/>
            <w:r w:rsidRPr="003A3EE9">
              <w:rPr>
                <w:rFonts w:eastAsiaTheme="minorEastAsia"/>
                <w:b/>
                <w:sz w:val="24"/>
                <w:szCs w:val="24"/>
              </w:rPr>
              <w:t>问题</w:t>
            </w:r>
            <w:proofErr w:type="gramStart"/>
            <w:r w:rsidRPr="003A3EE9">
              <w:rPr>
                <w:rFonts w:eastAsiaTheme="minorEastAsia"/>
                <w:b/>
                <w:sz w:val="24"/>
                <w:szCs w:val="24"/>
              </w:rPr>
              <w:t>一</w:t>
            </w:r>
            <w:proofErr w:type="gramEnd"/>
            <w:r w:rsidRPr="003A3EE9">
              <w:rPr>
                <w:rFonts w:eastAsiaTheme="minorEastAsia"/>
                <w:b/>
                <w:sz w:val="24"/>
                <w:szCs w:val="24"/>
              </w:rPr>
              <w:t>：</w:t>
            </w:r>
            <w:r w:rsidR="00F0125C" w:rsidRPr="00F0125C">
              <w:rPr>
                <w:rFonts w:eastAsiaTheme="minorEastAsia" w:hint="eastAsia"/>
                <w:b/>
                <w:sz w:val="24"/>
                <w:szCs w:val="24"/>
              </w:rPr>
              <w:t>公司</w:t>
            </w:r>
            <w:r w:rsidR="00F0125C" w:rsidRPr="00F0125C">
              <w:rPr>
                <w:rFonts w:eastAsiaTheme="minorEastAsia" w:hint="eastAsia"/>
                <w:b/>
                <w:sz w:val="24"/>
                <w:szCs w:val="24"/>
              </w:rPr>
              <w:t>2025</w:t>
            </w:r>
            <w:r w:rsidR="00F0125C" w:rsidRPr="00F0125C">
              <w:rPr>
                <w:rFonts w:eastAsiaTheme="minorEastAsia" w:hint="eastAsia"/>
                <w:b/>
                <w:sz w:val="24"/>
                <w:szCs w:val="24"/>
              </w:rPr>
              <w:t>年成功实现扭亏为盈，驱动因素是什么？对</w:t>
            </w:r>
            <w:r w:rsidR="00F0125C" w:rsidRPr="00F0125C">
              <w:rPr>
                <w:rFonts w:eastAsiaTheme="minorEastAsia" w:hint="eastAsia"/>
                <w:b/>
                <w:sz w:val="24"/>
                <w:szCs w:val="24"/>
              </w:rPr>
              <w:t>2026</w:t>
            </w:r>
            <w:r w:rsidR="00F0125C" w:rsidRPr="00F0125C">
              <w:rPr>
                <w:rFonts w:eastAsiaTheme="minorEastAsia" w:hint="eastAsia"/>
                <w:b/>
                <w:sz w:val="24"/>
                <w:szCs w:val="24"/>
              </w:rPr>
              <w:t>年的营收和净利润增长有何具体目标？</w:t>
            </w:r>
          </w:p>
          <w:p w14:paraId="7CFDF307" w14:textId="738AFAE9" w:rsidR="00F0125C" w:rsidRPr="00213B20" w:rsidRDefault="001B19D8" w:rsidP="003C0C47">
            <w:pPr>
              <w:spacing w:line="360" w:lineRule="auto"/>
              <w:ind w:firstLineChars="100" w:firstLine="240"/>
              <w:rPr>
                <w:rFonts w:eastAsiaTheme="minorEastAsia"/>
                <w:sz w:val="24"/>
                <w:szCs w:val="24"/>
              </w:rPr>
            </w:pPr>
            <w:r w:rsidRPr="00213B20">
              <w:rPr>
                <w:rFonts w:eastAsiaTheme="minorEastAsia"/>
                <w:sz w:val="24"/>
                <w:szCs w:val="24"/>
              </w:rPr>
              <w:t>答</w:t>
            </w:r>
            <w:bookmarkEnd w:id="3"/>
            <w:bookmarkEnd w:id="4"/>
            <w:r w:rsidR="00210C2A" w:rsidRPr="00213B20">
              <w:rPr>
                <w:rFonts w:eastAsiaTheme="minorEastAsia"/>
                <w:sz w:val="24"/>
                <w:szCs w:val="24"/>
              </w:rPr>
              <w:t>：</w:t>
            </w:r>
            <w:r w:rsidR="00F0125C" w:rsidRPr="00213B20">
              <w:rPr>
                <w:rFonts w:eastAsiaTheme="minorEastAsia" w:hint="eastAsia"/>
                <w:sz w:val="24"/>
                <w:szCs w:val="24"/>
              </w:rPr>
              <w:t>2025</w:t>
            </w:r>
            <w:r w:rsidR="00F0125C" w:rsidRPr="00213B20">
              <w:rPr>
                <w:rFonts w:eastAsiaTheme="minorEastAsia" w:hint="eastAsia"/>
                <w:sz w:val="24"/>
                <w:szCs w:val="24"/>
              </w:rPr>
              <w:t>年公司实现</w:t>
            </w:r>
            <w:proofErr w:type="gramStart"/>
            <w:r w:rsidR="00F0125C" w:rsidRPr="00213B20">
              <w:rPr>
                <w:rFonts w:eastAsiaTheme="minorEastAsia" w:hint="eastAsia"/>
                <w:sz w:val="24"/>
                <w:szCs w:val="24"/>
              </w:rPr>
              <w:t>归母净利润</w:t>
            </w:r>
            <w:proofErr w:type="gramEnd"/>
            <w:r w:rsidR="00F0125C" w:rsidRPr="00213B20">
              <w:rPr>
                <w:rFonts w:eastAsiaTheme="minorEastAsia" w:hint="eastAsia"/>
                <w:sz w:val="24"/>
                <w:szCs w:val="24"/>
              </w:rPr>
              <w:t>5,150.61</w:t>
            </w:r>
            <w:r w:rsidR="00F0125C" w:rsidRPr="00213B20">
              <w:rPr>
                <w:rFonts w:eastAsiaTheme="minorEastAsia" w:hint="eastAsia"/>
                <w:sz w:val="24"/>
                <w:szCs w:val="24"/>
              </w:rPr>
              <w:t>万元，成功扭亏为盈，主要得益于：</w:t>
            </w:r>
            <w:r w:rsidR="003C0C47">
              <w:rPr>
                <w:rFonts w:eastAsiaTheme="minorEastAsia" w:hint="eastAsia"/>
                <w:sz w:val="24"/>
                <w:szCs w:val="24"/>
              </w:rPr>
              <w:t>（</w:t>
            </w:r>
            <w:r w:rsidR="003C0C47">
              <w:rPr>
                <w:rFonts w:eastAsiaTheme="minorEastAsia" w:hint="eastAsia"/>
                <w:sz w:val="24"/>
                <w:szCs w:val="24"/>
              </w:rPr>
              <w:t>1</w:t>
            </w:r>
            <w:r w:rsidR="003C0C47">
              <w:rPr>
                <w:rFonts w:eastAsiaTheme="minorEastAsia" w:hint="eastAsia"/>
                <w:sz w:val="24"/>
                <w:szCs w:val="24"/>
              </w:rPr>
              <w:t>）</w:t>
            </w:r>
            <w:r w:rsidR="00F0125C" w:rsidRPr="00213B20">
              <w:rPr>
                <w:rFonts w:eastAsiaTheme="minorEastAsia" w:hint="eastAsia"/>
                <w:sz w:val="24"/>
                <w:szCs w:val="24"/>
              </w:rPr>
              <w:t>新能源行业景气度提升，公司项目执行与验收效率提高，营业收入同比增长</w:t>
            </w:r>
            <w:r w:rsidR="00F0125C" w:rsidRPr="00213B20">
              <w:rPr>
                <w:rFonts w:eastAsiaTheme="minorEastAsia" w:hint="eastAsia"/>
                <w:sz w:val="24"/>
                <w:szCs w:val="24"/>
              </w:rPr>
              <w:t>23.98%</w:t>
            </w:r>
            <w:r w:rsidR="00F0125C" w:rsidRPr="00213B20">
              <w:rPr>
                <w:rFonts w:eastAsiaTheme="minorEastAsia" w:hint="eastAsia"/>
                <w:sz w:val="24"/>
                <w:szCs w:val="24"/>
              </w:rPr>
              <w:t>；</w:t>
            </w:r>
            <w:r w:rsidR="003C0C47">
              <w:rPr>
                <w:rFonts w:eastAsiaTheme="minorEastAsia" w:hint="eastAsia"/>
                <w:sz w:val="24"/>
                <w:szCs w:val="24"/>
              </w:rPr>
              <w:t>（</w:t>
            </w:r>
            <w:r w:rsidR="003C0C47">
              <w:rPr>
                <w:rFonts w:eastAsiaTheme="minorEastAsia" w:hint="eastAsia"/>
                <w:sz w:val="24"/>
                <w:szCs w:val="24"/>
              </w:rPr>
              <w:t>2</w:t>
            </w:r>
            <w:r w:rsidR="003C0C47">
              <w:rPr>
                <w:rFonts w:eastAsiaTheme="minorEastAsia" w:hint="eastAsia"/>
                <w:sz w:val="24"/>
                <w:szCs w:val="24"/>
              </w:rPr>
              <w:t>）</w:t>
            </w:r>
            <w:r w:rsidR="00F0125C" w:rsidRPr="00213B20">
              <w:rPr>
                <w:rFonts w:eastAsiaTheme="minorEastAsia" w:hint="eastAsia"/>
                <w:sz w:val="24"/>
                <w:szCs w:val="24"/>
              </w:rPr>
              <w:t>持续推动技术降本与供应链优化，主营业务毛利率显著提升至</w:t>
            </w:r>
            <w:r w:rsidR="00A21224" w:rsidRPr="00213B20">
              <w:rPr>
                <w:rFonts w:eastAsiaTheme="minorEastAsia" w:hint="eastAsia"/>
                <w:sz w:val="24"/>
                <w:szCs w:val="24"/>
              </w:rPr>
              <w:t>27.41</w:t>
            </w:r>
            <w:r w:rsidR="00A21224" w:rsidRPr="00213B20">
              <w:rPr>
                <w:rFonts w:eastAsiaTheme="minorEastAsia"/>
                <w:sz w:val="24"/>
                <w:szCs w:val="24"/>
              </w:rPr>
              <w:t>%</w:t>
            </w:r>
            <w:r w:rsidR="00F0125C" w:rsidRPr="00213B20">
              <w:rPr>
                <w:rFonts w:eastAsiaTheme="minorEastAsia" w:hint="eastAsia"/>
                <w:sz w:val="24"/>
                <w:szCs w:val="24"/>
              </w:rPr>
              <w:t>，同比增加</w:t>
            </w:r>
            <w:r w:rsidR="00F0125C" w:rsidRPr="00213B20">
              <w:rPr>
                <w:rFonts w:eastAsiaTheme="minorEastAsia" w:hint="eastAsia"/>
                <w:sz w:val="24"/>
                <w:szCs w:val="24"/>
              </w:rPr>
              <w:t>19.63</w:t>
            </w:r>
            <w:r w:rsidR="00F0125C" w:rsidRPr="00213B20">
              <w:rPr>
                <w:rFonts w:eastAsiaTheme="minorEastAsia" w:hint="eastAsia"/>
                <w:sz w:val="24"/>
                <w:szCs w:val="24"/>
              </w:rPr>
              <w:t>个百分点；</w:t>
            </w:r>
            <w:r w:rsidR="003C0C47">
              <w:rPr>
                <w:rFonts w:eastAsiaTheme="minorEastAsia" w:hint="eastAsia"/>
                <w:sz w:val="24"/>
                <w:szCs w:val="24"/>
              </w:rPr>
              <w:t>（</w:t>
            </w:r>
            <w:r w:rsidR="003C0C47">
              <w:rPr>
                <w:rFonts w:eastAsiaTheme="minorEastAsia" w:hint="eastAsia"/>
                <w:sz w:val="24"/>
                <w:szCs w:val="24"/>
              </w:rPr>
              <w:t>3</w:t>
            </w:r>
            <w:r w:rsidR="003C0C47">
              <w:rPr>
                <w:rFonts w:eastAsiaTheme="minorEastAsia" w:hint="eastAsia"/>
                <w:sz w:val="24"/>
                <w:szCs w:val="24"/>
              </w:rPr>
              <w:t>）</w:t>
            </w:r>
            <w:r w:rsidR="00F0125C" w:rsidRPr="00213B20">
              <w:rPr>
                <w:rFonts w:eastAsiaTheme="minorEastAsia" w:hint="eastAsia"/>
                <w:sz w:val="24"/>
                <w:szCs w:val="24"/>
              </w:rPr>
              <w:t>严格执行预算管理，优化组织架构，期间费用总额及费用</w:t>
            </w:r>
            <w:proofErr w:type="gramStart"/>
            <w:r w:rsidR="00F0125C" w:rsidRPr="00213B20">
              <w:rPr>
                <w:rFonts w:eastAsiaTheme="minorEastAsia" w:hint="eastAsia"/>
                <w:sz w:val="24"/>
                <w:szCs w:val="24"/>
              </w:rPr>
              <w:t>率有效</w:t>
            </w:r>
            <w:proofErr w:type="gramEnd"/>
            <w:r w:rsidR="00F0125C" w:rsidRPr="00213B20">
              <w:rPr>
                <w:rFonts w:eastAsiaTheme="minorEastAsia" w:hint="eastAsia"/>
                <w:sz w:val="24"/>
                <w:szCs w:val="24"/>
              </w:rPr>
              <w:t>降低，销售费用同比下降</w:t>
            </w:r>
            <w:r w:rsidR="00F0125C" w:rsidRPr="00213B20">
              <w:rPr>
                <w:rFonts w:eastAsiaTheme="minorEastAsia" w:hint="eastAsia"/>
                <w:sz w:val="24"/>
                <w:szCs w:val="24"/>
              </w:rPr>
              <w:t>29.29%</w:t>
            </w:r>
            <w:r w:rsidR="00F0125C" w:rsidRPr="00213B20">
              <w:rPr>
                <w:rFonts w:eastAsiaTheme="minorEastAsia" w:hint="eastAsia"/>
                <w:sz w:val="24"/>
                <w:szCs w:val="24"/>
              </w:rPr>
              <w:t>，管理费用同比下降</w:t>
            </w:r>
            <w:r w:rsidR="00F0125C" w:rsidRPr="00213B20">
              <w:rPr>
                <w:rFonts w:eastAsiaTheme="minorEastAsia" w:hint="eastAsia"/>
                <w:sz w:val="24"/>
                <w:szCs w:val="24"/>
              </w:rPr>
              <w:t>44.32%</w:t>
            </w:r>
            <w:r w:rsidR="00F0125C" w:rsidRPr="00213B20">
              <w:rPr>
                <w:rFonts w:eastAsiaTheme="minorEastAsia" w:hint="eastAsia"/>
                <w:sz w:val="24"/>
                <w:szCs w:val="24"/>
              </w:rPr>
              <w:t>，财务费用</w:t>
            </w:r>
            <w:proofErr w:type="gramStart"/>
            <w:r w:rsidR="00F0125C" w:rsidRPr="00213B20">
              <w:rPr>
                <w:rFonts w:eastAsiaTheme="minorEastAsia" w:hint="eastAsia"/>
                <w:sz w:val="24"/>
                <w:szCs w:val="24"/>
              </w:rPr>
              <w:t>率合同</w:t>
            </w:r>
            <w:proofErr w:type="gramEnd"/>
            <w:r w:rsidR="00F0125C" w:rsidRPr="00213B20">
              <w:rPr>
                <w:rFonts w:eastAsiaTheme="minorEastAsia" w:hint="eastAsia"/>
                <w:sz w:val="24"/>
                <w:szCs w:val="24"/>
              </w:rPr>
              <w:t>比下降</w:t>
            </w:r>
            <w:r w:rsidR="00F0125C" w:rsidRPr="00213B20">
              <w:rPr>
                <w:rFonts w:eastAsiaTheme="minorEastAsia" w:hint="eastAsia"/>
                <w:sz w:val="24"/>
                <w:szCs w:val="24"/>
              </w:rPr>
              <w:t>37.38%</w:t>
            </w:r>
            <w:r w:rsidR="00F0125C" w:rsidRPr="00213B20">
              <w:rPr>
                <w:rFonts w:eastAsiaTheme="minorEastAsia" w:hint="eastAsia"/>
                <w:sz w:val="24"/>
                <w:szCs w:val="24"/>
              </w:rPr>
              <w:t>；</w:t>
            </w:r>
            <w:r w:rsidR="003C0C47">
              <w:rPr>
                <w:rFonts w:eastAsiaTheme="minorEastAsia" w:hint="eastAsia"/>
                <w:sz w:val="24"/>
                <w:szCs w:val="24"/>
              </w:rPr>
              <w:t>（</w:t>
            </w:r>
            <w:r w:rsidR="003C0C47">
              <w:rPr>
                <w:rFonts w:eastAsiaTheme="minorEastAsia" w:hint="eastAsia"/>
                <w:sz w:val="24"/>
                <w:szCs w:val="24"/>
              </w:rPr>
              <w:t>4</w:t>
            </w:r>
            <w:r w:rsidR="003C0C47">
              <w:rPr>
                <w:rFonts w:eastAsiaTheme="minorEastAsia" w:hint="eastAsia"/>
                <w:sz w:val="24"/>
                <w:szCs w:val="24"/>
              </w:rPr>
              <w:t>）</w:t>
            </w:r>
            <w:r w:rsidR="00F0125C" w:rsidRPr="00213B20">
              <w:rPr>
                <w:rFonts w:eastAsiaTheme="minorEastAsia" w:hint="eastAsia"/>
                <w:sz w:val="24"/>
                <w:szCs w:val="24"/>
              </w:rPr>
              <w:t>加大应收账款催收力度，信用减值损失实现部分冲回。</w:t>
            </w:r>
          </w:p>
          <w:p w14:paraId="595FAD82" w14:textId="22B572D0" w:rsidR="005F2469" w:rsidRPr="003C0C47" w:rsidRDefault="00F0125C" w:rsidP="003C0C47">
            <w:pPr>
              <w:spacing w:line="360" w:lineRule="auto"/>
              <w:ind w:firstLineChars="100" w:firstLine="240"/>
              <w:rPr>
                <w:rFonts w:eastAsiaTheme="minorEastAsia" w:hint="eastAsia"/>
                <w:sz w:val="24"/>
                <w:szCs w:val="24"/>
              </w:rPr>
            </w:pPr>
            <w:r w:rsidRPr="00213B20">
              <w:rPr>
                <w:rFonts w:eastAsiaTheme="minorEastAsia" w:hint="eastAsia"/>
                <w:sz w:val="24"/>
                <w:szCs w:val="24"/>
              </w:rPr>
              <w:t>2026</w:t>
            </w:r>
            <w:r w:rsidRPr="00213B20">
              <w:rPr>
                <w:rFonts w:eastAsiaTheme="minorEastAsia" w:hint="eastAsia"/>
                <w:sz w:val="24"/>
                <w:szCs w:val="24"/>
              </w:rPr>
              <w:t>年，公司将锚定高质量发展，通过“主业深耕</w:t>
            </w:r>
            <w:r w:rsidRPr="00213B20">
              <w:rPr>
                <w:rFonts w:eastAsiaTheme="minorEastAsia" w:hint="eastAsia"/>
                <w:sz w:val="24"/>
                <w:szCs w:val="24"/>
              </w:rPr>
              <w:t>+</w:t>
            </w:r>
            <w:r w:rsidRPr="00213B20">
              <w:rPr>
                <w:rFonts w:eastAsiaTheme="minorEastAsia" w:hint="eastAsia"/>
                <w:sz w:val="24"/>
                <w:szCs w:val="24"/>
              </w:rPr>
              <w:t>技术引领</w:t>
            </w:r>
            <w:r w:rsidRPr="00213B20">
              <w:rPr>
                <w:rFonts w:eastAsiaTheme="minorEastAsia" w:hint="eastAsia"/>
                <w:sz w:val="24"/>
                <w:szCs w:val="24"/>
              </w:rPr>
              <w:t>+</w:t>
            </w:r>
            <w:r w:rsidRPr="00213B20">
              <w:rPr>
                <w:rFonts w:eastAsiaTheme="minorEastAsia" w:hint="eastAsia"/>
                <w:sz w:val="24"/>
                <w:szCs w:val="24"/>
              </w:rPr>
              <w:t>全球布局</w:t>
            </w:r>
            <w:r w:rsidRPr="00213B20">
              <w:rPr>
                <w:rFonts w:eastAsiaTheme="minorEastAsia" w:hint="eastAsia"/>
                <w:sz w:val="24"/>
                <w:szCs w:val="24"/>
              </w:rPr>
              <w:t>+</w:t>
            </w:r>
            <w:r w:rsidRPr="00213B20">
              <w:rPr>
                <w:rFonts w:eastAsiaTheme="minorEastAsia" w:hint="eastAsia"/>
                <w:sz w:val="24"/>
                <w:szCs w:val="24"/>
              </w:rPr>
              <w:t>治理优化”多维度协同发力，力争实现经营业绩持续增长。</w:t>
            </w:r>
          </w:p>
          <w:p w14:paraId="4B549A27" w14:textId="34DC825C" w:rsidR="00A21224" w:rsidRDefault="00A21224" w:rsidP="003C0C47">
            <w:pPr>
              <w:spacing w:line="360" w:lineRule="auto"/>
              <w:ind w:firstLineChars="100" w:firstLine="241"/>
              <w:rPr>
                <w:rFonts w:eastAsiaTheme="minorEastAsia"/>
                <w:b/>
                <w:sz w:val="24"/>
                <w:szCs w:val="24"/>
              </w:rPr>
            </w:pPr>
            <w:r w:rsidRPr="00A21224">
              <w:rPr>
                <w:rFonts w:eastAsiaTheme="minorEastAsia" w:hint="eastAsia"/>
                <w:b/>
                <w:sz w:val="24"/>
                <w:szCs w:val="24"/>
              </w:rPr>
              <w:t>问题二：公司</w:t>
            </w:r>
            <w:r w:rsidRPr="00A21224">
              <w:rPr>
                <w:rFonts w:eastAsiaTheme="minorEastAsia" w:hint="eastAsia"/>
                <w:b/>
                <w:sz w:val="24"/>
                <w:szCs w:val="24"/>
              </w:rPr>
              <w:t>2025</w:t>
            </w:r>
            <w:r w:rsidRPr="00A21224">
              <w:rPr>
                <w:rFonts w:eastAsiaTheme="minorEastAsia" w:hint="eastAsia"/>
                <w:b/>
                <w:sz w:val="24"/>
                <w:szCs w:val="24"/>
              </w:rPr>
              <w:t>年新签订单情况如何？</w:t>
            </w:r>
          </w:p>
          <w:p w14:paraId="3C24E93C" w14:textId="068BADF8" w:rsidR="00461E2E" w:rsidRPr="003C0C47" w:rsidRDefault="00623E25" w:rsidP="003C0C47">
            <w:pPr>
              <w:spacing w:line="360" w:lineRule="auto"/>
              <w:ind w:firstLineChars="100" w:firstLine="240"/>
              <w:rPr>
                <w:rFonts w:eastAsiaTheme="minorEastAsia" w:hint="eastAsia"/>
                <w:sz w:val="24"/>
                <w:szCs w:val="24"/>
              </w:rPr>
            </w:pPr>
            <w:r w:rsidRPr="00213B20">
              <w:rPr>
                <w:rFonts w:eastAsiaTheme="minorEastAsia" w:hint="eastAsia"/>
                <w:sz w:val="24"/>
                <w:szCs w:val="24"/>
              </w:rPr>
              <w:t>答：</w:t>
            </w:r>
            <w:r w:rsidR="00BC6984" w:rsidRPr="00213B20">
              <w:rPr>
                <w:rFonts w:eastAsiaTheme="minorEastAsia" w:hint="eastAsia"/>
                <w:sz w:val="24"/>
                <w:szCs w:val="24"/>
              </w:rPr>
              <w:t>2025</w:t>
            </w:r>
            <w:r w:rsidR="00BC6984" w:rsidRPr="00213B20">
              <w:rPr>
                <w:rFonts w:eastAsiaTheme="minorEastAsia" w:hint="eastAsia"/>
                <w:sz w:val="24"/>
                <w:szCs w:val="24"/>
              </w:rPr>
              <w:t>年，公司新</w:t>
            </w:r>
            <w:proofErr w:type="gramStart"/>
            <w:r w:rsidR="00BC6984" w:rsidRPr="00213B20">
              <w:rPr>
                <w:rFonts w:eastAsiaTheme="minorEastAsia" w:hint="eastAsia"/>
                <w:sz w:val="24"/>
                <w:szCs w:val="24"/>
              </w:rPr>
              <w:t>签订单较</w:t>
            </w:r>
            <w:r w:rsidR="00BC6984" w:rsidRPr="00213B20">
              <w:rPr>
                <w:rFonts w:eastAsiaTheme="minorEastAsia" w:hint="eastAsia"/>
                <w:sz w:val="24"/>
                <w:szCs w:val="24"/>
              </w:rPr>
              <w:t>2024</w:t>
            </w:r>
            <w:r w:rsidR="00BC6984" w:rsidRPr="00213B20">
              <w:rPr>
                <w:rFonts w:eastAsiaTheme="minorEastAsia" w:hint="eastAsia"/>
                <w:sz w:val="24"/>
                <w:szCs w:val="24"/>
              </w:rPr>
              <w:t>年</w:t>
            </w:r>
            <w:proofErr w:type="gramEnd"/>
            <w:r w:rsidR="00BC6984" w:rsidRPr="00213B20">
              <w:rPr>
                <w:rFonts w:eastAsiaTheme="minorEastAsia" w:hint="eastAsia"/>
                <w:sz w:val="24"/>
                <w:szCs w:val="24"/>
              </w:rPr>
              <w:t>增长超</w:t>
            </w:r>
            <w:r w:rsidR="00BC6984" w:rsidRPr="00213B20">
              <w:rPr>
                <w:rFonts w:eastAsiaTheme="minorEastAsia" w:hint="eastAsia"/>
                <w:sz w:val="24"/>
                <w:szCs w:val="24"/>
              </w:rPr>
              <w:t>1</w:t>
            </w:r>
            <w:r w:rsidR="00BC6984" w:rsidRPr="00213B20">
              <w:rPr>
                <w:rFonts w:eastAsiaTheme="minorEastAsia" w:hint="eastAsia"/>
                <w:sz w:val="24"/>
                <w:szCs w:val="24"/>
              </w:rPr>
              <w:t>倍，其中消费锂电设备订单占比超</w:t>
            </w:r>
            <w:r w:rsidR="00BC6984" w:rsidRPr="00213B20">
              <w:rPr>
                <w:rFonts w:eastAsiaTheme="minorEastAsia" w:hint="eastAsia"/>
                <w:sz w:val="24"/>
                <w:szCs w:val="24"/>
              </w:rPr>
              <w:t>50%</w:t>
            </w:r>
            <w:r w:rsidR="00BC6984" w:rsidRPr="00213B20">
              <w:rPr>
                <w:rFonts w:eastAsiaTheme="minorEastAsia" w:hint="eastAsia"/>
                <w:sz w:val="24"/>
                <w:szCs w:val="24"/>
              </w:rPr>
              <w:t>，成为业绩增长的核心支撑。从订单结构看，核心客户均为技术实力强、扩产需求明确的优质客户，潜在订单资源池覆盖消费</w:t>
            </w:r>
            <w:r w:rsidR="006E1980">
              <w:rPr>
                <w:rFonts w:eastAsiaTheme="minorEastAsia" w:hint="eastAsia"/>
                <w:sz w:val="24"/>
                <w:szCs w:val="24"/>
              </w:rPr>
              <w:t>电池</w:t>
            </w:r>
            <w:r w:rsidR="00BC6984" w:rsidRPr="00213B20">
              <w:rPr>
                <w:rFonts w:eastAsiaTheme="minorEastAsia" w:hint="eastAsia"/>
                <w:sz w:val="24"/>
                <w:szCs w:val="24"/>
              </w:rPr>
              <w:t>、动力电池、固态电池及储能</w:t>
            </w:r>
            <w:r w:rsidR="006E1980">
              <w:rPr>
                <w:rFonts w:eastAsiaTheme="minorEastAsia" w:hint="eastAsia"/>
                <w:sz w:val="24"/>
                <w:szCs w:val="24"/>
              </w:rPr>
              <w:t>、</w:t>
            </w:r>
            <w:r w:rsidR="006E1980">
              <w:rPr>
                <w:rFonts w:eastAsiaTheme="minorEastAsia"/>
                <w:sz w:val="24"/>
                <w:szCs w:val="24"/>
              </w:rPr>
              <w:t>智慧物流（</w:t>
            </w:r>
            <w:r w:rsidR="006E1980">
              <w:rPr>
                <w:rFonts w:eastAsiaTheme="minorEastAsia" w:hint="eastAsia"/>
                <w:sz w:val="24"/>
                <w:szCs w:val="24"/>
              </w:rPr>
              <w:t>AMR</w:t>
            </w:r>
            <w:r w:rsidR="006E1980">
              <w:rPr>
                <w:rFonts w:eastAsiaTheme="minorEastAsia"/>
                <w:sz w:val="24"/>
                <w:szCs w:val="24"/>
              </w:rPr>
              <w:t>）</w:t>
            </w:r>
            <w:r w:rsidR="00BC6984" w:rsidRPr="00213B20">
              <w:rPr>
                <w:rFonts w:eastAsiaTheme="minorEastAsia" w:hint="eastAsia"/>
                <w:sz w:val="24"/>
                <w:szCs w:val="24"/>
              </w:rPr>
              <w:t>等多个高增长领域。</w:t>
            </w:r>
          </w:p>
          <w:p w14:paraId="2DA031BD" w14:textId="77777777" w:rsidR="00213B20" w:rsidRDefault="00213B20" w:rsidP="003C0C47">
            <w:pPr>
              <w:spacing w:line="360" w:lineRule="auto"/>
              <w:ind w:firstLineChars="100" w:firstLine="241"/>
              <w:rPr>
                <w:rFonts w:eastAsiaTheme="minorEastAsia"/>
                <w:b/>
                <w:sz w:val="24"/>
                <w:szCs w:val="24"/>
              </w:rPr>
            </w:pPr>
            <w:r w:rsidRPr="00213B20">
              <w:rPr>
                <w:rFonts w:eastAsiaTheme="minorEastAsia" w:hint="eastAsia"/>
                <w:b/>
                <w:sz w:val="24"/>
                <w:szCs w:val="24"/>
              </w:rPr>
              <w:t>问题三：</w:t>
            </w:r>
            <w:r w:rsidRPr="00213B20">
              <w:rPr>
                <w:rFonts w:eastAsiaTheme="minorEastAsia" w:hint="eastAsia"/>
                <w:b/>
                <w:sz w:val="24"/>
                <w:szCs w:val="24"/>
              </w:rPr>
              <w:t>2026</w:t>
            </w:r>
            <w:r w:rsidRPr="00213B20">
              <w:rPr>
                <w:rFonts w:eastAsiaTheme="minorEastAsia" w:hint="eastAsia"/>
                <w:b/>
                <w:sz w:val="24"/>
                <w:szCs w:val="24"/>
              </w:rPr>
              <w:t>年现金流状况如何展望？有何新管理措施？</w:t>
            </w:r>
          </w:p>
          <w:p w14:paraId="03EE7597" w14:textId="6244D770" w:rsidR="003B16F3" w:rsidRDefault="00213B20" w:rsidP="003C0C47">
            <w:pPr>
              <w:spacing w:line="360" w:lineRule="auto"/>
              <w:ind w:firstLineChars="100" w:firstLine="240"/>
              <w:rPr>
                <w:rFonts w:eastAsiaTheme="minorEastAsia" w:hint="eastAsia"/>
                <w:sz w:val="24"/>
                <w:szCs w:val="24"/>
              </w:rPr>
            </w:pPr>
            <w:r w:rsidRPr="00213B20">
              <w:rPr>
                <w:rFonts w:eastAsiaTheme="minorEastAsia" w:hint="eastAsia"/>
                <w:sz w:val="24"/>
                <w:szCs w:val="24"/>
              </w:rPr>
              <w:t>答：</w:t>
            </w:r>
            <w:r w:rsidRPr="00213B20">
              <w:rPr>
                <w:rFonts w:eastAsiaTheme="minorEastAsia" w:hint="eastAsia"/>
                <w:sz w:val="24"/>
                <w:szCs w:val="24"/>
              </w:rPr>
              <w:t>2025</w:t>
            </w:r>
            <w:r w:rsidRPr="00213B20">
              <w:rPr>
                <w:rFonts w:eastAsiaTheme="minorEastAsia" w:hint="eastAsia"/>
                <w:sz w:val="24"/>
                <w:szCs w:val="24"/>
              </w:rPr>
              <w:t>年公司经营活动产生的现金流量净额为</w:t>
            </w:r>
            <w:r w:rsidRPr="00213B20">
              <w:rPr>
                <w:rFonts w:eastAsiaTheme="minorEastAsia" w:hint="eastAsia"/>
                <w:sz w:val="24"/>
                <w:szCs w:val="24"/>
              </w:rPr>
              <w:t>5.26</w:t>
            </w:r>
            <w:r w:rsidR="00AA4A0A">
              <w:rPr>
                <w:rFonts w:eastAsiaTheme="minorEastAsia" w:hint="eastAsia"/>
                <w:sz w:val="24"/>
                <w:szCs w:val="24"/>
              </w:rPr>
              <w:t>亿元</w:t>
            </w:r>
            <w:r w:rsidRPr="00213B20">
              <w:rPr>
                <w:rFonts w:eastAsiaTheme="minorEastAsia" w:hint="eastAsia"/>
                <w:sz w:val="24"/>
                <w:szCs w:val="24"/>
              </w:rPr>
              <w:t>，主要得益于回款管理强化和资金支出严控。</w:t>
            </w:r>
            <w:r w:rsidRPr="00213B20">
              <w:rPr>
                <w:rFonts w:eastAsiaTheme="minorEastAsia" w:hint="eastAsia"/>
                <w:sz w:val="24"/>
                <w:szCs w:val="24"/>
              </w:rPr>
              <w:t>2026</w:t>
            </w:r>
            <w:r w:rsidRPr="00213B20">
              <w:rPr>
                <w:rFonts w:eastAsiaTheme="minorEastAsia" w:hint="eastAsia"/>
                <w:sz w:val="24"/>
                <w:szCs w:val="24"/>
              </w:rPr>
              <w:t>年，公司将继续坚持“现金为王”的管理理念，统筹协同各类力量，积极探索创新性工作手段，持续推动应收</w:t>
            </w:r>
            <w:proofErr w:type="gramStart"/>
            <w:r w:rsidRPr="00213B20">
              <w:rPr>
                <w:rFonts w:eastAsiaTheme="minorEastAsia" w:hint="eastAsia"/>
                <w:sz w:val="24"/>
                <w:szCs w:val="24"/>
              </w:rPr>
              <w:t>账款清</w:t>
            </w:r>
            <w:proofErr w:type="gramEnd"/>
            <w:r w:rsidRPr="00213B20">
              <w:rPr>
                <w:rFonts w:eastAsiaTheme="minorEastAsia" w:hint="eastAsia"/>
                <w:sz w:val="24"/>
                <w:szCs w:val="24"/>
              </w:rPr>
              <w:t>收工作，加速项目周转，力争保持健康的现金流状况。</w:t>
            </w:r>
          </w:p>
          <w:p w14:paraId="6C5EED46" w14:textId="243123AC" w:rsidR="003B16F3" w:rsidRPr="003B16F3" w:rsidRDefault="003B16F3" w:rsidP="003C0C47">
            <w:pPr>
              <w:spacing w:line="360" w:lineRule="auto"/>
              <w:ind w:firstLineChars="100" w:firstLine="241"/>
              <w:rPr>
                <w:rFonts w:eastAsiaTheme="minorEastAsia"/>
                <w:b/>
                <w:sz w:val="24"/>
                <w:szCs w:val="24"/>
              </w:rPr>
            </w:pPr>
            <w:r w:rsidRPr="003B16F3">
              <w:rPr>
                <w:rFonts w:eastAsiaTheme="minorEastAsia" w:hint="eastAsia"/>
                <w:b/>
                <w:sz w:val="24"/>
                <w:szCs w:val="24"/>
              </w:rPr>
              <w:t>问题四：</w:t>
            </w:r>
            <w:r w:rsidRPr="003B16F3">
              <w:rPr>
                <w:rFonts w:eastAsiaTheme="minorEastAsia" w:hint="eastAsia"/>
                <w:b/>
                <w:sz w:val="24"/>
                <w:szCs w:val="24"/>
              </w:rPr>
              <w:t>2025</w:t>
            </w:r>
            <w:r w:rsidRPr="003B16F3">
              <w:rPr>
                <w:rFonts w:eastAsiaTheme="minorEastAsia" w:hint="eastAsia"/>
                <w:b/>
                <w:sz w:val="24"/>
                <w:szCs w:val="24"/>
              </w:rPr>
              <w:t>年毛利率和期间费用率显著改善，这种提升是否可持续？</w:t>
            </w:r>
          </w:p>
          <w:p w14:paraId="2423961F" w14:textId="26320C24" w:rsidR="00213B20" w:rsidRDefault="003B16F3" w:rsidP="003C0C47">
            <w:pPr>
              <w:spacing w:line="360" w:lineRule="auto"/>
              <w:ind w:firstLineChars="100" w:firstLine="240"/>
              <w:rPr>
                <w:rFonts w:eastAsiaTheme="minorEastAsia" w:hint="eastAsia"/>
                <w:sz w:val="24"/>
                <w:szCs w:val="24"/>
              </w:rPr>
            </w:pPr>
            <w:r>
              <w:rPr>
                <w:rFonts w:eastAsiaTheme="minorEastAsia" w:hint="eastAsia"/>
                <w:sz w:val="24"/>
                <w:szCs w:val="24"/>
              </w:rPr>
              <w:t>答</w:t>
            </w:r>
            <w:r w:rsidRPr="003B16F3">
              <w:rPr>
                <w:rFonts w:eastAsiaTheme="minorEastAsia" w:hint="eastAsia"/>
                <w:sz w:val="24"/>
                <w:szCs w:val="24"/>
              </w:rPr>
              <w:t>：盈利能力的改善是公司推进组织变革、技术降本和精细化管理的综合成果，具有可持续性。未来，公司将持续：</w:t>
            </w:r>
            <w:r w:rsidR="003C0C47">
              <w:rPr>
                <w:rFonts w:eastAsiaTheme="minorEastAsia" w:hint="eastAsia"/>
                <w:sz w:val="24"/>
                <w:szCs w:val="24"/>
              </w:rPr>
              <w:t>（</w:t>
            </w:r>
            <w:r w:rsidR="003C0C47">
              <w:rPr>
                <w:rFonts w:eastAsiaTheme="minorEastAsia" w:hint="eastAsia"/>
                <w:sz w:val="24"/>
                <w:szCs w:val="24"/>
              </w:rPr>
              <w:t>1</w:t>
            </w:r>
            <w:r w:rsidR="003C0C47">
              <w:rPr>
                <w:rFonts w:eastAsiaTheme="minorEastAsia" w:hint="eastAsia"/>
                <w:sz w:val="24"/>
                <w:szCs w:val="24"/>
              </w:rPr>
              <w:t>）</w:t>
            </w:r>
            <w:r w:rsidRPr="003B16F3">
              <w:rPr>
                <w:rFonts w:eastAsiaTheme="minorEastAsia" w:hint="eastAsia"/>
                <w:sz w:val="24"/>
                <w:szCs w:val="24"/>
              </w:rPr>
              <w:t>依托研发金字塔，在前工序、固态电池设备、</w:t>
            </w:r>
            <w:r w:rsidRPr="003B16F3">
              <w:rPr>
                <w:rFonts w:eastAsiaTheme="minorEastAsia" w:hint="eastAsia"/>
                <w:sz w:val="24"/>
                <w:szCs w:val="24"/>
              </w:rPr>
              <w:t>AI+</w:t>
            </w:r>
            <w:proofErr w:type="gramStart"/>
            <w:r w:rsidRPr="003B16F3">
              <w:rPr>
                <w:rFonts w:eastAsiaTheme="minorEastAsia" w:hint="eastAsia"/>
                <w:sz w:val="24"/>
                <w:szCs w:val="24"/>
              </w:rPr>
              <w:t>算力等</w:t>
            </w:r>
            <w:proofErr w:type="gramEnd"/>
            <w:r w:rsidRPr="003B16F3">
              <w:rPr>
                <w:rFonts w:eastAsiaTheme="minorEastAsia" w:hint="eastAsia"/>
                <w:sz w:val="24"/>
                <w:szCs w:val="24"/>
              </w:rPr>
              <w:t>核心环节实现技术</w:t>
            </w:r>
            <w:r w:rsidR="003C0C47">
              <w:rPr>
                <w:rFonts w:eastAsiaTheme="minorEastAsia" w:hint="eastAsia"/>
                <w:sz w:val="24"/>
                <w:szCs w:val="24"/>
              </w:rPr>
              <w:lastRenderedPageBreak/>
              <w:t>突破；（</w:t>
            </w:r>
            <w:r w:rsidR="003C0C47">
              <w:rPr>
                <w:rFonts w:eastAsiaTheme="minorEastAsia" w:hint="eastAsia"/>
                <w:sz w:val="24"/>
                <w:szCs w:val="24"/>
              </w:rPr>
              <w:t>2</w:t>
            </w:r>
            <w:r w:rsidR="003C0C47">
              <w:rPr>
                <w:rFonts w:eastAsiaTheme="minorEastAsia" w:hint="eastAsia"/>
                <w:sz w:val="24"/>
                <w:szCs w:val="24"/>
              </w:rPr>
              <w:t>）</w:t>
            </w:r>
            <w:r w:rsidRPr="003B16F3">
              <w:rPr>
                <w:rFonts w:eastAsiaTheme="minorEastAsia" w:hint="eastAsia"/>
                <w:sz w:val="24"/>
                <w:szCs w:val="24"/>
              </w:rPr>
              <w:t>通过“</w:t>
            </w:r>
            <w:r w:rsidR="003C0C47">
              <w:rPr>
                <w:rFonts w:eastAsiaTheme="minorEastAsia" w:hint="eastAsia"/>
                <w:sz w:val="24"/>
                <w:szCs w:val="24"/>
              </w:rPr>
              <w:t>海葵智造”工业互联网平台，打造高效能智造生态，赋能自身及客户；（</w:t>
            </w:r>
            <w:r w:rsidR="003C0C47">
              <w:rPr>
                <w:rFonts w:eastAsiaTheme="minorEastAsia" w:hint="eastAsia"/>
                <w:sz w:val="24"/>
                <w:szCs w:val="24"/>
              </w:rPr>
              <w:t>3</w:t>
            </w:r>
            <w:r w:rsidR="003C0C47">
              <w:rPr>
                <w:rFonts w:eastAsiaTheme="minorEastAsia" w:hint="eastAsia"/>
                <w:sz w:val="24"/>
                <w:szCs w:val="24"/>
              </w:rPr>
              <w:t>）</w:t>
            </w:r>
            <w:r w:rsidRPr="003B16F3">
              <w:rPr>
                <w:rFonts w:eastAsiaTheme="minorEastAsia" w:hint="eastAsia"/>
                <w:sz w:val="24"/>
                <w:szCs w:val="24"/>
              </w:rPr>
              <w:t>强化预算与成本管控，构建并完善财务监管与全面预算管理体系，为成本控制提供制度保障。</w:t>
            </w:r>
            <w:bookmarkStart w:id="5" w:name="_GoBack"/>
            <w:bookmarkEnd w:id="5"/>
          </w:p>
          <w:p w14:paraId="1A516C1C" w14:textId="7AACAFB3" w:rsidR="00213B20" w:rsidRDefault="00213B20" w:rsidP="003C0C47">
            <w:pPr>
              <w:spacing w:line="360" w:lineRule="auto"/>
              <w:ind w:firstLineChars="100" w:firstLine="241"/>
              <w:rPr>
                <w:rFonts w:eastAsiaTheme="minorEastAsia"/>
                <w:b/>
                <w:sz w:val="24"/>
                <w:szCs w:val="24"/>
              </w:rPr>
            </w:pPr>
            <w:r w:rsidRPr="009165E5">
              <w:rPr>
                <w:rFonts w:eastAsiaTheme="minorEastAsia" w:hint="eastAsia"/>
                <w:b/>
                <w:sz w:val="24"/>
                <w:szCs w:val="24"/>
              </w:rPr>
              <w:t>问题</w:t>
            </w:r>
            <w:r w:rsidR="003B16F3">
              <w:rPr>
                <w:rFonts w:eastAsiaTheme="minorEastAsia" w:hint="eastAsia"/>
                <w:b/>
                <w:sz w:val="24"/>
                <w:szCs w:val="24"/>
              </w:rPr>
              <w:t>五</w:t>
            </w:r>
            <w:r w:rsidRPr="009165E5">
              <w:rPr>
                <w:rFonts w:eastAsiaTheme="minorEastAsia" w:hint="eastAsia"/>
                <w:b/>
                <w:sz w:val="24"/>
                <w:szCs w:val="24"/>
              </w:rPr>
              <w:t>：</w:t>
            </w:r>
            <w:r w:rsidR="009165E5" w:rsidRPr="009165E5">
              <w:rPr>
                <w:rFonts w:eastAsiaTheme="minorEastAsia" w:hint="eastAsia"/>
                <w:b/>
                <w:sz w:val="24"/>
                <w:szCs w:val="24"/>
              </w:rPr>
              <w:t>公司在选择订单与客户时主要遵循哪些标准？</w:t>
            </w:r>
          </w:p>
          <w:p w14:paraId="69E96FFA" w14:textId="42D16645" w:rsidR="000F3BF3" w:rsidRDefault="009165E5" w:rsidP="003C0C47">
            <w:pPr>
              <w:spacing w:line="360" w:lineRule="auto"/>
              <w:ind w:firstLineChars="100" w:firstLine="240"/>
              <w:rPr>
                <w:rFonts w:eastAsiaTheme="minorEastAsia" w:hint="eastAsia"/>
                <w:sz w:val="24"/>
                <w:szCs w:val="24"/>
              </w:rPr>
            </w:pPr>
            <w:r w:rsidRPr="009165E5">
              <w:rPr>
                <w:rFonts w:eastAsiaTheme="minorEastAsia" w:hint="eastAsia"/>
                <w:sz w:val="24"/>
                <w:szCs w:val="24"/>
              </w:rPr>
              <w:t>答：公司从三个维度进行把控：第一，优先选择经营稳健、抗风险能力强的头部客户，确保项目执行与回款的可控性；第二，聚焦特定应用场景内的核心客户，集中优势资源进行重点跟进；第三，选择有前期联合研发布局的项目，便于在方案阶段深度参与，从而在后续实施中有效控制成本与费用，保障合理的毛利率水平。</w:t>
            </w:r>
          </w:p>
          <w:p w14:paraId="5645B95A" w14:textId="48F8B701" w:rsidR="000F3BF3" w:rsidRDefault="003B16F3" w:rsidP="003C0C47">
            <w:pPr>
              <w:spacing w:line="360" w:lineRule="auto"/>
              <w:ind w:firstLineChars="100" w:firstLine="241"/>
              <w:rPr>
                <w:rFonts w:eastAsiaTheme="minorEastAsia"/>
                <w:b/>
                <w:sz w:val="24"/>
                <w:szCs w:val="24"/>
              </w:rPr>
            </w:pPr>
            <w:r>
              <w:rPr>
                <w:rFonts w:eastAsiaTheme="minorEastAsia" w:hint="eastAsia"/>
                <w:b/>
                <w:sz w:val="24"/>
                <w:szCs w:val="24"/>
              </w:rPr>
              <w:t>问题</w:t>
            </w:r>
            <w:r w:rsidR="00927CB6">
              <w:rPr>
                <w:rFonts w:eastAsiaTheme="minorEastAsia" w:hint="eastAsia"/>
                <w:b/>
                <w:sz w:val="24"/>
                <w:szCs w:val="24"/>
              </w:rPr>
              <w:t>六</w:t>
            </w:r>
            <w:r w:rsidR="000F3BF3" w:rsidRPr="000F3BF3">
              <w:rPr>
                <w:rFonts w:eastAsiaTheme="minorEastAsia" w:hint="eastAsia"/>
                <w:b/>
                <w:sz w:val="24"/>
                <w:szCs w:val="24"/>
              </w:rPr>
              <w:t>：公司</w:t>
            </w:r>
            <w:r w:rsidR="000F3BF3" w:rsidRPr="000F3BF3">
              <w:rPr>
                <w:rFonts w:eastAsiaTheme="minorEastAsia" w:hint="eastAsia"/>
                <w:b/>
                <w:sz w:val="24"/>
                <w:szCs w:val="24"/>
              </w:rPr>
              <w:t>2025</w:t>
            </w:r>
            <w:r w:rsidR="000F3BF3" w:rsidRPr="000F3BF3">
              <w:rPr>
                <w:rFonts w:eastAsiaTheme="minorEastAsia" w:hint="eastAsia"/>
                <w:b/>
                <w:sz w:val="24"/>
                <w:szCs w:val="24"/>
              </w:rPr>
              <w:t>年员工人数增加的原因及未来人力规划是什么？</w:t>
            </w:r>
          </w:p>
          <w:p w14:paraId="3CFDDF59" w14:textId="7B0E0C1A" w:rsidR="00E120D2" w:rsidRDefault="00EF3B95" w:rsidP="003C0C47">
            <w:pPr>
              <w:spacing w:line="360" w:lineRule="auto"/>
              <w:ind w:firstLineChars="100" w:firstLine="240"/>
              <w:rPr>
                <w:rFonts w:eastAsiaTheme="minorEastAsia" w:hint="eastAsia"/>
                <w:sz w:val="24"/>
                <w:szCs w:val="24"/>
              </w:rPr>
            </w:pPr>
            <w:r w:rsidRPr="00EF3B95">
              <w:rPr>
                <w:rFonts w:eastAsiaTheme="minorEastAsia" w:hint="eastAsia"/>
                <w:sz w:val="24"/>
                <w:szCs w:val="24"/>
              </w:rPr>
              <w:t>答：</w:t>
            </w:r>
            <w:r w:rsidRPr="00EF3B95">
              <w:rPr>
                <w:rFonts w:eastAsiaTheme="minorEastAsia" w:hint="eastAsia"/>
                <w:sz w:val="24"/>
                <w:szCs w:val="24"/>
              </w:rPr>
              <w:t>2025</w:t>
            </w:r>
            <w:r w:rsidRPr="00EF3B95">
              <w:rPr>
                <w:rFonts w:eastAsiaTheme="minorEastAsia" w:hint="eastAsia"/>
                <w:sz w:val="24"/>
                <w:szCs w:val="24"/>
              </w:rPr>
              <w:t>年末员工人数较年初增加约</w:t>
            </w:r>
            <w:r w:rsidRPr="00EF3B95">
              <w:rPr>
                <w:rFonts w:eastAsiaTheme="minorEastAsia" w:hint="eastAsia"/>
                <w:sz w:val="24"/>
                <w:szCs w:val="24"/>
              </w:rPr>
              <w:t>600-700</w:t>
            </w:r>
            <w:r w:rsidR="00E120D2">
              <w:rPr>
                <w:rFonts w:eastAsiaTheme="minorEastAsia" w:hint="eastAsia"/>
                <w:sz w:val="24"/>
                <w:szCs w:val="24"/>
              </w:rPr>
              <w:t>人</w:t>
            </w:r>
            <w:r w:rsidRPr="00EF3B95">
              <w:rPr>
                <w:rFonts w:eastAsiaTheme="minorEastAsia" w:hint="eastAsia"/>
                <w:sz w:val="24"/>
                <w:szCs w:val="24"/>
              </w:rPr>
              <w:t>，主要增长在研发设计和生产交付部门。原因是</w:t>
            </w:r>
            <w:r w:rsidRPr="00EF3B95">
              <w:rPr>
                <w:rFonts w:eastAsiaTheme="minorEastAsia" w:hint="eastAsia"/>
                <w:sz w:val="24"/>
                <w:szCs w:val="24"/>
              </w:rPr>
              <w:t>2025</w:t>
            </w:r>
            <w:r w:rsidRPr="00EF3B95">
              <w:rPr>
                <w:rFonts w:eastAsiaTheme="minorEastAsia" w:hint="eastAsia"/>
                <w:sz w:val="24"/>
                <w:szCs w:val="24"/>
              </w:rPr>
              <w:t>年订单翻倍增长，且头部客户对项目交付和验收的时间要求非常紧迫，需要补充一线交付力量。未来公司会严格控制人员规模扩张</w:t>
            </w:r>
            <w:r w:rsidR="00E120D2" w:rsidRPr="00E120D2">
              <w:rPr>
                <w:rFonts w:eastAsiaTheme="minorEastAsia" w:hint="eastAsia"/>
                <w:sz w:val="24"/>
                <w:szCs w:val="24"/>
              </w:rPr>
              <w:t>，以持续提升人均产值为导向，通过技术降本、组织优化及数字化手段增强人效，实现有质量的规模增长。</w:t>
            </w:r>
          </w:p>
          <w:p w14:paraId="7CCC7F37" w14:textId="397228B1" w:rsidR="00E120D2" w:rsidRDefault="00E120D2" w:rsidP="003C0C47">
            <w:pPr>
              <w:spacing w:line="360" w:lineRule="auto"/>
              <w:ind w:firstLineChars="100" w:firstLine="241"/>
              <w:rPr>
                <w:rFonts w:eastAsiaTheme="minorEastAsia"/>
                <w:b/>
                <w:sz w:val="24"/>
                <w:szCs w:val="24"/>
              </w:rPr>
            </w:pPr>
            <w:r w:rsidRPr="000D223C">
              <w:rPr>
                <w:rFonts w:eastAsiaTheme="minorEastAsia" w:hint="eastAsia"/>
                <w:b/>
                <w:sz w:val="24"/>
                <w:szCs w:val="24"/>
              </w:rPr>
              <w:t>问题</w:t>
            </w:r>
            <w:r w:rsidR="00927CB6">
              <w:rPr>
                <w:rFonts w:eastAsiaTheme="minorEastAsia" w:hint="eastAsia"/>
                <w:b/>
                <w:sz w:val="24"/>
                <w:szCs w:val="24"/>
              </w:rPr>
              <w:t>七</w:t>
            </w:r>
            <w:r w:rsidRPr="000D223C">
              <w:rPr>
                <w:rFonts w:eastAsiaTheme="minorEastAsia" w:hint="eastAsia"/>
                <w:b/>
                <w:sz w:val="24"/>
                <w:szCs w:val="24"/>
              </w:rPr>
              <w:t>：</w:t>
            </w:r>
            <w:r w:rsidR="00C90099" w:rsidRPr="00C90099">
              <w:rPr>
                <w:rFonts w:eastAsiaTheme="minorEastAsia" w:hint="eastAsia"/>
                <w:b/>
                <w:sz w:val="24"/>
                <w:szCs w:val="24"/>
              </w:rPr>
              <w:t>公司对</w:t>
            </w:r>
            <w:bookmarkStart w:id="6" w:name="OLE_LINK5"/>
            <w:bookmarkStart w:id="7" w:name="OLE_LINK6"/>
            <w:r w:rsidR="00C90099" w:rsidRPr="00C90099">
              <w:rPr>
                <w:rFonts w:eastAsiaTheme="minorEastAsia" w:hint="eastAsia"/>
                <w:b/>
                <w:sz w:val="24"/>
                <w:szCs w:val="24"/>
              </w:rPr>
              <w:t>钠离子电池</w:t>
            </w:r>
            <w:bookmarkEnd w:id="6"/>
            <w:bookmarkEnd w:id="7"/>
            <w:r w:rsidR="00C90099" w:rsidRPr="00C90099">
              <w:rPr>
                <w:rFonts w:eastAsiaTheme="minorEastAsia" w:hint="eastAsia"/>
                <w:b/>
                <w:sz w:val="24"/>
                <w:szCs w:val="24"/>
              </w:rPr>
              <w:t>设备是否有技术储备？</w:t>
            </w:r>
          </w:p>
          <w:p w14:paraId="662E7D13" w14:textId="32DD0134" w:rsidR="00C0232E" w:rsidRDefault="00C0232E" w:rsidP="003C0C47">
            <w:pPr>
              <w:spacing w:line="360" w:lineRule="auto"/>
              <w:ind w:firstLineChars="100" w:firstLine="240"/>
              <w:rPr>
                <w:rFonts w:eastAsiaTheme="minorEastAsia" w:hint="eastAsia"/>
                <w:sz w:val="24"/>
                <w:szCs w:val="24"/>
              </w:rPr>
            </w:pPr>
            <w:r w:rsidRPr="00C0232E">
              <w:rPr>
                <w:rFonts w:eastAsiaTheme="minorEastAsia" w:hint="eastAsia"/>
                <w:sz w:val="24"/>
                <w:szCs w:val="24"/>
              </w:rPr>
              <w:t>答：公司对钠电池技术路线已有成熟的设备方案和实际交付案例。</w:t>
            </w:r>
            <w:r w:rsidR="00C233FD" w:rsidRPr="00C233FD">
              <w:rPr>
                <w:rFonts w:eastAsiaTheme="minorEastAsia" w:hint="eastAsia"/>
                <w:sz w:val="24"/>
                <w:szCs w:val="24"/>
              </w:rPr>
              <w:t>从设备角度看，钠电池与液态锂电池的生产工艺流程类似。</w:t>
            </w:r>
            <w:r w:rsidRPr="00C0232E">
              <w:rPr>
                <w:rFonts w:eastAsiaTheme="minorEastAsia" w:hint="eastAsia"/>
                <w:sz w:val="24"/>
                <w:szCs w:val="24"/>
              </w:rPr>
              <w:t>公司具备快速响应客户需求的能力，目前已与相关钠电池客户进行</w:t>
            </w:r>
            <w:r w:rsidR="006E1980">
              <w:rPr>
                <w:rFonts w:eastAsiaTheme="minorEastAsia" w:hint="eastAsia"/>
                <w:sz w:val="24"/>
                <w:szCs w:val="24"/>
              </w:rPr>
              <w:t>技术交流</w:t>
            </w:r>
            <w:r w:rsidRPr="00C0232E">
              <w:rPr>
                <w:rFonts w:eastAsiaTheme="minorEastAsia" w:hint="eastAsia"/>
                <w:sz w:val="24"/>
                <w:szCs w:val="24"/>
              </w:rPr>
              <w:t>。</w:t>
            </w:r>
          </w:p>
          <w:p w14:paraId="308A4077" w14:textId="54959A64" w:rsidR="006E1980" w:rsidRDefault="00C0232E" w:rsidP="003C0C47">
            <w:pPr>
              <w:spacing w:line="360" w:lineRule="auto"/>
              <w:ind w:firstLineChars="100" w:firstLine="241"/>
              <w:rPr>
                <w:rFonts w:eastAsiaTheme="minorEastAsia"/>
                <w:b/>
                <w:sz w:val="24"/>
                <w:szCs w:val="24"/>
              </w:rPr>
            </w:pPr>
            <w:r w:rsidRPr="00C25D95">
              <w:rPr>
                <w:rFonts w:eastAsiaTheme="minorEastAsia" w:hint="eastAsia"/>
                <w:b/>
                <w:sz w:val="24"/>
                <w:szCs w:val="24"/>
              </w:rPr>
              <w:t>问题</w:t>
            </w:r>
            <w:r w:rsidR="00927CB6">
              <w:rPr>
                <w:rFonts w:eastAsiaTheme="minorEastAsia" w:hint="eastAsia"/>
                <w:b/>
                <w:sz w:val="24"/>
                <w:szCs w:val="24"/>
              </w:rPr>
              <w:t>八</w:t>
            </w:r>
            <w:r w:rsidRPr="00C25D95">
              <w:rPr>
                <w:rFonts w:eastAsiaTheme="minorEastAsia" w:hint="eastAsia"/>
                <w:b/>
                <w:sz w:val="24"/>
                <w:szCs w:val="24"/>
              </w:rPr>
              <w:t>：</w:t>
            </w:r>
            <w:r w:rsidR="00C25D95" w:rsidRPr="00C25D95">
              <w:rPr>
                <w:rFonts w:eastAsiaTheme="minorEastAsia" w:hint="eastAsia"/>
                <w:b/>
                <w:sz w:val="24"/>
                <w:szCs w:val="24"/>
              </w:rPr>
              <w:t>等静压设备的核心技术壁垒是什么？公司在等静压设备领域的技术优势体现在哪些方面？</w:t>
            </w:r>
            <w:r w:rsidR="006E1980">
              <w:rPr>
                <w:rFonts w:eastAsiaTheme="minorEastAsia" w:hint="eastAsia"/>
                <w:b/>
                <w:sz w:val="24"/>
                <w:szCs w:val="24"/>
              </w:rPr>
              <w:t>在</w:t>
            </w:r>
            <w:r w:rsidR="006E1980">
              <w:rPr>
                <w:rFonts w:eastAsiaTheme="minorEastAsia"/>
                <w:b/>
                <w:sz w:val="24"/>
                <w:szCs w:val="24"/>
              </w:rPr>
              <w:t>硫化物固态电池</w:t>
            </w:r>
            <w:r w:rsidR="006E1980">
              <w:rPr>
                <w:rFonts w:eastAsiaTheme="minorEastAsia" w:hint="eastAsia"/>
                <w:b/>
                <w:sz w:val="24"/>
                <w:szCs w:val="24"/>
              </w:rPr>
              <w:t>的</w:t>
            </w:r>
            <w:r w:rsidR="006E1980">
              <w:rPr>
                <w:rFonts w:eastAsiaTheme="minorEastAsia"/>
                <w:b/>
                <w:sz w:val="24"/>
                <w:szCs w:val="24"/>
              </w:rPr>
              <w:t>安全防护方面有哪些保护措施？</w:t>
            </w:r>
          </w:p>
          <w:p w14:paraId="091B69CB" w14:textId="67794E68" w:rsidR="006B67B7" w:rsidRDefault="00423D13" w:rsidP="003C0C47">
            <w:pPr>
              <w:spacing w:line="360" w:lineRule="auto"/>
              <w:ind w:firstLineChars="100" w:firstLine="240"/>
              <w:rPr>
                <w:rFonts w:eastAsiaTheme="minorEastAsia"/>
                <w:sz w:val="24"/>
                <w:szCs w:val="24"/>
              </w:rPr>
            </w:pPr>
            <w:r w:rsidRPr="00C0232E">
              <w:rPr>
                <w:rFonts w:eastAsiaTheme="minorEastAsia" w:hint="eastAsia"/>
                <w:sz w:val="24"/>
                <w:szCs w:val="24"/>
              </w:rPr>
              <w:t>答：</w:t>
            </w:r>
            <w:r w:rsidR="0057536C" w:rsidRPr="0057536C">
              <w:rPr>
                <w:rFonts w:eastAsiaTheme="minorEastAsia" w:hint="eastAsia"/>
                <w:sz w:val="24"/>
                <w:szCs w:val="24"/>
              </w:rPr>
              <w:t>等静压设备的核心技术壁垒主要体现在超高压缸筒和承力框架的加工制造、超高压密封技术、超高压增压及管路系统集成，泄压控制，以及极端工况下压力与温度的均匀精准控制等关键环节，这些技术直接决定了设备的可靠性、安全性与工艺稳定性。</w:t>
            </w:r>
          </w:p>
          <w:p w14:paraId="33CCC979" w14:textId="55603C8A" w:rsidR="006E1980" w:rsidRPr="00C25D95" w:rsidRDefault="006B67B7" w:rsidP="003C0C47">
            <w:pPr>
              <w:spacing w:line="360" w:lineRule="auto"/>
              <w:ind w:firstLineChars="100" w:firstLine="240"/>
              <w:rPr>
                <w:rFonts w:eastAsiaTheme="minorEastAsia"/>
                <w:b/>
                <w:sz w:val="24"/>
                <w:szCs w:val="24"/>
              </w:rPr>
            </w:pPr>
            <w:r w:rsidRPr="006B67B7">
              <w:rPr>
                <w:rFonts w:eastAsiaTheme="minorEastAsia" w:hint="eastAsia"/>
                <w:sz w:val="24"/>
                <w:szCs w:val="24"/>
              </w:rPr>
              <w:lastRenderedPageBreak/>
              <w:t>公司在等静压设备领域的技术优势方面</w:t>
            </w:r>
            <w:r w:rsidR="00C76108" w:rsidRPr="00C76108">
              <w:rPr>
                <w:rFonts w:eastAsiaTheme="minorEastAsia" w:hint="eastAsia"/>
                <w:sz w:val="24"/>
                <w:szCs w:val="24"/>
              </w:rPr>
              <w:t>，已与行业头部企业签署战略合作协议，联合开发下一代固态电池等静压装备；公司已打通全固态电池量产全线工艺，中标国内首条固态电池整</w:t>
            </w:r>
            <w:proofErr w:type="gramStart"/>
            <w:r w:rsidR="00C76108" w:rsidRPr="00C76108">
              <w:rPr>
                <w:rFonts w:eastAsiaTheme="minorEastAsia" w:hint="eastAsia"/>
                <w:sz w:val="24"/>
                <w:szCs w:val="24"/>
              </w:rPr>
              <w:t>线项目</w:t>
            </w:r>
            <w:proofErr w:type="gramEnd"/>
            <w:r w:rsidR="00C76108" w:rsidRPr="00C76108">
              <w:rPr>
                <w:rFonts w:eastAsiaTheme="minorEastAsia" w:hint="eastAsia"/>
                <w:sz w:val="24"/>
                <w:szCs w:val="24"/>
              </w:rPr>
              <w:t>并于</w:t>
            </w:r>
            <w:r w:rsidR="00C76108" w:rsidRPr="00C76108">
              <w:rPr>
                <w:rFonts w:eastAsiaTheme="minorEastAsia" w:hint="eastAsia"/>
                <w:sz w:val="24"/>
                <w:szCs w:val="24"/>
              </w:rPr>
              <w:t>2025</w:t>
            </w:r>
            <w:r w:rsidR="00C76108" w:rsidRPr="00C76108">
              <w:rPr>
                <w:rFonts w:eastAsiaTheme="minorEastAsia" w:hint="eastAsia"/>
                <w:sz w:val="24"/>
                <w:szCs w:val="24"/>
              </w:rPr>
              <w:t>年</w:t>
            </w:r>
            <w:r w:rsidR="00C76108" w:rsidRPr="00C76108">
              <w:rPr>
                <w:rFonts w:eastAsiaTheme="minorEastAsia" w:hint="eastAsia"/>
                <w:sz w:val="24"/>
                <w:szCs w:val="24"/>
              </w:rPr>
              <w:t>7</w:t>
            </w:r>
            <w:r w:rsidR="00C76108" w:rsidRPr="00C76108">
              <w:rPr>
                <w:rFonts w:eastAsiaTheme="minorEastAsia" w:hint="eastAsia"/>
                <w:sz w:val="24"/>
                <w:szCs w:val="24"/>
              </w:rPr>
              <w:t>月开始陆续交付，并已在客户现场完成调试，达到阶段性目标；公司在固态电池设备领域拥有超百项专利，已立项研发连续等静压设备；同时作为少数具备全固态整线解决方案能力的厂商，可为客户提供覆盖全化学体系的综合解决方案。后续公司将持续深化技术协同，加速连续化等静压设备研发与产业化，巩固在固态电池整线装备领域的领先地位。在硫化物固态电池的安全防护方面，公司实施了三级防护体系，针对不同生产场景的潜在风险制定专项预案，并通过严格的材质测试筛选耐腐蚀材料，确保设备在防爆、防毒及长期抗腐蚀方面的可靠性。</w:t>
            </w:r>
          </w:p>
        </w:tc>
      </w:tr>
      <w:tr w:rsidR="005F080A" w:rsidRPr="00943E94" w14:paraId="591745A6" w14:textId="77777777" w:rsidTr="006C69C5">
        <w:trPr>
          <w:trHeight w:val="366"/>
          <w:jc w:val="center"/>
        </w:trPr>
        <w:tc>
          <w:tcPr>
            <w:tcW w:w="1908" w:type="dxa"/>
            <w:vAlign w:val="center"/>
          </w:tcPr>
          <w:p w14:paraId="61508A1E" w14:textId="77777777" w:rsidR="005F080A" w:rsidRPr="00943E94" w:rsidRDefault="00AD58AA" w:rsidP="006C69C5">
            <w:pPr>
              <w:spacing w:line="480" w:lineRule="atLeast"/>
              <w:jc w:val="center"/>
              <w:rPr>
                <w:rFonts w:ascii="TimesNewRoman" w:hAnsi="宋体"/>
                <w:b/>
                <w:sz w:val="24"/>
              </w:rPr>
            </w:pPr>
            <w:r w:rsidRPr="00AD58AA">
              <w:rPr>
                <w:rFonts w:ascii="TimesNewRoman" w:hAnsi="宋体" w:hint="eastAsia"/>
                <w:b/>
                <w:sz w:val="24"/>
              </w:rPr>
              <w:lastRenderedPageBreak/>
              <w:t>附件清单</w:t>
            </w:r>
          </w:p>
        </w:tc>
        <w:tc>
          <w:tcPr>
            <w:tcW w:w="7117" w:type="dxa"/>
            <w:vAlign w:val="center"/>
          </w:tcPr>
          <w:p w14:paraId="69CF8467" w14:textId="77777777" w:rsidR="005F080A" w:rsidRPr="002D69F5" w:rsidRDefault="00AD58AA" w:rsidP="006C69C5">
            <w:pPr>
              <w:spacing w:line="480" w:lineRule="atLeast"/>
              <w:rPr>
                <w:rFonts w:ascii="TimesNewRoman" w:eastAsiaTheme="minorEastAsia" w:hAnsi="TimesNewRoman" w:cs="Arial" w:hint="eastAsia"/>
                <w:color w:val="000000"/>
                <w:kern w:val="0"/>
                <w:sz w:val="24"/>
                <w:szCs w:val="24"/>
              </w:rPr>
            </w:pPr>
            <w:r w:rsidRPr="002D69F5">
              <w:rPr>
                <w:rFonts w:ascii="TimesNewRoman" w:eastAsiaTheme="minorEastAsia" w:hAnsi="TimesNewRoman" w:cs="Arial" w:hint="eastAsia"/>
                <w:color w:val="000000"/>
                <w:kern w:val="0"/>
                <w:sz w:val="24"/>
                <w:szCs w:val="24"/>
              </w:rPr>
              <w:t>无</w:t>
            </w:r>
          </w:p>
        </w:tc>
      </w:tr>
      <w:tr w:rsidR="005F080A" w:rsidRPr="00943E94" w14:paraId="424614AD" w14:textId="77777777" w:rsidTr="006C69C5">
        <w:trPr>
          <w:trHeight w:val="487"/>
          <w:jc w:val="center"/>
        </w:trPr>
        <w:tc>
          <w:tcPr>
            <w:tcW w:w="1908" w:type="dxa"/>
            <w:vAlign w:val="center"/>
          </w:tcPr>
          <w:p w14:paraId="6CD7D029" w14:textId="77777777" w:rsidR="005F080A" w:rsidRPr="00943E94" w:rsidRDefault="00AD58AA" w:rsidP="006C69C5">
            <w:pPr>
              <w:spacing w:line="480" w:lineRule="atLeast"/>
              <w:jc w:val="center"/>
              <w:rPr>
                <w:rFonts w:ascii="TimesNewRoman" w:hAnsi="宋体"/>
                <w:b/>
                <w:sz w:val="24"/>
              </w:rPr>
            </w:pPr>
            <w:r w:rsidRPr="00AD58AA">
              <w:rPr>
                <w:rFonts w:ascii="TimesNewRoman" w:hAnsi="宋体" w:hint="eastAsia"/>
                <w:b/>
                <w:sz w:val="24"/>
              </w:rPr>
              <w:t>日期</w:t>
            </w:r>
          </w:p>
        </w:tc>
        <w:tc>
          <w:tcPr>
            <w:tcW w:w="7117" w:type="dxa"/>
            <w:vAlign w:val="center"/>
          </w:tcPr>
          <w:p w14:paraId="2E59B373" w14:textId="7278FB18" w:rsidR="00F9176D" w:rsidRPr="002D69F5" w:rsidRDefault="00F83CB5" w:rsidP="006752AB">
            <w:pPr>
              <w:spacing w:line="480" w:lineRule="atLeast"/>
              <w:rPr>
                <w:rFonts w:ascii="TimesNewRoman" w:eastAsiaTheme="minorEastAsia" w:hAnsi="TimesNewRoman" w:cs="Arial" w:hint="eastAsia"/>
                <w:color w:val="000000"/>
                <w:kern w:val="0"/>
                <w:sz w:val="24"/>
                <w:szCs w:val="24"/>
              </w:rPr>
            </w:pPr>
            <w:r w:rsidRPr="002D69F5">
              <w:rPr>
                <w:rFonts w:ascii="TimesNewRoman" w:eastAsiaTheme="minorEastAsia" w:hAnsi="TimesNewRoman" w:cs="Arial" w:hint="eastAsia"/>
                <w:color w:val="000000"/>
                <w:kern w:val="0"/>
                <w:sz w:val="24"/>
                <w:szCs w:val="24"/>
              </w:rPr>
              <w:t>2026</w:t>
            </w:r>
            <w:r w:rsidRPr="002D69F5">
              <w:rPr>
                <w:rFonts w:ascii="TimesNewRoman" w:eastAsiaTheme="minorEastAsia" w:hAnsi="TimesNewRoman" w:cs="Arial" w:hint="eastAsia"/>
                <w:color w:val="000000"/>
                <w:kern w:val="0"/>
                <w:sz w:val="24"/>
                <w:szCs w:val="24"/>
              </w:rPr>
              <w:t>年</w:t>
            </w:r>
            <w:r w:rsidR="006752AB">
              <w:rPr>
                <w:rFonts w:ascii="TimesNewRoman" w:eastAsiaTheme="minorEastAsia" w:hAnsi="TimesNewRoman" w:cs="Arial"/>
                <w:color w:val="000000"/>
                <w:kern w:val="0"/>
                <w:sz w:val="24"/>
                <w:szCs w:val="24"/>
              </w:rPr>
              <w:t>4</w:t>
            </w:r>
            <w:r w:rsidRPr="002D69F5">
              <w:rPr>
                <w:rFonts w:ascii="TimesNewRoman" w:eastAsiaTheme="minorEastAsia" w:hAnsi="TimesNewRoman" w:cs="Arial" w:hint="eastAsia"/>
                <w:color w:val="000000"/>
                <w:kern w:val="0"/>
                <w:sz w:val="24"/>
                <w:szCs w:val="24"/>
              </w:rPr>
              <w:t>月</w:t>
            </w:r>
            <w:r w:rsidR="006752AB">
              <w:rPr>
                <w:rFonts w:ascii="TimesNewRoman" w:eastAsiaTheme="minorEastAsia" w:hAnsi="TimesNewRoman" w:cs="Arial"/>
                <w:color w:val="000000"/>
                <w:kern w:val="0"/>
                <w:sz w:val="24"/>
                <w:szCs w:val="24"/>
              </w:rPr>
              <w:t>16</w:t>
            </w:r>
            <w:r w:rsidRPr="002D69F5">
              <w:rPr>
                <w:rFonts w:ascii="TimesNewRoman" w:eastAsiaTheme="minorEastAsia" w:hAnsi="TimesNewRoman" w:cs="Arial" w:hint="eastAsia"/>
                <w:color w:val="000000"/>
                <w:kern w:val="0"/>
                <w:sz w:val="24"/>
                <w:szCs w:val="24"/>
              </w:rPr>
              <w:t>日</w:t>
            </w:r>
          </w:p>
        </w:tc>
      </w:tr>
    </w:tbl>
    <w:p w14:paraId="1593F8C8" w14:textId="77777777" w:rsidR="00134783" w:rsidRDefault="00134783" w:rsidP="00D3704D">
      <w:pPr>
        <w:rPr>
          <w:rFonts w:ascii="TimesNewRoman" w:hAnsi="TimesNewRoman" w:hint="eastAsia"/>
        </w:rPr>
      </w:pPr>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0000" w14:textId="77777777" w:rsidR="00983C09" w:rsidRDefault="00983C09" w:rsidP="00D3704D">
      <w:r>
        <w:separator/>
      </w:r>
    </w:p>
  </w:endnote>
  <w:endnote w:type="continuationSeparator" w:id="0">
    <w:p w14:paraId="382EA4AC" w14:textId="77777777" w:rsidR="00983C09" w:rsidRDefault="00983C09"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14:paraId="7F28EC5C" w14:textId="69A36AD8" w:rsidR="00BA3205" w:rsidRDefault="00BA3205">
        <w:pPr>
          <w:pStyle w:val="a5"/>
          <w:jc w:val="center"/>
        </w:pPr>
        <w:r>
          <w:fldChar w:fldCharType="begin"/>
        </w:r>
        <w:r>
          <w:instrText>PAGE   \* MERGEFORMAT</w:instrText>
        </w:r>
        <w:r>
          <w:fldChar w:fldCharType="separate"/>
        </w:r>
        <w:r w:rsidR="003C0C47" w:rsidRPr="003C0C47">
          <w:rPr>
            <w:noProof/>
            <w:lang w:val="zh-CN"/>
          </w:rPr>
          <w:t>4</w:t>
        </w:r>
        <w:r>
          <w:fldChar w:fldCharType="end"/>
        </w:r>
      </w:p>
    </w:sdtContent>
  </w:sdt>
  <w:p w14:paraId="60007A75" w14:textId="77777777"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9999C" w14:textId="77777777" w:rsidR="00983C09" w:rsidRDefault="00983C09" w:rsidP="00D3704D">
      <w:r>
        <w:separator/>
      </w:r>
    </w:p>
  </w:footnote>
  <w:footnote w:type="continuationSeparator" w:id="0">
    <w:p w14:paraId="7BBBA862" w14:textId="77777777" w:rsidR="00983C09" w:rsidRDefault="00983C09"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A9960AB"/>
    <w:multiLevelType w:val="multilevel"/>
    <w:tmpl w:val="857A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90D77"/>
    <w:multiLevelType w:val="multilevel"/>
    <w:tmpl w:val="89A88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5C41"/>
    <w:rsid w:val="00007235"/>
    <w:rsid w:val="000073E4"/>
    <w:rsid w:val="00007434"/>
    <w:rsid w:val="00007A64"/>
    <w:rsid w:val="0001134B"/>
    <w:rsid w:val="000116DB"/>
    <w:rsid w:val="0001191E"/>
    <w:rsid w:val="00012C6F"/>
    <w:rsid w:val="00012E92"/>
    <w:rsid w:val="00016D7C"/>
    <w:rsid w:val="000220AE"/>
    <w:rsid w:val="00022326"/>
    <w:rsid w:val="00022F47"/>
    <w:rsid w:val="000235A1"/>
    <w:rsid w:val="00030911"/>
    <w:rsid w:val="00032D68"/>
    <w:rsid w:val="000335F6"/>
    <w:rsid w:val="00034EC0"/>
    <w:rsid w:val="00036D0D"/>
    <w:rsid w:val="00037659"/>
    <w:rsid w:val="0004142D"/>
    <w:rsid w:val="00041BD6"/>
    <w:rsid w:val="0004414C"/>
    <w:rsid w:val="00045A41"/>
    <w:rsid w:val="00051230"/>
    <w:rsid w:val="00051ACF"/>
    <w:rsid w:val="00052608"/>
    <w:rsid w:val="00053977"/>
    <w:rsid w:val="00053C4F"/>
    <w:rsid w:val="00053E02"/>
    <w:rsid w:val="00057893"/>
    <w:rsid w:val="000649C3"/>
    <w:rsid w:val="00064E55"/>
    <w:rsid w:val="0006747E"/>
    <w:rsid w:val="00067C1E"/>
    <w:rsid w:val="00071EA4"/>
    <w:rsid w:val="0007293B"/>
    <w:rsid w:val="0007604F"/>
    <w:rsid w:val="00077DAF"/>
    <w:rsid w:val="00081817"/>
    <w:rsid w:val="00082349"/>
    <w:rsid w:val="00082551"/>
    <w:rsid w:val="000846EC"/>
    <w:rsid w:val="0009127C"/>
    <w:rsid w:val="00094F01"/>
    <w:rsid w:val="00094F40"/>
    <w:rsid w:val="00096388"/>
    <w:rsid w:val="000963FF"/>
    <w:rsid w:val="000A17B7"/>
    <w:rsid w:val="000A5369"/>
    <w:rsid w:val="000A5879"/>
    <w:rsid w:val="000A58E2"/>
    <w:rsid w:val="000A6856"/>
    <w:rsid w:val="000A74FD"/>
    <w:rsid w:val="000B0A61"/>
    <w:rsid w:val="000B43DC"/>
    <w:rsid w:val="000B609D"/>
    <w:rsid w:val="000B773C"/>
    <w:rsid w:val="000C4258"/>
    <w:rsid w:val="000D0E7C"/>
    <w:rsid w:val="000D223C"/>
    <w:rsid w:val="000D2327"/>
    <w:rsid w:val="000D29EC"/>
    <w:rsid w:val="000D7ABD"/>
    <w:rsid w:val="000E64BA"/>
    <w:rsid w:val="000E7241"/>
    <w:rsid w:val="000F3BF3"/>
    <w:rsid w:val="00100FB7"/>
    <w:rsid w:val="00101154"/>
    <w:rsid w:val="00103433"/>
    <w:rsid w:val="0010436E"/>
    <w:rsid w:val="00105146"/>
    <w:rsid w:val="00106892"/>
    <w:rsid w:val="001109D4"/>
    <w:rsid w:val="00112379"/>
    <w:rsid w:val="001123B3"/>
    <w:rsid w:val="00113756"/>
    <w:rsid w:val="00116D3A"/>
    <w:rsid w:val="00116E6C"/>
    <w:rsid w:val="00117DE8"/>
    <w:rsid w:val="00120DE0"/>
    <w:rsid w:val="001254C0"/>
    <w:rsid w:val="00125B5A"/>
    <w:rsid w:val="00126989"/>
    <w:rsid w:val="001277E3"/>
    <w:rsid w:val="00132274"/>
    <w:rsid w:val="00132EB3"/>
    <w:rsid w:val="00134783"/>
    <w:rsid w:val="00136249"/>
    <w:rsid w:val="00136A3B"/>
    <w:rsid w:val="00140353"/>
    <w:rsid w:val="00141F83"/>
    <w:rsid w:val="00143F18"/>
    <w:rsid w:val="0014748C"/>
    <w:rsid w:val="00163F1B"/>
    <w:rsid w:val="00164245"/>
    <w:rsid w:val="00164FB8"/>
    <w:rsid w:val="001662AD"/>
    <w:rsid w:val="00171816"/>
    <w:rsid w:val="00171AC7"/>
    <w:rsid w:val="00173923"/>
    <w:rsid w:val="00174E5B"/>
    <w:rsid w:val="00174EF1"/>
    <w:rsid w:val="001752A3"/>
    <w:rsid w:val="0018028C"/>
    <w:rsid w:val="00180911"/>
    <w:rsid w:val="00182218"/>
    <w:rsid w:val="001828EB"/>
    <w:rsid w:val="00183227"/>
    <w:rsid w:val="001851C5"/>
    <w:rsid w:val="001A52BF"/>
    <w:rsid w:val="001A5A36"/>
    <w:rsid w:val="001A5C72"/>
    <w:rsid w:val="001B0CAB"/>
    <w:rsid w:val="001B19D8"/>
    <w:rsid w:val="001C1219"/>
    <w:rsid w:val="001C2898"/>
    <w:rsid w:val="001C4C10"/>
    <w:rsid w:val="001C5730"/>
    <w:rsid w:val="001C6B27"/>
    <w:rsid w:val="001C6DC4"/>
    <w:rsid w:val="001D1E69"/>
    <w:rsid w:val="001E3AA5"/>
    <w:rsid w:val="001F4725"/>
    <w:rsid w:val="001F76F1"/>
    <w:rsid w:val="0020530A"/>
    <w:rsid w:val="00206444"/>
    <w:rsid w:val="00210C2A"/>
    <w:rsid w:val="002115CC"/>
    <w:rsid w:val="002137E2"/>
    <w:rsid w:val="00213B20"/>
    <w:rsid w:val="00221372"/>
    <w:rsid w:val="00221B59"/>
    <w:rsid w:val="00223416"/>
    <w:rsid w:val="002264AA"/>
    <w:rsid w:val="002310E6"/>
    <w:rsid w:val="00234AB0"/>
    <w:rsid w:val="0024025A"/>
    <w:rsid w:val="002407FE"/>
    <w:rsid w:val="00241ED6"/>
    <w:rsid w:val="00244464"/>
    <w:rsid w:val="00244761"/>
    <w:rsid w:val="00245D35"/>
    <w:rsid w:val="00246516"/>
    <w:rsid w:val="00256CBC"/>
    <w:rsid w:val="002629C2"/>
    <w:rsid w:val="002632DE"/>
    <w:rsid w:val="002633B7"/>
    <w:rsid w:val="00270A0C"/>
    <w:rsid w:val="002713D9"/>
    <w:rsid w:val="002726DF"/>
    <w:rsid w:val="0027333D"/>
    <w:rsid w:val="002749ED"/>
    <w:rsid w:val="00274A37"/>
    <w:rsid w:val="00275373"/>
    <w:rsid w:val="00277833"/>
    <w:rsid w:val="00281C82"/>
    <w:rsid w:val="00290376"/>
    <w:rsid w:val="002910E9"/>
    <w:rsid w:val="00292646"/>
    <w:rsid w:val="002932A1"/>
    <w:rsid w:val="00293E74"/>
    <w:rsid w:val="002941F4"/>
    <w:rsid w:val="002A41D5"/>
    <w:rsid w:val="002A5E8E"/>
    <w:rsid w:val="002A5EDA"/>
    <w:rsid w:val="002B0986"/>
    <w:rsid w:val="002B0EC6"/>
    <w:rsid w:val="002B2BC2"/>
    <w:rsid w:val="002B7BC0"/>
    <w:rsid w:val="002C249C"/>
    <w:rsid w:val="002C2A88"/>
    <w:rsid w:val="002C654B"/>
    <w:rsid w:val="002C7E97"/>
    <w:rsid w:val="002D161C"/>
    <w:rsid w:val="002D4810"/>
    <w:rsid w:val="002D602B"/>
    <w:rsid w:val="002D60DE"/>
    <w:rsid w:val="002D69F5"/>
    <w:rsid w:val="002D7AAC"/>
    <w:rsid w:val="002E20F5"/>
    <w:rsid w:val="002E2D6C"/>
    <w:rsid w:val="002F0265"/>
    <w:rsid w:val="002F273F"/>
    <w:rsid w:val="002F5A23"/>
    <w:rsid w:val="003017A7"/>
    <w:rsid w:val="0030309E"/>
    <w:rsid w:val="0031160F"/>
    <w:rsid w:val="00312019"/>
    <w:rsid w:val="00316A4E"/>
    <w:rsid w:val="0031756E"/>
    <w:rsid w:val="003219A5"/>
    <w:rsid w:val="00322B99"/>
    <w:rsid w:val="0032623B"/>
    <w:rsid w:val="0032749B"/>
    <w:rsid w:val="003338A1"/>
    <w:rsid w:val="00334568"/>
    <w:rsid w:val="00335037"/>
    <w:rsid w:val="00337232"/>
    <w:rsid w:val="00337761"/>
    <w:rsid w:val="0034225E"/>
    <w:rsid w:val="00345388"/>
    <w:rsid w:val="003475A7"/>
    <w:rsid w:val="00350008"/>
    <w:rsid w:val="00350D24"/>
    <w:rsid w:val="003518F1"/>
    <w:rsid w:val="00354F44"/>
    <w:rsid w:val="00363A31"/>
    <w:rsid w:val="00364CA4"/>
    <w:rsid w:val="00365E41"/>
    <w:rsid w:val="00366D14"/>
    <w:rsid w:val="00370EE6"/>
    <w:rsid w:val="003711B6"/>
    <w:rsid w:val="00374679"/>
    <w:rsid w:val="0039042B"/>
    <w:rsid w:val="00392310"/>
    <w:rsid w:val="003A0346"/>
    <w:rsid w:val="003A0A09"/>
    <w:rsid w:val="003A3EE9"/>
    <w:rsid w:val="003A4BC5"/>
    <w:rsid w:val="003A6AD9"/>
    <w:rsid w:val="003B16F3"/>
    <w:rsid w:val="003B678A"/>
    <w:rsid w:val="003C0C47"/>
    <w:rsid w:val="003C23EA"/>
    <w:rsid w:val="003D0B0D"/>
    <w:rsid w:val="003D18B3"/>
    <w:rsid w:val="003E6CF9"/>
    <w:rsid w:val="003F018A"/>
    <w:rsid w:val="003F1AE1"/>
    <w:rsid w:val="00402CC2"/>
    <w:rsid w:val="00407621"/>
    <w:rsid w:val="004104ED"/>
    <w:rsid w:val="00411AE3"/>
    <w:rsid w:val="00413163"/>
    <w:rsid w:val="004135E4"/>
    <w:rsid w:val="00413F12"/>
    <w:rsid w:val="00415E89"/>
    <w:rsid w:val="00416724"/>
    <w:rsid w:val="00416AA0"/>
    <w:rsid w:val="00421CAC"/>
    <w:rsid w:val="00422D27"/>
    <w:rsid w:val="00423D13"/>
    <w:rsid w:val="00425B10"/>
    <w:rsid w:val="00431FE2"/>
    <w:rsid w:val="0043477D"/>
    <w:rsid w:val="004401A3"/>
    <w:rsid w:val="004422C1"/>
    <w:rsid w:val="00442931"/>
    <w:rsid w:val="00443C58"/>
    <w:rsid w:val="00446484"/>
    <w:rsid w:val="0044659F"/>
    <w:rsid w:val="004466E4"/>
    <w:rsid w:val="0044774A"/>
    <w:rsid w:val="00450FAA"/>
    <w:rsid w:val="004511AD"/>
    <w:rsid w:val="004549D0"/>
    <w:rsid w:val="00455D77"/>
    <w:rsid w:val="00455F69"/>
    <w:rsid w:val="00456D1D"/>
    <w:rsid w:val="00460EFB"/>
    <w:rsid w:val="00461E2E"/>
    <w:rsid w:val="00462A84"/>
    <w:rsid w:val="0046364D"/>
    <w:rsid w:val="00465538"/>
    <w:rsid w:val="00474BB3"/>
    <w:rsid w:val="00474CEB"/>
    <w:rsid w:val="00474D7F"/>
    <w:rsid w:val="00474F28"/>
    <w:rsid w:val="004777AC"/>
    <w:rsid w:val="004969DE"/>
    <w:rsid w:val="004973D8"/>
    <w:rsid w:val="004A0EBC"/>
    <w:rsid w:val="004A2C50"/>
    <w:rsid w:val="004A394E"/>
    <w:rsid w:val="004A4CAE"/>
    <w:rsid w:val="004A7ECB"/>
    <w:rsid w:val="004B3878"/>
    <w:rsid w:val="004C17CA"/>
    <w:rsid w:val="004C1E59"/>
    <w:rsid w:val="004C1E78"/>
    <w:rsid w:val="004C27FC"/>
    <w:rsid w:val="004C2DA2"/>
    <w:rsid w:val="004C39BB"/>
    <w:rsid w:val="004C4573"/>
    <w:rsid w:val="004C57EA"/>
    <w:rsid w:val="004C75C7"/>
    <w:rsid w:val="004D0004"/>
    <w:rsid w:val="004D019D"/>
    <w:rsid w:val="004D2728"/>
    <w:rsid w:val="004D7CC8"/>
    <w:rsid w:val="004E073A"/>
    <w:rsid w:val="004F2D71"/>
    <w:rsid w:val="004F3751"/>
    <w:rsid w:val="004F605B"/>
    <w:rsid w:val="00502286"/>
    <w:rsid w:val="005022F8"/>
    <w:rsid w:val="00502D46"/>
    <w:rsid w:val="00503F25"/>
    <w:rsid w:val="00506085"/>
    <w:rsid w:val="00507B3C"/>
    <w:rsid w:val="005100A3"/>
    <w:rsid w:val="00511404"/>
    <w:rsid w:val="00511DA7"/>
    <w:rsid w:val="00513820"/>
    <w:rsid w:val="00526844"/>
    <w:rsid w:val="0053174A"/>
    <w:rsid w:val="00532440"/>
    <w:rsid w:val="0053397E"/>
    <w:rsid w:val="005341CB"/>
    <w:rsid w:val="00534AAB"/>
    <w:rsid w:val="00535C9E"/>
    <w:rsid w:val="00543F76"/>
    <w:rsid w:val="00550615"/>
    <w:rsid w:val="005511E6"/>
    <w:rsid w:val="0055128B"/>
    <w:rsid w:val="00551555"/>
    <w:rsid w:val="0055486F"/>
    <w:rsid w:val="0056155E"/>
    <w:rsid w:val="00563647"/>
    <w:rsid w:val="00566820"/>
    <w:rsid w:val="00566FB6"/>
    <w:rsid w:val="005715D1"/>
    <w:rsid w:val="00573AD1"/>
    <w:rsid w:val="0057536C"/>
    <w:rsid w:val="005764D3"/>
    <w:rsid w:val="00581321"/>
    <w:rsid w:val="0058391D"/>
    <w:rsid w:val="0058782D"/>
    <w:rsid w:val="00595B8E"/>
    <w:rsid w:val="005A171A"/>
    <w:rsid w:val="005A3C1C"/>
    <w:rsid w:val="005A427A"/>
    <w:rsid w:val="005A4790"/>
    <w:rsid w:val="005A7E6C"/>
    <w:rsid w:val="005B33AF"/>
    <w:rsid w:val="005B5582"/>
    <w:rsid w:val="005B58BE"/>
    <w:rsid w:val="005B6EB0"/>
    <w:rsid w:val="005C0AA4"/>
    <w:rsid w:val="005C1331"/>
    <w:rsid w:val="005C1B38"/>
    <w:rsid w:val="005C385B"/>
    <w:rsid w:val="005C40A3"/>
    <w:rsid w:val="005C4A3B"/>
    <w:rsid w:val="005C7F55"/>
    <w:rsid w:val="005D6FFF"/>
    <w:rsid w:val="005E11B8"/>
    <w:rsid w:val="005E2BEF"/>
    <w:rsid w:val="005E46BC"/>
    <w:rsid w:val="005E5055"/>
    <w:rsid w:val="005F06D4"/>
    <w:rsid w:val="005F080A"/>
    <w:rsid w:val="005F2181"/>
    <w:rsid w:val="005F2469"/>
    <w:rsid w:val="005F46D2"/>
    <w:rsid w:val="0060084B"/>
    <w:rsid w:val="00600EEC"/>
    <w:rsid w:val="00601EB3"/>
    <w:rsid w:val="00606691"/>
    <w:rsid w:val="006222E6"/>
    <w:rsid w:val="00623E25"/>
    <w:rsid w:val="006242F7"/>
    <w:rsid w:val="00630B2A"/>
    <w:rsid w:val="006319A8"/>
    <w:rsid w:val="00633E3A"/>
    <w:rsid w:val="00635499"/>
    <w:rsid w:val="00643F89"/>
    <w:rsid w:val="00651677"/>
    <w:rsid w:val="00652B5F"/>
    <w:rsid w:val="0065323B"/>
    <w:rsid w:val="006574F8"/>
    <w:rsid w:val="006635C4"/>
    <w:rsid w:val="00663B2C"/>
    <w:rsid w:val="00664FB0"/>
    <w:rsid w:val="00674522"/>
    <w:rsid w:val="006752AB"/>
    <w:rsid w:val="00682464"/>
    <w:rsid w:val="0068630B"/>
    <w:rsid w:val="00686773"/>
    <w:rsid w:val="00691AD0"/>
    <w:rsid w:val="00692A78"/>
    <w:rsid w:val="006946AA"/>
    <w:rsid w:val="006A2B20"/>
    <w:rsid w:val="006A4AF2"/>
    <w:rsid w:val="006A4C78"/>
    <w:rsid w:val="006A52E0"/>
    <w:rsid w:val="006A6F3C"/>
    <w:rsid w:val="006B12B3"/>
    <w:rsid w:val="006B2BE6"/>
    <w:rsid w:val="006B406A"/>
    <w:rsid w:val="006B67B7"/>
    <w:rsid w:val="006C06B4"/>
    <w:rsid w:val="006C1C0E"/>
    <w:rsid w:val="006C21D6"/>
    <w:rsid w:val="006C2623"/>
    <w:rsid w:val="006C69C5"/>
    <w:rsid w:val="006D42A9"/>
    <w:rsid w:val="006D59F1"/>
    <w:rsid w:val="006E18AA"/>
    <w:rsid w:val="006E1980"/>
    <w:rsid w:val="006E1B92"/>
    <w:rsid w:val="006E417F"/>
    <w:rsid w:val="006F05CE"/>
    <w:rsid w:val="006F3FA6"/>
    <w:rsid w:val="006F73B1"/>
    <w:rsid w:val="006F7BF9"/>
    <w:rsid w:val="0070033E"/>
    <w:rsid w:val="007016BF"/>
    <w:rsid w:val="007021A0"/>
    <w:rsid w:val="00702A79"/>
    <w:rsid w:val="00702C6E"/>
    <w:rsid w:val="00704870"/>
    <w:rsid w:val="00704D68"/>
    <w:rsid w:val="00705E75"/>
    <w:rsid w:val="007072C2"/>
    <w:rsid w:val="0070751F"/>
    <w:rsid w:val="00714E06"/>
    <w:rsid w:val="00716695"/>
    <w:rsid w:val="00717633"/>
    <w:rsid w:val="00720519"/>
    <w:rsid w:val="00722173"/>
    <w:rsid w:val="007237CE"/>
    <w:rsid w:val="00727BEB"/>
    <w:rsid w:val="00727C04"/>
    <w:rsid w:val="00730C0E"/>
    <w:rsid w:val="00731B59"/>
    <w:rsid w:val="00732192"/>
    <w:rsid w:val="00732776"/>
    <w:rsid w:val="0073572A"/>
    <w:rsid w:val="00736485"/>
    <w:rsid w:val="00741124"/>
    <w:rsid w:val="00741968"/>
    <w:rsid w:val="007455B6"/>
    <w:rsid w:val="00746AA1"/>
    <w:rsid w:val="0075192F"/>
    <w:rsid w:val="007523BE"/>
    <w:rsid w:val="0076447D"/>
    <w:rsid w:val="007737B9"/>
    <w:rsid w:val="007743C4"/>
    <w:rsid w:val="0078004C"/>
    <w:rsid w:val="00781814"/>
    <w:rsid w:val="007821B2"/>
    <w:rsid w:val="0078647E"/>
    <w:rsid w:val="00790C13"/>
    <w:rsid w:val="0079243B"/>
    <w:rsid w:val="00792DD2"/>
    <w:rsid w:val="007933A1"/>
    <w:rsid w:val="007946A0"/>
    <w:rsid w:val="007A5C4A"/>
    <w:rsid w:val="007A72BE"/>
    <w:rsid w:val="007B1FC6"/>
    <w:rsid w:val="007B43C9"/>
    <w:rsid w:val="007B4627"/>
    <w:rsid w:val="007B570F"/>
    <w:rsid w:val="007B6540"/>
    <w:rsid w:val="007B76EC"/>
    <w:rsid w:val="007C0C51"/>
    <w:rsid w:val="007C0EA0"/>
    <w:rsid w:val="007C56EE"/>
    <w:rsid w:val="007D4640"/>
    <w:rsid w:val="007D4C43"/>
    <w:rsid w:val="007E0E61"/>
    <w:rsid w:val="007E49F6"/>
    <w:rsid w:val="007E7623"/>
    <w:rsid w:val="007F1797"/>
    <w:rsid w:val="007F2866"/>
    <w:rsid w:val="007F6CCE"/>
    <w:rsid w:val="00803192"/>
    <w:rsid w:val="0080333B"/>
    <w:rsid w:val="008034E4"/>
    <w:rsid w:val="00806D6E"/>
    <w:rsid w:val="00812B86"/>
    <w:rsid w:val="00813AFA"/>
    <w:rsid w:val="00814A9F"/>
    <w:rsid w:val="008157FC"/>
    <w:rsid w:val="00815A2B"/>
    <w:rsid w:val="00816D5A"/>
    <w:rsid w:val="00820892"/>
    <w:rsid w:val="00822259"/>
    <w:rsid w:val="00825D5E"/>
    <w:rsid w:val="00826D25"/>
    <w:rsid w:val="00835A7C"/>
    <w:rsid w:val="00836A1B"/>
    <w:rsid w:val="0084293A"/>
    <w:rsid w:val="00844EF8"/>
    <w:rsid w:val="00845C72"/>
    <w:rsid w:val="008475BC"/>
    <w:rsid w:val="00847AFF"/>
    <w:rsid w:val="00847C3F"/>
    <w:rsid w:val="00852F8B"/>
    <w:rsid w:val="008562A4"/>
    <w:rsid w:val="00863E1C"/>
    <w:rsid w:val="00864760"/>
    <w:rsid w:val="00871A26"/>
    <w:rsid w:val="00883D42"/>
    <w:rsid w:val="0088506B"/>
    <w:rsid w:val="0089327A"/>
    <w:rsid w:val="00895201"/>
    <w:rsid w:val="008A13EF"/>
    <w:rsid w:val="008A1A45"/>
    <w:rsid w:val="008A2B24"/>
    <w:rsid w:val="008B17CB"/>
    <w:rsid w:val="008B199E"/>
    <w:rsid w:val="008B460B"/>
    <w:rsid w:val="008B6696"/>
    <w:rsid w:val="008C175B"/>
    <w:rsid w:val="008C2CC0"/>
    <w:rsid w:val="008C4AE6"/>
    <w:rsid w:val="008C5CCB"/>
    <w:rsid w:val="008C6760"/>
    <w:rsid w:val="008D5905"/>
    <w:rsid w:val="008E1538"/>
    <w:rsid w:val="008E189B"/>
    <w:rsid w:val="008E246B"/>
    <w:rsid w:val="008E2BFB"/>
    <w:rsid w:val="008E6C37"/>
    <w:rsid w:val="008E7556"/>
    <w:rsid w:val="008E76FF"/>
    <w:rsid w:val="008F3177"/>
    <w:rsid w:val="008F70F5"/>
    <w:rsid w:val="008F7B36"/>
    <w:rsid w:val="008F7B85"/>
    <w:rsid w:val="00900C17"/>
    <w:rsid w:val="009027A1"/>
    <w:rsid w:val="009027BF"/>
    <w:rsid w:val="00907CB2"/>
    <w:rsid w:val="009138E1"/>
    <w:rsid w:val="009165E5"/>
    <w:rsid w:val="009204B8"/>
    <w:rsid w:val="00921047"/>
    <w:rsid w:val="00924D44"/>
    <w:rsid w:val="00925922"/>
    <w:rsid w:val="0092631A"/>
    <w:rsid w:val="00926542"/>
    <w:rsid w:val="0092787D"/>
    <w:rsid w:val="00927CB6"/>
    <w:rsid w:val="00931F4C"/>
    <w:rsid w:val="00932A6C"/>
    <w:rsid w:val="0093589A"/>
    <w:rsid w:val="00941380"/>
    <w:rsid w:val="00943C49"/>
    <w:rsid w:val="00943D37"/>
    <w:rsid w:val="00943E94"/>
    <w:rsid w:val="0095733F"/>
    <w:rsid w:val="00957AB8"/>
    <w:rsid w:val="00960BBD"/>
    <w:rsid w:val="0096570B"/>
    <w:rsid w:val="00966FCC"/>
    <w:rsid w:val="00971A60"/>
    <w:rsid w:val="00973A33"/>
    <w:rsid w:val="00974551"/>
    <w:rsid w:val="00983C09"/>
    <w:rsid w:val="0098523C"/>
    <w:rsid w:val="00986394"/>
    <w:rsid w:val="0099005D"/>
    <w:rsid w:val="00990D6F"/>
    <w:rsid w:val="0099139F"/>
    <w:rsid w:val="00997B6B"/>
    <w:rsid w:val="00997BBD"/>
    <w:rsid w:val="00997C6B"/>
    <w:rsid w:val="009A2BDB"/>
    <w:rsid w:val="009A6271"/>
    <w:rsid w:val="009A64A5"/>
    <w:rsid w:val="009B1061"/>
    <w:rsid w:val="009B4AA2"/>
    <w:rsid w:val="009B5973"/>
    <w:rsid w:val="009B7165"/>
    <w:rsid w:val="009C04F4"/>
    <w:rsid w:val="009C0B5A"/>
    <w:rsid w:val="009C1A3F"/>
    <w:rsid w:val="009C4384"/>
    <w:rsid w:val="009C50BB"/>
    <w:rsid w:val="009C5485"/>
    <w:rsid w:val="009D0B5E"/>
    <w:rsid w:val="009D11B8"/>
    <w:rsid w:val="009D2D7D"/>
    <w:rsid w:val="009D338A"/>
    <w:rsid w:val="009D36B6"/>
    <w:rsid w:val="009D5F85"/>
    <w:rsid w:val="009E0AD4"/>
    <w:rsid w:val="009E1DF1"/>
    <w:rsid w:val="009E2DA5"/>
    <w:rsid w:val="009E389F"/>
    <w:rsid w:val="009E52FD"/>
    <w:rsid w:val="009E5989"/>
    <w:rsid w:val="009E68F0"/>
    <w:rsid w:val="009E7DE3"/>
    <w:rsid w:val="009F518A"/>
    <w:rsid w:val="009F68B1"/>
    <w:rsid w:val="00A02A37"/>
    <w:rsid w:val="00A02E16"/>
    <w:rsid w:val="00A0474F"/>
    <w:rsid w:val="00A05166"/>
    <w:rsid w:val="00A055EA"/>
    <w:rsid w:val="00A0744B"/>
    <w:rsid w:val="00A10051"/>
    <w:rsid w:val="00A113FC"/>
    <w:rsid w:val="00A11C23"/>
    <w:rsid w:val="00A21224"/>
    <w:rsid w:val="00A2270E"/>
    <w:rsid w:val="00A30CC8"/>
    <w:rsid w:val="00A34FDF"/>
    <w:rsid w:val="00A36193"/>
    <w:rsid w:val="00A37AC2"/>
    <w:rsid w:val="00A422F1"/>
    <w:rsid w:val="00A525EA"/>
    <w:rsid w:val="00A57249"/>
    <w:rsid w:val="00A60105"/>
    <w:rsid w:val="00A62910"/>
    <w:rsid w:val="00A64085"/>
    <w:rsid w:val="00A64ABE"/>
    <w:rsid w:val="00A719E4"/>
    <w:rsid w:val="00A7584E"/>
    <w:rsid w:val="00A762D1"/>
    <w:rsid w:val="00A8080D"/>
    <w:rsid w:val="00A85814"/>
    <w:rsid w:val="00A879F6"/>
    <w:rsid w:val="00A927CC"/>
    <w:rsid w:val="00A92AD4"/>
    <w:rsid w:val="00A92D64"/>
    <w:rsid w:val="00A931C5"/>
    <w:rsid w:val="00A94E28"/>
    <w:rsid w:val="00AA0E54"/>
    <w:rsid w:val="00AA1831"/>
    <w:rsid w:val="00AA1E47"/>
    <w:rsid w:val="00AA4A0A"/>
    <w:rsid w:val="00AA7CF7"/>
    <w:rsid w:val="00AB6086"/>
    <w:rsid w:val="00AB6A01"/>
    <w:rsid w:val="00AC09A1"/>
    <w:rsid w:val="00AC1A1E"/>
    <w:rsid w:val="00AC25B4"/>
    <w:rsid w:val="00AD3B24"/>
    <w:rsid w:val="00AD4C75"/>
    <w:rsid w:val="00AD58AA"/>
    <w:rsid w:val="00AD6000"/>
    <w:rsid w:val="00AD67C3"/>
    <w:rsid w:val="00AD6B60"/>
    <w:rsid w:val="00AE0940"/>
    <w:rsid w:val="00AE1524"/>
    <w:rsid w:val="00AE43FA"/>
    <w:rsid w:val="00AE7BA9"/>
    <w:rsid w:val="00AE7FF6"/>
    <w:rsid w:val="00AF3D92"/>
    <w:rsid w:val="00AF5ACA"/>
    <w:rsid w:val="00AF6565"/>
    <w:rsid w:val="00AF666E"/>
    <w:rsid w:val="00AF6F58"/>
    <w:rsid w:val="00B00CDE"/>
    <w:rsid w:val="00B11A28"/>
    <w:rsid w:val="00B123E7"/>
    <w:rsid w:val="00B1421C"/>
    <w:rsid w:val="00B15BDE"/>
    <w:rsid w:val="00B222A6"/>
    <w:rsid w:val="00B22472"/>
    <w:rsid w:val="00B22933"/>
    <w:rsid w:val="00B246C1"/>
    <w:rsid w:val="00B26C42"/>
    <w:rsid w:val="00B31A74"/>
    <w:rsid w:val="00B32754"/>
    <w:rsid w:val="00B33849"/>
    <w:rsid w:val="00B37BD0"/>
    <w:rsid w:val="00B37DDB"/>
    <w:rsid w:val="00B40F71"/>
    <w:rsid w:val="00B418F0"/>
    <w:rsid w:val="00B45850"/>
    <w:rsid w:val="00B45FBA"/>
    <w:rsid w:val="00B51C9C"/>
    <w:rsid w:val="00B529A8"/>
    <w:rsid w:val="00B52A9F"/>
    <w:rsid w:val="00B555E5"/>
    <w:rsid w:val="00B559A3"/>
    <w:rsid w:val="00B55C02"/>
    <w:rsid w:val="00B60626"/>
    <w:rsid w:val="00B607AB"/>
    <w:rsid w:val="00B6377C"/>
    <w:rsid w:val="00B64417"/>
    <w:rsid w:val="00B644B8"/>
    <w:rsid w:val="00B651B3"/>
    <w:rsid w:val="00B659E5"/>
    <w:rsid w:val="00B670AC"/>
    <w:rsid w:val="00B71633"/>
    <w:rsid w:val="00B734E1"/>
    <w:rsid w:val="00B7797E"/>
    <w:rsid w:val="00B853DC"/>
    <w:rsid w:val="00B85467"/>
    <w:rsid w:val="00B85DA8"/>
    <w:rsid w:val="00B87599"/>
    <w:rsid w:val="00B9062B"/>
    <w:rsid w:val="00B90BC3"/>
    <w:rsid w:val="00B949AE"/>
    <w:rsid w:val="00B9681C"/>
    <w:rsid w:val="00B97B4D"/>
    <w:rsid w:val="00BA157C"/>
    <w:rsid w:val="00BA3205"/>
    <w:rsid w:val="00BA446F"/>
    <w:rsid w:val="00BA4C78"/>
    <w:rsid w:val="00BA66C3"/>
    <w:rsid w:val="00BA73F6"/>
    <w:rsid w:val="00BB211E"/>
    <w:rsid w:val="00BB212C"/>
    <w:rsid w:val="00BB2769"/>
    <w:rsid w:val="00BB2DB5"/>
    <w:rsid w:val="00BB3B5B"/>
    <w:rsid w:val="00BB47EF"/>
    <w:rsid w:val="00BB7431"/>
    <w:rsid w:val="00BB7D88"/>
    <w:rsid w:val="00BC012B"/>
    <w:rsid w:val="00BC6984"/>
    <w:rsid w:val="00BC6CE8"/>
    <w:rsid w:val="00BC7406"/>
    <w:rsid w:val="00BD0664"/>
    <w:rsid w:val="00BD0FB5"/>
    <w:rsid w:val="00BD3A3D"/>
    <w:rsid w:val="00BD56DD"/>
    <w:rsid w:val="00BD6362"/>
    <w:rsid w:val="00BE1B08"/>
    <w:rsid w:val="00BE4D98"/>
    <w:rsid w:val="00BE501C"/>
    <w:rsid w:val="00BE646C"/>
    <w:rsid w:val="00BF1090"/>
    <w:rsid w:val="00BF15C0"/>
    <w:rsid w:val="00BF2A1E"/>
    <w:rsid w:val="00BF49E9"/>
    <w:rsid w:val="00C0232E"/>
    <w:rsid w:val="00C038CF"/>
    <w:rsid w:val="00C04DF9"/>
    <w:rsid w:val="00C10A1C"/>
    <w:rsid w:val="00C118B1"/>
    <w:rsid w:val="00C11C7A"/>
    <w:rsid w:val="00C13237"/>
    <w:rsid w:val="00C140BA"/>
    <w:rsid w:val="00C16473"/>
    <w:rsid w:val="00C21412"/>
    <w:rsid w:val="00C225EA"/>
    <w:rsid w:val="00C233FD"/>
    <w:rsid w:val="00C25B32"/>
    <w:rsid w:val="00C25D36"/>
    <w:rsid w:val="00C25D95"/>
    <w:rsid w:val="00C30B8F"/>
    <w:rsid w:val="00C320A4"/>
    <w:rsid w:val="00C347AF"/>
    <w:rsid w:val="00C35433"/>
    <w:rsid w:val="00C36D80"/>
    <w:rsid w:val="00C447C1"/>
    <w:rsid w:val="00C45E19"/>
    <w:rsid w:val="00C50357"/>
    <w:rsid w:val="00C534F0"/>
    <w:rsid w:val="00C62A4A"/>
    <w:rsid w:val="00C64189"/>
    <w:rsid w:val="00C655C5"/>
    <w:rsid w:val="00C66D12"/>
    <w:rsid w:val="00C67634"/>
    <w:rsid w:val="00C676E7"/>
    <w:rsid w:val="00C7429F"/>
    <w:rsid w:val="00C76108"/>
    <w:rsid w:val="00C76135"/>
    <w:rsid w:val="00C82970"/>
    <w:rsid w:val="00C840C7"/>
    <w:rsid w:val="00C842DA"/>
    <w:rsid w:val="00C90099"/>
    <w:rsid w:val="00C91263"/>
    <w:rsid w:val="00C923BD"/>
    <w:rsid w:val="00C948E3"/>
    <w:rsid w:val="00C94A59"/>
    <w:rsid w:val="00C95694"/>
    <w:rsid w:val="00CA4420"/>
    <w:rsid w:val="00CA6204"/>
    <w:rsid w:val="00CA774D"/>
    <w:rsid w:val="00CB6397"/>
    <w:rsid w:val="00CB7382"/>
    <w:rsid w:val="00CC352C"/>
    <w:rsid w:val="00CC47CB"/>
    <w:rsid w:val="00CC5D77"/>
    <w:rsid w:val="00CC5FE1"/>
    <w:rsid w:val="00CD03F9"/>
    <w:rsid w:val="00CD13A1"/>
    <w:rsid w:val="00CD5066"/>
    <w:rsid w:val="00CD675C"/>
    <w:rsid w:val="00CD6C80"/>
    <w:rsid w:val="00CE1111"/>
    <w:rsid w:val="00CE3A25"/>
    <w:rsid w:val="00CE3BE3"/>
    <w:rsid w:val="00CF1C2D"/>
    <w:rsid w:val="00CF4533"/>
    <w:rsid w:val="00CF4C2C"/>
    <w:rsid w:val="00D004CF"/>
    <w:rsid w:val="00D00C24"/>
    <w:rsid w:val="00D0244F"/>
    <w:rsid w:val="00D20523"/>
    <w:rsid w:val="00D20834"/>
    <w:rsid w:val="00D21270"/>
    <w:rsid w:val="00D21866"/>
    <w:rsid w:val="00D2384F"/>
    <w:rsid w:val="00D27407"/>
    <w:rsid w:val="00D305D4"/>
    <w:rsid w:val="00D310AF"/>
    <w:rsid w:val="00D330DE"/>
    <w:rsid w:val="00D33119"/>
    <w:rsid w:val="00D3704D"/>
    <w:rsid w:val="00D37F0C"/>
    <w:rsid w:val="00D44DCC"/>
    <w:rsid w:val="00D51919"/>
    <w:rsid w:val="00D5243A"/>
    <w:rsid w:val="00D54F98"/>
    <w:rsid w:val="00D57055"/>
    <w:rsid w:val="00D6046F"/>
    <w:rsid w:val="00D654EC"/>
    <w:rsid w:val="00D66C56"/>
    <w:rsid w:val="00D74783"/>
    <w:rsid w:val="00D75691"/>
    <w:rsid w:val="00D756AE"/>
    <w:rsid w:val="00D7611B"/>
    <w:rsid w:val="00D768E1"/>
    <w:rsid w:val="00D81AA7"/>
    <w:rsid w:val="00D84CE9"/>
    <w:rsid w:val="00D9280E"/>
    <w:rsid w:val="00D92AB4"/>
    <w:rsid w:val="00D934AE"/>
    <w:rsid w:val="00D95CA3"/>
    <w:rsid w:val="00DA1279"/>
    <w:rsid w:val="00DA2DE9"/>
    <w:rsid w:val="00DA3D9B"/>
    <w:rsid w:val="00DA48B4"/>
    <w:rsid w:val="00DA5FA0"/>
    <w:rsid w:val="00DA6B6B"/>
    <w:rsid w:val="00DA6D7F"/>
    <w:rsid w:val="00DA72F8"/>
    <w:rsid w:val="00DB0B87"/>
    <w:rsid w:val="00DB3DA2"/>
    <w:rsid w:val="00DC14AC"/>
    <w:rsid w:val="00DC1EC0"/>
    <w:rsid w:val="00DC3E35"/>
    <w:rsid w:val="00DC6488"/>
    <w:rsid w:val="00DC7993"/>
    <w:rsid w:val="00DD10A5"/>
    <w:rsid w:val="00DD1D4E"/>
    <w:rsid w:val="00DD2DE3"/>
    <w:rsid w:val="00DD3F2F"/>
    <w:rsid w:val="00DD5274"/>
    <w:rsid w:val="00DD553E"/>
    <w:rsid w:val="00DE1202"/>
    <w:rsid w:val="00DE1483"/>
    <w:rsid w:val="00DE56A1"/>
    <w:rsid w:val="00DE5FE9"/>
    <w:rsid w:val="00DF0E3E"/>
    <w:rsid w:val="00DF172E"/>
    <w:rsid w:val="00DF1884"/>
    <w:rsid w:val="00E021F2"/>
    <w:rsid w:val="00E05343"/>
    <w:rsid w:val="00E120D2"/>
    <w:rsid w:val="00E17720"/>
    <w:rsid w:val="00E22801"/>
    <w:rsid w:val="00E23AE5"/>
    <w:rsid w:val="00E23BF8"/>
    <w:rsid w:val="00E24717"/>
    <w:rsid w:val="00E272B5"/>
    <w:rsid w:val="00E3771B"/>
    <w:rsid w:val="00E41DBA"/>
    <w:rsid w:val="00E425C7"/>
    <w:rsid w:val="00E47B24"/>
    <w:rsid w:val="00E54075"/>
    <w:rsid w:val="00E542BE"/>
    <w:rsid w:val="00E5553B"/>
    <w:rsid w:val="00E573F5"/>
    <w:rsid w:val="00E61491"/>
    <w:rsid w:val="00E62CC4"/>
    <w:rsid w:val="00E6580D"/>
    <w:rsid w:val="00E67912"/>
    <w:rsid w:val="00E67C52"/>
    <w:rsid w:val="00E73989"/>
    <w:rsid w:val="00E772E3"/>
    <w:rsid w:val="00E80235"/>
    <w:rsid w:val="00E83A63"/>
    <w:rsid w:val="00E8770E"/>
    <w:rsid w:val="00E9576D"/>
    <w:rsid w:val="00E9753B"/>
    <w:rsid w:val="00E97CB9"/>
    <w:rsid w:val="00EA09F5"/>
    <w:rsid w:val="00EA6A86"/>
    <w:rsid w:val="00EA759E"/>
    <w:rsid w:val="00EA7DC4"/>
    <w:rsid w:val="00EB20E8"/>
    <w:rsid w:val="00EB4E32"/>
    <w:rsid w:val="00EB6D8E"/>
    <w:rsid w:val="00EB7D20"/>
    <w:rsid w:val="00EC1D56"/>
    <w:rsid w:val="00EC2778"/>
    <w:rsid w:val="00EC4BAE"/>
    <w:rsid w:val="00ED1814"/>
    <w:rsid w:val="00ED5BD7"/>
    <w:rsid w:val="00EE0AB9"/>
    <w:rsid w:val="00EE4A7A"/>
    <w:rsid w:val="00EE62D5"/>
    <w:rsid w:val="00EF3B7D"/>
    <w:rsid w:val="00EF3B95"/>
    <w:rsid w:val="00EF4C21"/>
    <w:rsid w:val="00F0125C"/>
    <w:rsid w:val="00F019FE"/>
    <w:rsid w:val="00F01A7F"/>
    <w:rsid w:val="00F02620"/>
    <w:rsid w:val="00F02A88"/>
    <w:rsid w:val="00F05779"/>
    <w:rsid w:val="00F06CF7"/>
    <w:rsid w:val="00F07361"/>
    <w:rsid w:val="00F10609"/>
    <w:rsid w:val="00F20095"/>
    <w:rsid w:val="00F20482"/>
    <w:rsid w:val="00F22C6B"/>
    <w:rsid w:val="00F22DF9"/>
    <w:rsid w:val="00F22E84"/>
    <w:rsid w:val="00F2417C"/>
    <w:rsid w:val="00F245B3"/>
    <w:rsid w:val="00F24DD6"/>
    <w:rsid w:val="00F26854"/>
    <w:rsid w:val="00F313A6"/>
    <w:rsid w:val="00F317EE"/>
    <w:rsid w:val="00F32670"/>
    <w:rsid w:val="00F355CA"/>
    <w:rsid w:val="00F379F9"/>
    <w:rsid w:val="00F37F6E"/>
    <w:rsid w:val="00F37FC8"/>
    <w:rsid w:val="00F42686"/>
    <w:rsid w:val="00F439F1"/>
    <w:rsid w:val="00F43F0C"/>
    <w:rsid w:val="00F47543"/>
    <w:rsid w:val="00F51DE7"/>
    <w:rsid w:val="00F56F9A"/>
    <w:rsid w:val="00F575CB"/>
    <w:rsid w:val="00F61F13"/>
    <w:rsid w:val="00F6305A"/>
    <w:rsid w:val="00F6410B"/>
    <w:rsid w:val="00F668D8"/>
    <w:rsid w:val="00F670BC"/>
    <w:rsid w:val="00F67693"/>
    <w:rsid w:val="00F73CE5"/>
    <w:rsid w:val="00F7659E"/>
    <w:rsid w:val="00F80343"/>
    <w:rsid w:val="00F824C1"/>
    <w:rsid w:val="00F82D4A"/>
    <w:rsid w:val="00F83ABE"/>
    <w:rsid w:val="00F83CB5"/>
    <w:rsid w:val="00F8703D"/>
    <w:rsid w:val="00F87518"/>
    <w:rsid w:val="00F9176D"/>
    <w:rsid w:val="00F91AFD"/>
    <w:rsid w:val="00F95DD9"/>
    <w:rsid w:val="00F97B2F"/>
    <w:rsid w:val="00FA21B0"/>
    <w:rsid w:val="00FA2F78"/>
    <w:rsid w:val="00FA5F54"/>
    <w:rsid w:val="00FB2066"/>
    <w:rsid w:val="00FB20BD"/>
    <w:rsid w:val="00FB2E26"/>
    <w:rsid w:val="00FB4797"/>
    <w:rsid w:val="00FB739E"/>
    <w:rsid w:val="00FC0A2D"/>
    <w:rsid w:val="00FC1F8C"/>
    <w:rsid w:val="00FC2AFF"/>
    <w:rsid w:val="00FD064F"/>
    <w:rsid w:val="00FD1CCC"/>
    <w:rsid w:val="00FD6056"/>
    <w:rsid w:val="00FD6D96"/>
    <w:rsid w:val="00FD7484"/>
    <w:rsid w:val="00FE13FA"/>
    <w:rsid w:val="00FE33A7"/>
    <w:rsid w:val="00FE33B4"/>
    <w:rsid w:val="00FE5F79"/>
    <w:rsid w:val="00FE669E"/>
    <w:rsid w:val="00FE75A7"/>
    <w:rsid w:val="00FF0092"/>
    <w:rsid w:val="00FF0440"/>
    <w:rsid w:val="00FF11B5"/>
    <w:rsid w:val="00FF1DC1"/>
    <w:rsid w:val="00FF30CB"/>
    <w:rsid w:val="00FF5F86"/>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00CBF"/>
  <w15:docId w15:val="{993EED16-102B-4B71-BE56-FD3B44F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paragraph" w:styleId="4">
    <w:name w:val="heading 4"/>
    <w:basedOn w:val="a"/>
    <w:link w:val="40"/>
    <w:uiPriority w:val="9"/>
    <w:qFormat/>
    <w:rsid w:val="00DC7993"/>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 w:type="character" w:customStyle="1" w:styleId="40">
    <w:name w:val="标题 4 字符"/>
    <w:basedOn w:val="a0"/>
    <w:link w:val="4"/>
    <w:uiPriority w:val="9"/>
    <w:rsid w:val="00DC7993"/>
    <w:rPr>
      <w:rFonts w:ascii="宋体" w:eastAsia="宋体" w:hAnsi="宋体" w:cs="宋体"/>
      <w:b/>
      <w:bCs/>
      <w:kern w:val="0"/>
      <w:sz w:val="24"/>
      <w:szCs w:val="24"/>
    </w:rPr>
  </w:style>
  <w:style w:type="character" w:styleId="af1">
    <w:name w:val="Strong"/>
    <w:basedOn w:val="a0"/>
    <w:uiPriority w:val="22"/>
    <w:qFormat/>
    <w:rsid w:val="00DC7993"/>
    <w:rPr>
      <w:b/>
      <w:bCs/>
    </w:rPr>
  </w:style>
  <w:style w:type="paragraph" w:customStyle="1" w:styleId="ds-markdown-paragraph">
    <w:name w:val="ds-markdown-paragraph"/>
    <w:basedOn w:val="a"/>
    <w:rsid w:val="00DC799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3178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571624317">
      <w:bodyDiv w:val="1"/>
      <w:marLeft w:val="0"/>
      <w:marRight w:val="0"/>
      <w:marTop w:val="0"/>
      <w:marBottom w:val="0"/>
      <w:divBdr>
        <w:top w:val="none" w:sz="0" w:space="0" w:color="auto"/>
        <w:left w:val="none" w:sz="0" w:space="0" w:color="auto"/>
        <w:bottom w:val="none" w:sz="0" w:space="0" w:color="auto"/>
        <w:right w:val="none" w:sz="0" w:space="0" w:color="auto"/>
      </w:divBdr>
    </w:div>
    <w:div w:id="625157169">
      <w:bodyDiv w:val="1"/>
      <w:marLeft w:val="0"/>
      <w:marRight w:val="0"/>
      <w:marTop w:val="0"/>
      <w:marBottom w:val="0"/>
      <w:divBdr>
        <w:top w:val="none" w:sz="0" w:space="0" w:color="auto"/>
        <w:left w:val="none" w:sz="0" w:space="0" w:color="auto"/>
        <w:bottom w:val="none" w:sz="0" w:space="0" w:color="auto"/>
        <w:right w:val="none" w:sz="0" w:space="0" w:color="auto"/>
      </w:divBdr>
    </w:div>
    <w:div w:id="745565829">
      <w:bodyDiv w:val="1"/>
      <w:marLeft w:val="0"/>
      <w:marRight w:val="0"/>
      <w:marTop w:val="0"/>
      <w:marBottom w:val="0"/>
      <w:divBdr>
        <w:top w:val="none" w:sz="0" w:space="0" w:color="auto"/>
        <w:left w:val="none" w:sz="0" w:space="0" w:color="auto"/>
        <w:bottom w:val="none" w:sz="0" w:space="0" w:color="auto"/>
        <w:right w:val="none" w:sz="0" w:space="0" w:color="auto"/>
      </w:divBdr>
    </w:div>
    <w:div w:id="1122309547">
      <w:bodyDiv w:val="1"/>
      <w:marLeft w:val="0"/>
      <w:marRight w:val="0"/>
      <w:marTop w:val="0"/>
      <w:marBottom w:val="0"/>
      <w:divBdr>
        <w:top w:val="none" w:sz="0" w:space="0" w:color="auto"/>
        <w:left w:val="none" w:sz="0" w:space="0" w:color="auto"/>
        <w:bottom w:val="none" w:sz="0" w:space="0" w:color="auto"/>
        <w:right w:val="none" w:sz="0" w:space="0" w:color="auto"/>
      </w:divBdr>
    </w:div>
    <w:div w:id="1135026998">
      <w:bodyDiv w:val="1"/>
      <w:marLeft w:val="0"/>
      <w:marRight w:val="0"/>
      <w:marTop w:val="0"/>
      <w:marBottom w:val="0"/>
      <w:divBdr>
        <w:top w:val="none" w:sz="0" w:space="0" w:color="auto"/>
        <w:left w:val="none" w:sz="0" w:space="0" w:color="auto"/>
        <w:bottom w:val="none" w:sz="0" w:space="0" w:color="auto"/>
        <w:right w:val="none" w:sz="0" w:space="0" w:color="auto"/>
      </w:divBdr>
    </w:div>
    <w:div w:id="1177498576">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75037594">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15758953">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4F82-E27C-4F4F-91D9-5450B5B6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4</Pages>
  <Words>394</Words>
  <Characters>2246</Characters>
  <Application>Microsoft Office Word</Application>
  <DocSecurity>0</DocSecurity>
  <Lines>18</Lines>
  <Paragraphs>5</Paragraphs>
  <ScaleCrop>false</ScaleCrop>
  <Company>Microsoft</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yuanyuzhu</dc:creator>
  <cp:keywords/>
  <dc:description/>
  <cp:lastModifiedBy>潘莱</cp:lastModifiedBy>
  <cp:revision>74</cp:revision>
  <cp:lastPrinted>2026-04-18T07:01:00Z</cp:lastPrinted>
  <dcterms:created xsi:type="dcterms:W3CDTF">2025-08-26T08:35:00Z</dcterms:created>
  <dcterms:modified xsi:type="dcterms:W3CDTF">2026-04-20T09:05:00Z</dcterms:modified>
</cp:coreProperties>
</file>