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4466">
      <w:pPr>
        <w:keepNext/>
        <w:keepLines/>
        <w:spacing w:line="560" w:lineRule="exact"/>
        <w:outlineLvl w:val="1"/>
        <w:rPr>
          <w:rFonts w:hint="eastAsia" w:ascii="宋体" w:hAnsi="宋体" w:eastAsia="宋体" w:cs="宋体"/>
          <w:b/>
          <w:bCs/>
          <w:iCs/>
          <w:sz w:val="24"/>
          <w:szCs w:val="24"/>
        </w:rPr>
      </w:pPr>
      <w:r>
        <w:rPr>
          <w:rFonts w:hint="eastAsia" w:ascii="宋体" w:hAnsi="宋体" w:eastAsia="宋体" w:cs="宋体"/>
          <w:iCs/>
          <w:sz w:val="24"/>
          <w:szCs w:val="24"/>
        </w:rPr>
        <w:t>证券代码：688545                                   证券简称：兴福电子</w:t>
      </w:r>
    </w:p>
    <w:p w14:paraId="2B422F53">
      <w:pPr>
        <w:keepNext/>
        <w:keepLines/>
        <w:spacing w:line="560" w:lineRule="exact"/>
        <w:jc w:val="center"/>
        <w:outlineLvl w:val="1"/>
        <w:rPr>
          <w:rFonts w:hint="eastAsia" w:ascii="宋体" w:hAnsi="宋体" w:eastAsia="宋体" w:cs="Times New Roman"/>
          <w:b/>
          <w:bCs/>
          <w:sz w:val="32"/>
          <w:szCs w:val="32"/>
        </w:rPr>
      </w:pPr>
    </w:p>
    <w:p w14:paraId="5DE8A2BD">
      <w:pPr>
        <w:keepNext/>
        <w:keepLines/>
        <w:spacing w:line="560" w:lineRule="exact"/>
        <w:jc w:val="center"/>
        <w:outlineLvl w:val="1"/>
        <w:rPr>
          <w:rFonts w:hint="eastAsia" w:ascii="黑体" w:hAnsi="黑体" w:eastAsia="黑体" w:cs="黑体"/>
          <w:sz w:val="32"/>
          <w:szCs w:val="32"/>
        </w:rPr>
      </w:pPr>
      <w:r>
        <w:rPr>
          <w:rFonts w:hint="eastAsia" w:ascii="黑体" w:hAnsi="黑体" w:eastAsia="黑体" w:cs="黑体"/>
          <w:sz w:val="32"/>
          <w:szCs w:val="32"/>
        </w:rPr>
        <w:t>湖北兴福电子材料股份有限公司</w:t>
      </w:r>
    </w:p>
    <w:p w14:paraId="081710F3">
      <w:pPr>
        <w:keepNext/>
        <w:keepLines/>
        <w:spacing w:line="560" w:lineRule="exact"/>
        <w:jc w:val="center"/>
        <w:outlineLvl w:val="1"/>
        <w:rPr>
          <w:rFonts w:hint="eastAsia" w:ascii="宋体" w:hAnsi="宋体" w:eastAsia="宋体" w:cs="Times New Roman"/>
          <w:b/>
          <w:bCs/>
          <w:sz w:val="32"/>
          <w:szCs w:val="32"/>
        </w:rPr>
      </w:pPr>
      <w:r>
        <w:rPr>
          <w:rFonts w:hint="eastAsia" w:ascii="黑体" w:hAnsi="黑体" w:eastAsia="黑体" w:cs="黑体"/>
          <w:sz w:val="32"/>
          <w:szCs w:val="32"/>
        </w:rPr>
        <w:t>投资者关系活动记录表</w:t>
      </w:r>
    </w:p>
    <w:p w14:paraId="6FDBF9B8">
      <w:pPr>
        <w:keepNext/>
        <w:keepLines/>
        <w:spacing w:line="560" w:lineRule="exact"/>
        <w:jc w:val="right"/>
        <w:outlineLvl w:val="1"/>
        <w:rPr>
          <w:rFonts w:hint="eastAsia" w:ascii="宋体" w:hAnsi="宋体" w:eastAsia="宋体" w:cs="Times New Roman"/>
          <w:b/>
          <w:bCs/>
          <w:sz w:val="24"/>
          <w:szCs w:val="24"/>
        </w:rPr>
      </w:pPr>
      <w:r>
        <w:rPr>
          <w:rFonts w:hint="eastAsia" w:ascii="宋体" w:hAnsi="宋体" w:eastAsia="宋体" w:cs="Times New Roman"/>
          <w:sz w:val="24"/>
          <w:szCs w:val="24"/>
        </w:rPr>
        <w:t>编号：2026-001</w:t>
      </w:r>
    </w:p>
    <w:tbl>
      <w:tblPr>
        <w:tblStyle w:val="7"/>
        <w:tblW w:w="8988"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7525"/>
      </w:tblGrid>
      <w:tr w14:paraId="600D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6BAF238D">
            <w:pPr>
              <w:spacing w:line="360" w:lineRule="exact"/>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tc>
        <w:tc>
          <w:tcPr>
            <w:tcW w:w="7525" w:type="dxa"/>
          </w:tcPr>
          <w:p w14:paraId="00BAD833">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14:paraId="370066FF">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14:paraId="5AB3385C">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577FA63C">
            <w:pPr>
              <w:tabs>
                <w:tab w:val="left" w:pos="3103"/>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现场参观            ☑电话会议</w:t>
            </w:r>
          </w:p>
          <w:p w14:paraId="273260A6">
            <w:pPr>
              <w:tabs>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其他 </w:t>
            </w:r>
            <w:r>
              <w:rPr>
                <w:rFonts w:hint="eastAsia" w:ascii="宋体" w:hAnsi="宋体" w:eastAsia="宋体" w:cs="Times New Roman"/>
                <w:sz w:val="24"/>
                <w:szCs w:val="24"/>
                <w:u w:val="single"/>
              </w:rPr>
              <w:t xml:space="preserve">             </w:t>
            </w:r>
          </w:p>
        </w:tc>
      </w:tr>
      <w:tr w14:paraId="49D0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5A4E95F8">
            <w:pPr>
              <w:spacing w:line="360" w:lineRule="exact"/>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参与单位及人员</w:t>
            </w:r>
          </w:p>
        </w:tc>
        <w:tc>
          <w:tcPr>
            <w:tcW w:w="7525" w:type="dxa"/>
            <w:vAlign w:val="center"/>
          </w:tcPr>
          <w:p w14:paraId="06852A18">
            <w:pPr>
              <w:tabs>
                <w:tab w:val="center" w:pos="2798"/>
              </w:tabs>
              <w:spacing w:line="360" w:lineRule="exact"/>
              <w:rPr>
                <w:rFonts w:hint="eastAsia" w:ascii="宋体" w:hAnsi="宋体" w:eastAsia="宋体" w:cs="Times New Roman"/>
                <w:bCs/>
                <w:iCs/>
                <w:sz w:val="24"/>
                <w:szCs w:val="24"/>
              </w:rPr>
            </w:pPr>
            <w:r>
              <w:rPr>
                <w:rFonts w:hint="eastAsia" w:ascii="宋体" w:hAnsi="宋体" w:eastAsia="宋体" w:cs="Times New Roman"/>
                <w:bCs/>
                <w:iCs/>
                <w:sz w:val="24"/>
                <w:szCs w:val="24"/>
              </w:rPr>
              <w:t>长存资本、国家大基金二期、盛芯基金、京东方创投、海力士投资、石溪资本、厦门联和基金二期、中信证券、广发证券、华泰证券、申万菱信基金、全天候基金、大成基金、中银基金、兴全基金、华泰资产、华泰柏瑞、西部利得、玄元投资、华商基金、人寿资产、复星投资、开源电子、财通电子、信达证券、中邮电子、光大永明、华安基金、银华基金、人保养老、华宝基金、人保资产</w:t>
            </w:r>
          </w:p>
        </w:tc>
      </w:tr>
      <w:tr w14:paraId="7801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34021136">
            <w:pPr>
              <w:spacing w:line="360" w:lineRule="exact"/>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时间</w:t>
            </w:r>
          </w:p>
        </w:tc>
        <w:tc>
          <w:tcPr>
            <w:tcW w:w="7525" w:type="dxa"/>
          </w:tcPr>
          <w:p w14:paraId="3F625FFE">
            <w:pPr>
              <w:spacing w:line="360" w:lineRule="exact"/>
              <w:rPr>
                <w:rFonts w:hint="eastAsia" w:ascii="宋体" w:hAnsi="宋体" w:eastAsia="宋体" w:cs="Times New Roman"/>
                <w:bCs/>
                <w:iCs/>
                <w:sz w:val="24"/>
                <w:szCs w:val="24"/>
              </w:rPr>
            </w:pPr>
            <w:r>
              <w:rPr>
                <w:rFonts w:hint="eastAsia" w:ascii="宋体" w:hAnsi="宋体" w:eastAsia="宋体" w:cs="Times New Roman"/>
                <w:bCs/>
                <w:iCs/>
                <w:sz w:val="24"/>
                <w:szCs w:val="24"/>
              </w:rPr>
              <w:t>2026年4月13日-23日</w:t>
            </w:r>
          </w:p>
        </w:tc>
      </w:tr>
      <w:tr w14:paraId="4346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4C0A1831">
            <w:pPr>
              <w:spacing w:line="360" w:lineRule="exact"/>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地点</w:t>
            </w:r>
          </w:p>
        </w:tc>
        <w:tc>
          <w:tcPr>
            <w:tcW w:w="7525" w:type="dxa"/>
          </w:tcPr>
          <w:p w14:paraId="78C275C5">
            <w:pPr>
              <w:spacing w:line="360" w:lineRule="exact"/>
              <w:rPr>
                <w:rFonts w:hint="eastAsia" w:ascii="宋体" w:hAnsi="宋体" w:eastAsia="宋体" w:cs="Times New Roman"/>
                <w:bCs/>
                <w:iCs/>
                <w:sz w:val="24"/>
                <w:szCs w:val="24"/>
              </w:rPr>
            </w:pPr>
            <w:r>
              <w:rPr>
                <w:rFonts w:hint="eastAsia" w:ascii="宋体" w:hAnsi="宋体" w:eastAsia="宋体" w:cs="Times New Roman"/>
                <w:bCs/>
                <w:iCs/>
                <w:sz w:val="24"/>
                <w:szCs w:val="24"/>
              </w:rPr>
              <w:t>公司会议室</w:t>
            </w:r>
          </w:p>
        </w:tc>
      </w:tr>
      <w:tr w14:paraId="644E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3DF66938">
            <w:pPr>
              <w:spacing w:line="360" w:lineRule="exact"/>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上市公司接待人员</w:t>
            </w:r>
          </w:p>
        </w:tc>
        <w:tc>
          <w:tcPr>
            <w:tcW w:w="7525" w:type="dxa"/>
            <w:vAlign w:val="center"/>
          </w:tcPr>
          <w:p w14:paraId="77E8CC9B">
            <w:pPr>
              <w:spacing w:line="360" w:lineRule="exact"/>
              <w:rPr>
                <w:rFonts w:hint="eastAsia" w:ascii="宋体" w:hAnsi="宋体" w:eastAsia="宋体" w:cs="Times New Roman"/>
                <w:bCs/>
                <w:iCs/>
                <w:sz w:val="24"/>
                <w:szCs w:val="24"/>
              </w:rPr>
            </w:pPr>
            <w:r>
              <w:rPr>
                <w:rFonts w:hint="eastAsia" w:ascii="宋体" w:hAnsi="宋体" w:eastAsia="宋体" w:cs="Times New Roman"/>
                <w:bCs/>
                <w:iCs/>
                <w:sz w:val="24"/>
                <w:szCs w:val="24"/>
              </w:rPr>
              <w:t>董事会秘书、董办投关人员</w:t>
            </w:r>
          </w:p>
        </w:tc>
      </w:tr>
      <w:tr w14:paraId="04A6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1463" w:type="dxa"/>
            <w:vAlign w:val="center"/>
          </w:tcPr>
          <w:p w14:paraId="4D860372">
            <w:pPr>
              <w:spacing w:line="360" w:lineRule="exact"/>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7525" w:type="dxa"/>
          </w:tcPr>
          <w:p w14:paraId="4FA5C158">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1.公司当前产业布局及未来发展规划是怎样的？</w:t>
            </w:r>
          </w:p>
          <w:p w14:paraId="1935A89D">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尊敬的投资者，您好,感谢您对公司的关注。近年来，公司聚焦电子化学品主业，已形成通用湿电子化学品、功能湿电子化学品以及湿电子化学品回收三大业务板块，其中通用湿电子化学品主要包含电子级磷酸、电子级硫酸、电子级双氧水等，部分产品处于国内市场领先地位，成为公司业绩的重要来源；功能性湿电子化学品技术壁垒高、产品种类多、盈利能力强，未来业绩增长空间较大；回收业务受国家环保监管政策限制，目前主要基于省内及周边省份客户开展磷酸、硫酸回收服务。当前，公司已前瞻性布局以下三大业务：一是电子气体业务，目前建有1万吨/年电子级氨气产能，处于客户测试阶段；在建35吨/年电子级磷烷产能预计今年年内投产；同时与和远气体共同成立了湖北兴远芯气体有限公司，将深耕电子大宗气体业务。二是先进新材料业务，重点围绕光刻胶用光引发剂、电子级硅基前驱体HMDS、第三代半导体配套材料等进行研发布局。三是先进封装化学品业务，重点发展电镀液及添加剂、封装胶、封装用湿电子化学品等相关产品。未来，公司将牢牢把握芯片国产化机遇，坚持以科技创新为核心引擎，以客户需求为导向，持续丰富产品矩阵、提升品质标准，加快构建以湿电子化学品为主导，电子气体、先进新材料、电子化学品回收利用等协同发展的产业格局。</w:t>
            </w:r>
          </w:p>
          <w:p w14:paraId="3AD7D428">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2.公司主要产品的产能规划情况如何？请简要介绍。</w:t>
            </w:r>
          </w:p>
          <w:p w14:paraId="27ABF311">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尊敬的投资者，您好,感谢您对公司的关注。公司目前主要产品在建产能有：4万吨/年电子级磷酸项目、4万吨/年超高纯电子化学品项目（含3万吨/年电子级硫酸、1万吨/年功能性湿电子化学品）、35吨/年超高纯电子级磷烷项目，上述项目预计在今年年内投产，投产后公司电子级磷酸将达到10万吨/年，电子级硫酸达到13万吨/年，功能性湿电子化学品达到6.4万吨/年。项目建设受多重因素影响，实际投产时间具有不确定性，敬请注意投资风险。</w:t>
            </w:r>
          </w:p>
          <w:p w14:paraId="34133A13">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3.针对近期硫磺、黄磷等价格上涨事实，公司是否采取了相关应对措施？</w:t>
            </w:r>
          </w:p>
          <w:p w14:paraId="3372981A">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尊敬的投资者，您好,感谢您对公司的关注。自去年年底以来，黄磷、硫磺等原料受供给短缺、下游需求拉动等因素影响，价格出现不同程度上涨。公司积极组织采购、销售团队密切跟踪原料价格波动，科学制定原料采购、备货方案，并积极与下游客户沟通产品调价相关事宜，通过以上举措，公司主要产品盈利水平保持在合理区间。公司近期已向客户提出产品调价诉求，客户普遍接受，公司将择机执行。</w:t>
            </w:r>
          </w:p>
          <w:p w14:paraId="67A8C066">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4.公司功能湿电子化学品目前盈利占比较小，未来盈利增长情况如何？</w:t>
            </w:r>
          </w:p>
          <w:p w14:paraId="11329816">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尊敬的投资者，您好,感谢您对公司的关注。公司功能湿电子化学品属于客户高度定制化产品，对产品纯度、配比、适配性等要求极高，客户导入进程相对较慢。公司近年来积极与下游客户加大对功能湿电子化学品的合作研发，截至2025年底已有81款产品实现销售，且累计已立项储备研发产品111款，其中45款产品在先进制程客户顺利测试。随着产品合作研发进程不断加快，预计未来销量将保持稳定增长，逐步成为公司业绩的重要组成部分。</w:t>
            </w:r>
          </w:p>
          <w:p w14:paraId="52B3AEDB">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5.公司光刻胶引发剂研发进展如何？</w:t>
            </w:r>
          </w:p>
          <w:p w14:paraId="4842ECF0">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尊敬的投资者，您好,感谢您对公司的关注。公司2025年12月发布《关于购买资产暨关联交易的公告》（公告编号：2025-043），以自有资金4626.78万元收购湖北三峡实验室光刻胶用光引发剂制备专有技术及实验设备所有权，目前主要瞄准g/i线光刻胶光引发剂进行产业化前期准备工作，预计今年年内可投产30吨光引发剂产线。</w:t>
            </w:r>
          </w:p>
          <w:p w14:paraId="1765AA84">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6.公司在半导体玻璃基板封装领域有无相关产品储备？</w:t>
            </w:r>
          </w:p>
          <w:p w14:paraId="0E9F2184">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答：尊敬的投资者，您好,感谢您对公司的关注。围绕半导体玻璃通孔（TGV）先进封装，目前公司正在积极开展玻璃基板蚀刻环节的氢氟酸类蚀刻液的技术攻关。</w:t>
            </w:r>
            <w:r>
              <w:rPr>
                <w:rFonts w:hint="eastAsia" w:ascii="宋体" w:hAnsi="宋体" w:eastAsia="宋体" w:cs="Times New Roman"/>
                <w:iCs/>
                <w:sz w:val="24"/>
                <w:szCs w:val="24"/>
                <w:lang w:val="en-US" w:eastAsia="zh-CN"/>
              </w:rPr>
              <w:t>研发结果具有不确定性，请注意投资风险。</w:t>
            </w:r>
          </w:p>
          <w:p w14:paraId="4FAD2F9E">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7.公司有没有磷化铟产品？</w:t>
            </w:r>
          </w:p>
          <w:p w14:paraId="74E143D6">
            <w:pPr>
              <w:spacing w:line="360" w:lineRule="exact"/>
              <w:ind w:firstLine="480" w:firstLineChars="200"/>
              <w:rPr>
                <w:rFonts w:hint="default" w:ascii="宋体" w:hAnsi="宋体" w:eastAsia="宋体" w:cs="Times New Roman"/>
                <w:iCs/>
                <w:sz w:val="24"/>
                <w:szCs w:val="24"/>
                <w:lang w:val="en-US" w:eastAsia="zh-CN"/>
              </w:rPr>
            </w:pPr>
            <w:r>
              <w:rPr>
                <w:rFonts w:hint="eastAsia" w:ascii="宋体" w:hAnsi="宋体" w:eastAsia="宋体" w:cs="Times New Roman"/>
                <w:iCs/>
                <w:sz w:val="24"/>
                <w:szCs w:val="24"/>
              </w:rPr>
              <w:t>答：尊敬的投资者，您好,感谢您对公司的关注。公司没有磷化铟产品，电子级高纯红磷是磷化铟的原材料，公司目前正在开展电子级高纯红磷的技术研发。</w:t>
            </w:r>
            <w:r>
              <w:rPr>
                <w:rFonts w:hint="eastAsia" w:ascii="宋体" w:hAnsi="宋体" w:eastAsia="宋体" w:cs="Times New Roman"/>
                <w:iCs/>
                <w:sz w:val="24"/>
                <w:szCs w:val="24"/>
                <w:lang w:val="en-US" w:eastAsia="zh-CN"/>
              </w:rPr>
              <w:t>研发结果具有不确定性，请注意投资风险。</w:t>
            </w:r>
          </w:p>
          <w:p w14:paraId="5DC780E2">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8.公司未来主要的资本投资计划有哪些？</w:t>
            </w:r>
          </w:p>
          <w:p w14:paraId="0E5ACFE5">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尊敬的投资者，您好,感谢您对公司的关注。公司未来将继续聚焦电子化学品主业，围绕湿电子化学品、电子气体、光刻胶配套材料、先进封装材料、包装材料等领域，通过项目投资、股权兼并等方式，加快夯实产业链基础，补齐业务短板，</w:t>
            </w:r>
            <w:r>
              <w:rPr>
                <w:rFonts w:ascii="宋体" w:hAnsi="宋体" w:eastAsia="宋体" w:cs="宋体"/>
                <w:sz w:val="24"/>
                <w:szCs w:val="24"/>
              </w:rPr>
              <w:t>持续完善产业布局，不断提升核心竞争力与市场综合实力。</w:t>
            </w:r>
          </w:p>
          <w:p w14:paraId="548631C3">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9.请简要介绍下公司全球化布局的战略举措？</w:t>
            </w:r>
          </w:p>
          <w:p w14:paraId="5AD69464">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尊敬的投资者，您好,感谢您对公司的关注。公司始终坚持国际化发展战略，国内将重点围绕京津冀、长三角、珠三角等半导体产业核心区域优化产能布局，完善贴近客户、快速响应的本地化供应与服务体系，强化核心产品供给能力与市场竞争力;提高国内先进制程客户供应份额，持续提升公司核心产品的国内市场占有率。同时，稳步推进产业全球化布局，加大在中国台湾、韩国、东南亚等海外半导体核心区域的优质客户拓展力度，积极推动海外基地建设，加快构建集海外销售、服务及配套产能于一体的全球化运营体系，持续提升国际市场份额与品牌影响力。</w:t>
            </w:r>
          </w:p>
          <w:p w14:paraId="4730FCD5">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10.请展望2026年公司经营情况？</w:t>
            </w:r>
          </w:p>
          <w:p w14:paraId="4C40BB03">
            <w:pPr>
              <w:spacing w:line="360" w:lineRule="exact"/>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尊敬的投资者您好，感谢您对公司的关注。2025年公司主营业务产品在集成电路领域销售收入占主营业务收入比例达到89.87%，受人工智能、虚拟现实、元宇宙、量子信息等相关行业快速发展推动，预计公司2026年整体经营情况符合行业增长预期。</w:t>
            </w:r>
          </w:p>
        </w:tc>
      </w:tr>
      <w:tr w14:paraId="59F9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0DF1797A">
            <w:pPr>
              <w:spacing w:line="360" w:lineRule="exact"/>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7525" w:type="dxa"/>
          </w:tcPr>
          <w:p w14:paraId="3F135614">
            <w:pPr>
              <w:spacing w:line="360" w:lineRule="exact"/>
              <w:rPr>
                <w:rFonts w:hint="eastAsia" w:ascii="宋体" w:hAnsi="宋体" w:eastAsia="宋体" w:cs="Times New Roman"/>
                <w:bCs/>
                <w:iCs/>
                <w:sz w:val="24"/>
                <w:szCs w:val="24"/>
              </w:rPr>
            </w:pPr>
          </w:p>
        </w:tc>
      </w:tr>
      <w:tr w14:paraId="3D27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6FDB3B61">
            <w:pPr>
              <w:spacing w:line="360" w:lineRule="exact"/>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7525" w:type="dxa"/>
            <w:vAlign w:val="center"/>
          </w:tcPr>
          <w:p w14:paraId="30490F89">
            <w:pPr>
              <w:spacing w:line="360" w:lineRule="exact"/>
              <w:rPr>
                <w:rFonts w:hint="eastAsia" w:ascii="宋体" w:hAnsi="宋体" w:eastAsia="宋体" w:cs="Times New Roman"/>
                <w:iCs/>
                <w:sz w:val="24"/>
                <w:szCs w:val="24"/>
              </w:rPr>
            </w:pPr>
            <w:r>
              <w:rPr>
                <w:rFonts w:hint="eastAsia" w:ascii="宋体" w:hAnsi="宋体" w:eastAsia="宋体" w:cs="Times New Roman"/>
                <w:iCs/>
                <w:sz w:val="24"/>
                <w:szCs w:val="24"/>
              </w:rPr>
              <w:t>2026年4月24日</w:t>
            </w:r>
          </w:p>
        </w:tc>
      </w:tr>
    </w:tbl>
    <w:p w14:paraId="7610B3AF">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440A6"/>
    <w:rsid w:val="00151B55"/>
    <w:rsid w:val="00152420"/>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C648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956"/>
    <w:rsid w:val="004D4156"/>
    <w:rsid w:val="004D614E"/>
    <w:rsid w:val="004D6C5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3897"/>
    <w:rsid w:val="005F7318"/>
    <w:rsid w:val="006016A0"/>
    <w:rsid w:val="00605119"/>
    <w:rsid w:val="00606A42"/>
    <w:rsid w:val="00623855"/>
    <w:rsid w:val="00626FB3"/>
    <w:rsid w:val="0063129A"/>
    <w:rsid w:val="006323B5"/>
    <w:rsid w:val="00633851"/>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D2B96"/>
    <w:rsid w:val="008D3726"/>
    <w:rsid w:val="008E245B"/>
    <w:rsid w:val="008F4A59"/>
    <w:rsid w:val="008F5F3A"/>
    <w:rsid w:val="00900BAF"/>
    <w:rsid w:val="009108F5"/>
    <w:rsid w:val="0091400E"/>
    <w:rsid w:val="009157EF"/>
    <w:rsid w:val="009224F5"/>
    <w:rsid w:val="00924412"/>
    <w:rsid w:val="0092574C"/>
    <w:rsid w:val="00940689"/>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C64A7"/>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25109"/>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4FD6"/>
    <w:rsid w:val="00CC6538"/>
    <w:rsid w:val="00CC78CC"/>
    <w:rsid w:val="00CD419D"/>
    <w:rsid w:val="00CD5CAD"/>
    <w:rsid w:val="00CD65D6"/>
    <w:rsid w:val="00CD66E0"/>
    <w:rsid w:val="00CE6D72"/>
    <w:rsid w:val="00CF6F6C"/>
    <w:rsid w:val="00D0453D"/>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53347"/>
    <w:rsid w:val="00E53783"/>
    <w:rsid w:val="00E61A61"/>
    <w:rsid w:val="00E64488"/>
    <w:rsid w:val="00E668C5"/>
    <w:rsid w:val="00E803AB"/>
    <w:rsid w:val="00E83F72"/>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15A72AE"/>
    <w:rsid w:val="01714809"/>
    <w:rsid w:val="06CF77B7"/>
    <w:rsid w:val="07496665"/>
    <w:rsid w:val="0749768F"/>
    <w:rsid w:val="0AEC54C8"/>
    <w:rsid w:val="0BE75674"/>
    <w:rsid w:val="0DDF0D4D"/>
    <w:rsid w:val="11186A50"/>
    <w:rsid w:val="115B06EA"/>
    <w:rsid w:val="144A3C3C"/>
    <w:rsid w:val="15152076"/>
    <w:rsid w:val="161C5620"/>
    <w:rsid w:val="17D2722C"/>
    <w:rsid w:val="1C92363B"/>
    <w:rsid w:val="1FE65F6B"/>
    <w:rsid w:val="203E5DA7"/>
    <w:rsid w:val="20E36DB2"/>
    <w:rsid w:val="214E5B76"/>
    <w:rsid w:val="23FF584D"/>
    <w:rsid w:val="24612064"/>
    <w:rsid w:val="25822292"/>
    <w:rsid w:val="259326F1"/>
    <w:rsid w:val="2A930F91"/>
    <w:rsid w:val="2AC57281"/>
    <w:rsid w:val="2C1125C1"/>
    <w:rsid w:val="2C7A2001"/>
    <w:rsid w:val="2D030BFD"/>
    <w:rsid w:val="2DC01BA9"/>
    <w:rsid w:val="2EAD509A"/>
    <w:rsid w:val="2F064DB0"/>
    <w:rsid w:val="31D9592F"/>
    <w:rsid w:val="32242D99"/>
    <w:rsid w:val="333E16CD"/>
    <w:rsid w:val="35B27AD0"/>
    <w:rsid w:val="35D44171"/>
    <w:rsid w:val="35E86141"/>
    <w:rsid w:val="362058DB"/>
    <w:rsid w:val="3687595A"/>
    <w:rsid w:val="3E720C9E"/>
    <w:rsid w:val="405E1BAA"/>
    <w:rsid w:val="40C12792"/>
    <w:rsid w:val="44CD4E80"/>
    <w:rsid w:val="458B0897"/>
    <w:rsid w:val="462431C5"/>
    <w:rsid w:val="46380A1F"/>
    <w:rsid w:val="467F0394"/>
    <w:rsid w:val="48BB1493"/>
    <w:rsid w:val="492E6109"/>
    <w:rsid w:val="4CF7225E"/>
    <w:rsid w:val="51264FF3"/>
    <w:rsid w:val="513F1A6B"/>
    <w:rsid w:val="51554CC4"/>
    <w:rsid w:val="52752746"/>
    <w:rsid w:val="533D7D7F"/>
    <w:rsid w:val="55CC368F"/>
    <w:rsid w:val="566969D2"/>
    <w:rsid w:val="59945B14"/>
    <w:rsid w:val="5A5D05FC"/>
    <w:rsid w:val="5AAE0E58"/>
    <w:rsid w:val="5D322D44"/>
    <w:rsid w:val="5DE17BB5"/>
    <w:rsid w:val="5E151E13"/>
    <w:rsid w:val="5FB60139"/>
    <w:rsid w:val="60B46A9C"/>
    <w:rsid w:val="614D3EAC"/>
    <w:rsid w:val="63FC2C34"/>
    <w:rsid w:val="64560107"/>
    <w:rsid w:val="658960C3"/>
    <w:rsid w:val="65A83BCB"/>
    <w:rsid w:val="65DF6369"/>
    <w:rsid w:val="685428D3"/>
    <w:rsid w:val="695138EE"/>
    <w:rsid w:val="6A7554EE"/>
    <w:rsid w:val="6DC24EEE"/>
    <w:rsid w:val="6E105C5A"/>
    <w:rsid w:val="713936B1"/>
    <w:rsid w:val="73A51066"/>
    <w:rsid w:val="75CA27C2"/>
    <w:rsid w:val="75D27C98"/>
    <w:rsid w:val="7AB636E5"/>
    <w:rsid w:val="7D9832A7"/>
    <w:rsid w:val="7DCE51E9"/>
    <w:rsid w:val="7E566A2C"/>
    <w:rsid w:val="7ED24865"/>
    <w:rsid w:val="7F297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character" w:customStyle="1" w:styleId="14">
    <w:name w:val="批注文字 字符"/>
    <w:basedOn w:val="9"/>
    <w:link w:val="2"/>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character" w:customStyle="1" w:styleId="16">
    <w:name w:val="批注框文本 字符"/>
    <w:basedOn w:val="9"/>
    <w:link w:val="3"/>
    <w:semiHidden/>
    <w:qFormat/>
    <w:uiPriority w:val="99"/>
    <w:rPr>
      <w:kern w:val="2"/>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n.kong\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cbedaea5-9ff2-4c2f-bd6d-37dbfb210439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3F625FFE</paraID>
      <start>10</start>
      <end>11</end>
      <status>unmodified</status>
      <modifiedWord/>
      <trackRevisions>false</trackRevisions>
    </reviewItem>
    <reviewItem>
      <errorID>317f2a59-c220-41c6-abd2-77e82d36def9</errorID>
      <errorWord>投关</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77E8CC9B</paraID>
      <start>8</start>
      <end>10</end>
      <status>unmodified</status>
      <modifiedWord/>
      <trackRevisions>false</trackRevisions>
    </reviewItem>
    <reviewItem>
      <errorID>b65351bd-6500-4164-9a27-f08cc0247325</errorID>
      <errorWord>,</errorWord>
      <group>L1_Format</group>
      <groupName>格式问题</groupName>
      <ability>L2_HalfPunc</ability>
      <abilityName>全半角检查</abilityName>
      <candidateList>
        <item>，</item>
      </candidateList>
      <explain>文本全半角错误。</explain>
      <paraID>1935A89D</paraID>
      <start>11</start>
      <end>12</end>
      <status>unmodified</status>
      <modifiedWord/>
      <trackRevisions>false</trackRevisions>
    </reviewItem>
    <reviewItem>
      <errorID>dd2cd228-b9cb-4f87-8965-fbd830d23e45</errorID>
      <errorWord>,</errorWord>
      <group>L1_Format</group>
      <groupName>格式问题</groupName>
      <ability>L2_HalfPunc</ability>
      <abilityName>全半角检查</abilityName>
      <candidateList>
        <item>，</item>
      </candidateList>
      <explain>文本全半角错误。</explain>
      <paraID>27ABF311</paraID>
      <start>11</start>
      <end>12</end>
      <status>unmodified</status>
      <modifiedWord/>
      <trackRevisions>false</trackRevisions>
    </reviewItem>
    <reviewItem>
      <errorID>f84890a4-afc8-448c-88aa-477ec231b995</errorID>
      <errorWord>,</errorWord>
      <group>L1_Format</group>
      <groupName>格式问题</groupName>
      <ability>L2_HalfPunc</ability>
      <abilityName>全半角检查</abilityName>
      <candidateList>
        <item>，</item>
      </candidateList>
      <explain>文本全半角错误。</explain>
      <paraID>3372981A</paraID>
      <start>11</start>
      <end>12</end>
      <status>unmodified</status>
      <modifiedWord/>
      <trackRevisions>false</trackRevisions>
    </reviewItem>
    <reviewItem>
      <errorID>06e0ea00-0780-4216-8144-95deb3bb534a</errorID>
      <errorWord>,</errorWord>
      <group>L1_Format</group>
      <groupName>格式问题</groupName>
      <ability>L2_HalfPunc</ability>
      <abilityName>全半角检查</abilityName>
      <candidateList>
        <item>，</item>
      </candidateList>
      <explain>文本全半角错误。</explain>
      <paraID>11329816</paraID>
      <start>11</start>
      <end>12</end>
      <status>unmodified</status>
      <modifiedWord/>
      <trackRevisions>false</trackRevisions>
    </reviewItem>
    <reviewItem>
      <errorID>70e7fdf7-214f-4336-8622-03782cf430f5</errorID>
      <errorWord>,</errorWord>
      <group>L1_Format</group>
      <groupName>格式问题</groupName>
      <ability>L2_HalfPunc</ability>
      <abilityName>全半角检查</abilityName>
      <candidateList>
        <item>，</item>
      </candidateList>
      <explain>文本全半角错误。</explain>
      <paraID>4842ECF0</paraID>
      <start>11</start>
      <end>12</end>
      <status>unmodified</status>
      <modifiedWord/>
      <trackRevisions>false</trackRevisions>
    </reviewItem>
    <reviewItem>
      <errorID>8f1447b8-6182-4260-b351-8dfee06a4fa1</errorID>
      <errorWord>,</errorWord>
      <group>L1_Format</group>
      <groupName>格式问题</groupName>
      <ability>L2_HalfPunc</ability>
      <abilityName>全半角检查</abilityName>
      <candidateList>
        <item>，</item>
      </candidateList>
      <explain>文本全半角错误。</explain>
      <paraID> E9F2184</paraID>
      <start>11</start>
      <end>12</end>
      <status>unmodified</status>
      <modifiedWord/>
      <trackRevisions>false</trackRevisions>
    </reviewItem>
    <reviewItem>
      <errorID>5af2d21f-b79b-4143-ac7e-e14912f15522</errorID>
      <errorWord>,</errorWord>
      <group>L1_Format</group>
      <groupName>格式问题</groupName>
      <ability>L2_HalfPunc</ability>
      <abilityName>全半角检查</abilityName>
      <candidateList>
        <item>，</item>
      </candidateList>
      <explain>文本全半角错误。</explain>
      <paraID>74E143D6</paraID>
      <start>11</start>
      <end>12</end>
      <status>unmodified</status>
      <modifiedWord/>
      <trackRevisions>false</trackRevisions>
    </reviewItem>
    <reviewItem>
      <errorID>63d81c62-3216-4427-b816-35f423da4996</errorID>
      <errorWord>,</errorWord>
      <group>L1_Format</group>
      <groupName>格式问题</groupName>
      <ability>L2_HalfPunc</ability>
      <abilityName>全半角检查</abilityName>
      <candidateList>
        <item>，</item>
      </candidateList>
      <explain>文本全半角错误。</explain>
      <paraID> E5ACFE5</paraID>
      <start>11</start>
      <end>12</end>
      <status>unmodified</status>
      <modifiedWord/>
      <trackRevisions>false</trackRevisions>
    </reviewItem>
    <reviewItem>
      <errorID>8f08bd4f-429c-4808-bfaa-7d65a3bba0a0</errorID>
      <errorWord>,</errorWord>
      <group>L1_Format</group>
      <groupName>格式问题</groupName>
      <ability>L2_HalfPunc</ability>
      <abilityName>全半角检查</abilityName>
      <candidateList>
        <item>，</item>
      </candidateList>
      <explain>文本全半角错误。</explain>
      <paraID>5AD69464</paraID>
      <start>11</start>
      <end>12</end>
      <status>unmodified</status>
      <modifiedWord/>
      <trackRevisions>false</trackRevisions>
    </reviewItem>
    <reviewItem>
      <errorID>acefee05-cce1-4432-bb0a-f4948434c8fe</errorID>
      <errorWord>;</errorWord>
      <group>L1_Format</group>
      <groupName>格式问题</groupName>
      <ability>L2_HalfPunc</ability>
      <abilityName>全半角检查</abilityName>
      <candidateList>
        <item>；</item>
      </candidateList>
      <explain>文本全半角错误。</explain>
      <paraID>5AD69464</paraID>
      <start>110</start>
      <end>111</end>
      <status>unmodified</status>
      <modifiedWord/>
      <trackRevisions>false</trackRevisions>
    </reviewItem>
  </reviewItems>
  <config/>
</contractReview>
</file>

<file path=customXml/itemProps1.xml><?xml version="1.0" encoding="utf-8"?>
<ds:datastoreItem xmlns:ds="http://schemas.openxmlformats.org/officeDocument/2006/customXml" ds:itemID="{6FFB10F5-BFF1-496E-96CE-F79E3F307CAF}">
  <ds:schemaRefs/>
</ds:datastoreItem>
</file>

<file path=customXml/itemProps2.xml><?xml version="1.0" encoding="utf-8"?>
<ds:datastoreItem xmlns:ds="http://schemas.openxmlformats.org/officeDocument/2006/customXml" ds:itemID="{2cf7fc38-1eb8-466e-9501-e990bbb5b1c9}">
  <ds:schemaRefs/>
</ds:datastoreItem>
</file>

<file path=docProps/app.xml><?xml version="1.0" encoding="utf-8"?>
<Properties xmlns="http://schemas.openxmlformats.org/officeDocument/2006/extended-properties" xmlns:vt="http://schemas.openxmlformats.org/officeDocument/2006/docPropsVTypes">
  <Template>SSEReport</Template>
  <Pages>3</Pages>
  <Words>2470</Words>
  <Characters>2555</Characters>
  <Lines>18</Lines>
  <Paragraphs>5</Paragraphs>
  <TotalTime>1</TotalTime>
  <ScaleCrop>false</ScaleCrop>
  <LinksUpToDate>false</LinksUpToDate>
  <CharactersWithSpaces>2646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2020-08-17T08:25:00Z</dcterms:created>
  <dc:creator>Li Xiang</dc:creator>
  <cp:lastModifiedBy>枫惘</cp:lastModifiedBy>
  <dcterms:modified xsi:type="dcterms:W3CDTF">2026-04-24T08:55:31Z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eyJoZGlkIjoiM2RlYzFjYzM3NGZlYmEwZjA1NTIzMjI0MzE0YzI2ODAiLCJ1c2VySWQiOiIzNTg4Mzc4OTgifQ==</vt:lpwstr>
  </property>
  <property fmtid="{D5CDD505-2E9C-101B-9397-08002B2CF9AE}" pid="4" name="ICV">
    <vt:lpwstr>85A58F0BDDF343949F14ABE21CE68C8E_12</vt:lpwstr>
  </property>
</Properties>
</file>