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1F42">
      <w:pPr>
        <w:outlineLvl w:val="0"/>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14:paraId="09DC3900">
      <w:pPr>
        <w:spacing w:before="312" w:beforeLines="100" w:after="312" w:afterLines="100"/>
        <w:jc w:val="center"/>
        <w:outlineLvl w:val="0"/>
        <w:rPr>
          <w:rFonts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2A2F0600">
      <w:pPr>
        <w:spacing w:before="156" w:beforeLines="50" w:after="156" w:afterLines="50" w:line="500" w:lineRule="exact"/>
        <w:jc w:val="right"/>
        <w:outlineLvl w:val="0"/>
        <w:rPr>
          <w:rFonts w:hint="default" w:ascii="Times New Roman" w:hAnsi="Times New Roman" w:eastAsia="仿宋_GB2312"/>
          <w:iCs/>
          <w:color w:val="000000" w:themeColor="text1"/>
          <w:sz w:val="28"/>
          <w:szCs w:val="28"/>
          <w:lang w:val="en-US" w:eastAsia="zh-CN"/>
          <w14:textFill>
            <w14:solidFill>
              <w14:schemeClr w14:val="tx1"/>
            </w14:solidFill>
          </w14:textFill>
        </w:rPr>
      </w:pPr>
      <w:r>
        <w:rPr>
          <w:rFonts w:hint="eastAsia" w:ascii="Times New Roman" w:hAnsi="Times New Roman" w:eastAsia="仿宋_GB2312"/>
          <w:bCs/>
          <w:iCs/>
          <w:color w:val="000000" w:themeColor="text1"/>
          <w:sz w:val="28"/>
          <w:szCs w:val="28"/>
          <w14:textFill>
            <w14:solidFill>
              <w14:schemeClr w14:val="tx1"/>
            </w14:solidFill>
          </w14:textFill>
        </w:rPr>
        <w:t>编号：2</w:t>
      </w:r>
      <w:r>
        <w:rPr>
          <w:rFonts w:ascii="Times New Roman" w:hAnsi="Times New Roman" w:eastAsia="仿宋_GB2312"/>
          <w:bCs/>
          <w:iCs/>
          <w:color w:val="000000" w:themeColor="text1"/>
          <w:sz w:val="28"/>
          <w:szCs w:val="28"/>
          <w14:textFill>
            <w14:solidFill>
              <w14:schemeClr w14:val="tx1"/>
            </w14:solidFill>
          </w14:textFill>
        </w:rPr>
        <w:t>02</w:t>
      </w:r>
      <w:r>
        <w:rPr>
          <w:rFonts w:hint="eastAsia" w:eastAsia="仿宋_GB2312"/>
          <w:bCs/>
          <w:iCs/>
          <w:color w:val="000000" w:themeColor="text1"/>
          <w:sz w:val="28"/>
          <w:szCs w:val="28"/>
          <w:lang w:val="en-US" w:eastAsia="zh-CN"/>
          <w14:textFill>
            <w14:solidFill>
              <w14:schemeClr w14:val="tx1"/>
            </w14:solidFill>
          </w14:textFill>
        </w:rPr>
        <w:t>6</w:t>
      </w:r>
      <w:r>
        <w:rPr>
          <w:rFonts w:ascii="Times New Roman" w:hAnsi="Times New Roman" w:eastAsia="仿宋_GB2312"/>
          <w:bCs/>
          <w:iCs/>
          <w:color w:val="000000" w:themeColor="text1"/>
          <w:sz w:val="28"/>
          <w:szCs w:val="28"/>
          <w14:textFill>
            <w14:solidFill>
              <w14:schemeClr w14:val="tx1"/>
            </w14:solidFill>
          </w14:textFill>
        </w:rPr>
        <w:t>-</w:t>
      </w:r>
      <w:r>
        <w:rPr>
          <w:rFonts w:hint="eastAsia" w:ascii="Times New Roman" w:hAnsi="Times New Roman" w:eastAsia="仿宋_GB2312"/>
          <w:bCs/>
          <w:iCs/>
          <w:color w:val="000000" w:themeColor="text1"/>
          <w:sz w:val="28"/>
          <w:szCs w:val="28"/>
          <w14:textFill>
            <w14:solidFill>
              <w14:schemeClr w14:val="tx1"/>
            </w14:solidFill>
          </w14:textFill>
        </w:rPr>
        <w:t>0</w:t>
      </w:r>
      <w:r>
        <w:rPr>
          <w:rFonts w:hint="eastAsia" w:eastAsia="仿宋_GB2312"/>
          <w:bCs/>
          <w:iCs/>
          <w:color w:val="000000" w:themeColor="text1"/>
          <w:sz w:val="28"/>
          <w:szCs w:val="28"/>
          <w:lang w:val="en-US" w:eastAsia="zh-CN"/>
          <w14:textFill>
            <w14:solidFill>
              <w14:schemeClr w14:val="tx1"/>
            </w14:solidFill>
          </w14:textFill>
        </w:rPr>
        <w:t>01</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1DF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8C8C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F8391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□特定对象调研        □分析师会议</w:t>
            </w:r>
          </w:p>
          <w:p w14:paraId="7064C8E9">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bCs/>
                <w:iCs/>
                <w:color w:val="auto"/>
                <w:kern w:val="0"/>
                <w:sz w:val="28"/>
                <w:szCs w:val="28"/>
              </w:rPr>
              <w:t xml:space="preserve">□媒体采访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业绩说明会</w:t>
            </w:r>
          </w:p>
          <w:p w14:paraId="4BC7A6D7">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 xml:space="preserve">□新闻发布会          </w:t>
            </w:r>
            <w:r>
              <w:rPr>
                <w:rFonts w:hint="eastAsia" w:ascii="Times New Roman" w:hAnsi="Times New Roman" w:eastAsia="仿宋_GB2312"/>
                <w:bCs/>
                <w:iCs/>
                <w:color w:val="auto"/>
                <w:kern w:val="0"/>
                <w:sz w:val="28"/>
                <w:szCs w:val="28"/>
                <w:lang w:eastAsia="zh-CN"/>
              </w:rPr>
              <w:t>□</w:t>
            </w:r>
            <w:r>
              <w:rPr>
                <w:rFonts w:hint="eastAsia" w:ascii="Times New Roman" w:hAnsi="Times New Roman" w:eastAsia="仿宋_GB2312"/>
                <w:bCs/>
                <w:iCs/>
                <w:color w:val="auto"/>
                <w:kern w:val="0"/>
                <w:sz w:val="28"/>
                <w:szCs w:val="28"/>
              </w:rPr>
              <w:t>路演活动</w:t>
            </w:r>
          </w:p>
          <w:p w14:paraId="574E5CD4">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□现场参观            □其他</w:t>
            </w:r>
          </w:p>
        </w:tc>
      </w:tr>
      <w:tr w14:paraId="671A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B3EC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8B47F">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ascii="Times New Roman" w:hAnsi="Times New Roman" w:eastAsia="仿宋_GB2312"/>
              </w:rPr>
            </w:pPr>
            <w:r>
              <w:rPr>
                <w:rFonts w:hint="eastAsia" w:ascii="Times New Roman" w:hAnsi="Times New Roman" w:eastAsia="仿宋_GB2312" w:cs="仿宋"/>
                <w:color w:val="auto"/>
                <w:sz w:val="28"/>
                <w:szCs w:val="28"/>
                <w:shd w:val="clear" w:color="auto" w:fill="FFFFFF"/>
              </w:rPr>
              <w:t>通过</w:t>
            </w:r>
            <w:r>
              <w:rPr>
                <w:rFonts w:hint="eastAsia" w:ascii="Times New Roman" w:hAnsi="Times New Roman" w:eastAsia="仿宋_GB2312" w:cs="仿宋"/>
                <w:color w:val="auto"/>
                <w:sz w:val="28"/>
                <w:szCs w:val="28"/>
                <w:shd w:val="clear" w:color="auto" w:fill="FFFFFF"/>
                <w:lang w:val="en-US" w:eastAsia="zh-CN"/>
              </w:rPr>
              <w:t>上证路演中心</w:t>
            </w:r>
            <w:r>
              <w:rPr>
                <w:rFonts w:hint="eastAsia" w:eastAsia="仿宋_GB2312" w:cs="仿宋"/>
                <w:color w:val="auto"/>
                <w:sz w:val="28"/>
                <w:szCs w:val="28"/>
                <w:shd w:val="clear" w:color="auto" w:fill="FFFFFF"/>
                <w:lang w:val="en-US" w:eastAsia="zh-CN"/>
              </w:rPr>
              <w:t>和价值在线</w:t>
            </w:r>
            <w:r>
              <w:rPr>
                <w:rFonts w:hint="eastAsia" w:ascii="Times New Roman" w:hAnsi="Times New Roman" w:eastAsia="仿宋_GB2312" w:cs="仿宋"/>
                <w:color w:val="auto"/>
                <w:sz w:val="28"/>
                <w:szCs w:val="28"/>
                <w:shd w:val="clear" w:color="auto" w:fill="FFFFFF"/>
              </w:rPr>
              <w:t>参与</w:t>
            </w:r>
            <w:r>
              <w:rPr>
                <w:rFonts w:hint="eastAsia" w:ascii="Times New Roman" w:hAnsi="Times New Roman" w:eastAsia="仿宋_GB2312" w:cs="仿宋"/>
                <w:color w:val="auto"/>
                <w:sz w:val="28"/>
                <w:szCs w:val="28"/>
                <w:shd w:val="clear" w:color="auto" w:fill="FFFFFF"/>
                <w:lang w:val="en-US" w:eastAsia="zh-CN"/>
              </w:rPr>
              <w:t>公司</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2025年度暨2026年第一季度业绩说明会</w:t>
            </w:r>
            <w:r>
              <w:rPr>
                <w:rFonts w:hint="eastAsia" w:ascii="Times New Roman" w:hAnsi="Times New Roman" w:eastAsia="仿宋_GB2312" w:cs="仿宋"/>
                <w:color w:val="auto"/>
                <w:sz w:val="28"/>
                <w:szCs w:val="28"/>
                <w:shd w:val="clear" w:color="auto" w:fill="FFFFFF"/>
                <w:lang w:eastAsia="zh-CN"/>
              </w:rPr>
              <w:t>”</w:t>
            </w:r>
            <w:r>
              <w:rPr>
                <w:rFonts w:hint="eastAsia" w:ascii="Times New Roman" w:hAnsi="Times New Roman" w:eastAsia="仿宋_GB2312" w:cs="仿宋"/>
                <w:color w:val="auto"/>
                <w:kern w:val="2"/>
                <w:sz w:val="28"/>
                <w:szCs w:val="28"/>
                <w:shd w:val="clear" w:color="auto" w:fill="FFFFFF"/>
                <w:lang w:val="en-US" w:eastAsia="zh-CN" w:bidi="ar-SA"/>
              </w:rPr>
              <w:t>的投资者</w:t>
            </w:r>
          </w:p>
        </w:tc>
      </w:tr>
      <w:tr w14:paraId="4133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C3876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C5FEF1">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eastAsia="zh-CN"/>
              </w:rPr>
            </w:pPr>
            <w:r>
              <w:rPr>
                <w:rFonts w:hint="default" w:ascii="Times New Roman" w:hAnsi="Times New Roman" w:eastAsia="仿宋_GB2312"/>
                <w:bCs/>
                <w:iCs/>
                <w:color w:val="auto"/>
                <w:kern w:val="0"/>
                <w:sz w:val="28"/>
                <w:szCs w:val="28"/>
                <w:lang w:val="en-US" w:eastAsia="zh-CN"/>
              </w:rPr>
              <w:t>2026年4月28日（星期二）10:00-11:00</w:t>
            </w:r>
          </w:p>
        </w:tc>
      </w:tr>
      <w:tr w14:paraId="5B6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1BC0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90D98B">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Times New Roman" w:hAnsi="Times New Roman" w:eastAsia="仿宋_GB2312"/>
                <w:bCs/>
                <w:iCs/>
                <w:color w:val="auto"/>
                <w:kern w:val="0"/>
                <w:sz w:val="28"/>
                <w:szCs w:val="28"/>
                <w:lang w:val="en-US"/>
              </w:rPr>
            </w:pPr>
            <w:r>
              <w:rPr>
                <w:rFonts w:hint="eastAsia" w:ascii="Times New Roman" w:hAnsi="Times New Roman" w:eastAsia="仿宋_GB2312" w:cs="仿宋"/>
                <w:bCs/>
                <w:iCs/>
                <w:color w:val="auto"/>
                <w:kern w:val="0"/>
                <w:sz w:val="28"/>
                <w:szCs w:val="28"/>
                <w:lang w:val="en-US" w:eastAsia="zh-CN"/>
              </w:rPr>
              <w:t>上海证券交易所上证路演中心（网址：https://roadshow.sseinfo.com/）和价值在线（网址：www.ir-online.cn）</w:t>
            </w:r>
            <w:r>
              <w:rPr>
                <w:rFonts w:hint="eastAsia" w:eastAsia="仿宋_GB2312" w:cs="仿宋"/>
                <w:bCs/>
                <w:iCs/>
                <w:color w:val="auto"/>
                <w:kern w:val="0"/>
                <w:sz w:val="28"/>
                <w:szCs w:val="28"/>
                <w:lang w:val="en-US" w:eastAsia="zh-CN"/>
              </w:rPr>
              <w:t>网络文字互动</w:t>
            </w:r>
          </w:p>
        </w:tc>
      </w:tr>
      <w:tr w14:paraId="0075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F168E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上市公司</w:t>
            </w:r>
          </w:p>
          <w:p w14:paraId="7C7677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03704B">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董事长、党委书记：孙光幸先生</w:t>
            </w:r>
          </w:p>
          <w:p w14:paraId="19F99E77">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董事、总经理、党委副书记：刘榜劳先生</w:t>
            </w:r>
          </w:p>
          <w:p w14:paraId="5FBDC676">
            <w:pPr>
              <w:pStyle w:val="9"/>
              <w:keepNext w:val="0"/>
              <w:keepLines w:val="0"/>
              <w:pageBreakBefore w:val="0"/>
              <w:kinsoku/>
              <w:wordWrap/>
              <w:overflowPunct/>
              <w:topLinePunct w:val="0"/>
              <w:autoSpaceDE/>
              <w:autoSpaceDN/>
              <w:bidi w:val="0"/>
              <w:adjustRightInd/>
              <w:snapToGrid/>
              <w:spacing w:after="0" w:line="240" w:lineRule="auto"/>
              <w:ind w:left="0" w:leftChars="0" w:firstLine="0"/>
              <w:textAlignment w:val="auto"/>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总会计师、董事会秘书：孙岩先生</w:t>
            </w:r>
          </w:p>
          <w:p w14:paraId="2693D8E2">
            <w:pPr>
              <w:rPr>
                <w:rFonts w:hint="eastAsia" w:ascii="Times New Roman" w:hAnsi="Times New Roman" w:eastAsia="仿宋_GB2312" w:cs="仿宋"/>
                <w:b w:val="0"/>
                <w:bCs w:val="0"/>
                <w:color w:val="auto"/>
                <w:kern w:val="2"/>
                <w:sz w:val="28"/>
                <w:szCs w:val="28"/>
                <w:lang w:val="en-US" w:eastAsia="zh-CN" w:bidi="ar-SA"/>
              </w:rPr>
            </w:pPr>
            <w:r>
              <w:rPr>
                <w:rFonts w:hint="eastAsia" w:ascii="Times New Roman" w:hAnsi="Times New Roman" w:eastAsia="仿宋_GB2312" w:cs="仿宋"/>
                <w:b w:val="0"/>
                <w:bCs w:val="0"/>
                <w:color w:val="auto"/>
                <w:kern w:val="2"/>
                <w:sz w:val="28"/>
                <w:szCs w:val="28"/>
                <w:lang w:val="en-US" w:eastAsia="zh-CN" w:bidi="ar-SA"/>
              </w:rPr>
              <w:t>独立董事：刘颖斐女士</w:t>
            </w:r>
          </w:p>
        </w:tc>
      </w:tr>
      <w:tr w14:paraId="65DD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4"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F4E1E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7275A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Times New Roman" w:hAnsi="Times New Roman" w:eastAsia="仿宋_GB2312"/>
                <w:b w:val="0"/>
                <w:bCs w:val="0"/>
                <w:lang w:val="en-US" w:eastAsia="zh-CN"/>
              </w:rPr>
            </w:pPr>
            <w:r>
              <w:rPr>
                <w:rFonts w:hint="eastAsia" w:ascii="Times New Roman" w:hAnsi="Times New Roman" w:eastAsia="仿宋_GB2312" w:cs="仿宋"/>
                <w:b w:val="0"/>
                <w:bCs w:val="0"/>
                <w:color w:val="auto"/>
                <w:kern w:val="2"/>
                <w:sz w:val="28"/>
                <w:szCs w:val="28"/>
                <w:lang w:val="en-US" w:eastAsia="zh-CN" w:bidi="ar-SA"/>
              </w:rPr>
              <w:t>公司于2026年4月28日（星期二）10:00-11:00在上海证券交易所上证路演中心和价值在线平台通过网络文字互动的方式召开2025年度暨2026年第一季度业绩说明会，就投资者关心的问题进行交流。</w:t>
            </w:r>
          </w:p>
          <w:p w14:paraId="1E48F1D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问题1：麻烦请问公司未来的分红计划和派息政策？</w:t>
            </w:r>
          </w:p>
          <w:p w14:paraId="5A0D7F1F">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高度重视投资者的合理回报，在兼顾经营业绩可持续发展的前提下，一直积极践行稳健的现金分红政策。2025年度，公司拟向全体股东每10股派发现金红利0.56元（含税），合计拟派发现金红利19,292,000.00元（含税），占本年度归属于上市公司股东净利润的比例45.10%</w:t>
            </w:r>
            <w:r>
              <w:rPr>
                <w:rFonts w:hint="eastAsia" w:eastAsia="仿宋_GB2312" w:cs="仿宋"/>
                <w:b w:val="0"/>
                <w:bCs w:val="0"/>
                <w:color w:val="auto"/>
                <w:sz w:val="28"/>
                <w:szCs w:val="28"/>
                <w:lang w:eastAsia="zh-CN"/>
              </w:rPr>
              <w:t>，占本年</w:t>
            </w:r>
            <w:r>
              <w:rPr>
                <w:rFonts w:hint="eastAsia" w:eastAsia="仿宋_GB2312" w:cs="仿宋"/>
                <w:b w:val="0"/>
                <w:bCs w:val="0"/>
                <w:color w:val="auto"/>
                <w:sz w:val="28"/>
                <w:szCs w:val="28"/>
                <w:lang w:val="en-US" w:eastAsia="zh-CN"/>
              </w:rPr>
              <w:t>度</w:t>
            </w:r>
            <w:r>
              <w:rPr>
                <w:rFonts w:hint="eastAsia" w:eastAsia="仿宋_GB2312" w:cs="仿宋"/>
                <w:b w:val="0"/>
                <w:bCs w:val="0"/>
                <w:color w:val="auto"/>
                <w:sz w:val="28"/>
                <w:szCs w:val="28"/>
                <w:lang w:eastAsia="zh-CN"/>
              </w:rPr>
              <w:t>提取10%法定盈余公积后可供分配利润比例为50.11%</w:t>
            </w:r>
            <w:r>
              <w:rPr>
                <w:rFonts w:hint="eastAsia" w:ascii="Times New Roman" w:hAnsi="Times New Roman" w:eastAsia="仿宋_GB2312" w:cs="仿宋"/>
                <w:b w:val="0"/>
                <w:bCs w:val="0"/>
                <w:color w:val="auto"/>
                <w:sz w:val="28"/>
                <w:szCs w:val="28"/>
              </w:rPr>
              <w:t>。</w:t>
            </w:r>
          </w:p>
          <w:p w14:paraId="15810D9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2026年，公司将继续统筹好经营发展、业绩增长与股东回报的动态平衡，继续落实稳健的分红政策，在保证主营业务发展合理需求的前提下，结合实际经营情况和发展规划，在盈利允许的范围内通过增加分红频次、保持较高水平现金分红比例等手段，让投资者切实分享企业发展成长红利，提升投资者获得感。感谢您的关注。</w:t>
            </w:r>
          </w:p>
          <w:p w14:paraId="7E9D2FF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2</w:t>
            </w:r>
            <w:r>
              <w:rPr>
                <w:rFonts w:hint="eastAsia" w:ascii="Times New Roman" w:hAnsi="Times New Roman" w:eastAsia="仿宋_GB2312" w:cs="仿宋"/>
                <w:b/>
                <w:bCs/>
                <w:color w:val="auto"/>
                <w:sz w:val="28"/>
                <w:szCs w:val="28"/>
                <w:lang w:val="en-US" w:eastAsia="zh-CN"/>
              </w:rPr>
              <w:t>：请问贵公司本期财务报告中，盈利表现如何？谢谢</w:t>
            </w:r>
            <w:r>
              <w:rPr>
                <w:rFonts w:hint="eastAsia" w:eastAsia="仿宋_GB2312" w:cs="仿宋"/>
                <w:b/>
                <w:bCs/>
                <w:color w:val="auto"/>
                <w:sz w:val="28"/>
                <w:szCs w:val="28"/>
                <w:lang w:val="en-US" w:eastAsia="zh-CN"/>
              </w:rPr>
              <w:t>。</w:t>
            </w:r>
          </w:p>
          <w:p w14:paraId="5EC07AC0">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2025年公司实现收入6.28亿元，同比增长2.78%，实现归属于母公司所有者的净利润4,277.75万元，同比增长89.89%，综合毛利率同比增加8.6个百分点，经营活动产生的现金流量转正，全年经营呈现稳中有进、持续向好的发展态势。2026年一季度公司营业收入1.04亿元，同比增长59.50%，归母净利润640.76万元，同比增长240.27%，一季度实现良好开局。</w:t>
            </w:r>
          </w:p>
          <w:p w14:paraId="20B4AE9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3</w:t>
            </w:r>
            <w:r>
              <w:rPr>
                <w:rFonts w:hint="eastAsia" w:ascii="Times New Roman" w:hAnsi="Times New Roman" w:eastAsia="仿宋_GB2312" w:cs="仿宋"/>
                <w:b/>
                <w:bCs/>
                <w:color w:val="auto"/>
                <w:sz w:val="28"/>
                <w:szCs w:val="28"/>
                <w:lang w:val="en-US" w:eastAsia="zh-CN"/>
              </w:rPr>
              <w:t>：请问公司2025年分红方案是什么，未来分红比例会不会提高？</w:t>
            </w:r>
          </w:p>
          <w:p w14:paraId="433DA42C">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高度重视投资者的合理回报，在兼顾经营业绩可持续发展的前提下，一直积极践行稳健的现金分红政策。2025年度，公司拟向全体股东每10股派发现金红利0.56元（含税），合计拟派发现金红利19,292,000.00元（含税），占本年度归属于上市公司股东净利润的比例45.10%，占本年</w:t>
            </w:r>
            <w:r>
              <w:rPr>
                <w:rFonts w:hint="eastAsia" w:eastAsia="仿宋_GB2312" w:cs="仿宋"/>
                <w:b w:val="0"/>
                <w:bCs w:val="0"/>
                <w:color w:val="auto"/>
                <w:sz w:val="28"/>
                <w:szCs w:val="28"/>
                <w:lang w:val="en-US" w:eastAsia="zh-CN"/>
              </w:rPr>
              <w:t>度</w:t>
            </w:r>
            <w:r>
              <w:rPr>
                <w:rFonts w:hint="eastAsia" w:ascii="Times New Roman" w:hAnsi="Times New Roman" w:eastAsia="仿宋_GB2312" w:cs="仿宋"/>
                <w:b w:val="0"/>
                <w:bCs w:val="0"/>
                <w:color w:val="auto"/>
                <w:sz w:val="28"/>
                <w:szCs w:val="28"/>
              </w:rPr>
              <w:t>提取10%法定盈余公积后可供分配利润比例为50.11%。</w:t>
            </w:r>
          </w:p>
          <w:p w14:paraId="12D9DC6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val="0"/>
                <w:bCs w:val="0"/>
                <w:color w:val="auto"/>
                <w:sz w:val="28"/>
                <w:szCs w:val="28"/>
              </w:rPr>
              <w:t>2026年，公司将继续统筹好经营发展、业绩增长与股东回报的动态平衡，继续落实稳健的分红政策，在保证主营业务发展合理需求的前提下，结合实际经营情况和发展规划，在盈利允许的范围内通过增加分红频次、保持较高水平现金分红比例等手段，让投资者切实分享企业发展成长红利，提升投资者获得感。感谢您的关注。</w:t>
            </w:r>
          </w:p>
          <w:p w14:paraId="6AEFF68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4</w:t>
            </w:r>
            <w:r>
              <w:rPr>
                <w:rFonts w:hint="eastAsia" w:ascii="Times New Roman" w:hAnsi="Times New Roman" w:eastAsia="仿宋_GB2312" w:cs="仿宋"/>
                <w:b/>
                <w:bCs/>
                <w:color w:val="auto"/>
                <w:sz w:val="28"/>
                <w:szCs w:val="28"/>
                <w:lang w:val="en-US" w:eastAsia="zh-CN"/>
              </w:rPr>
              <w:t>：公司是否有国际化发展的战略规划？未来是否考虑拓展海外市场？</w:t>
            </w:r>
          </w:p>
          <w:p w14:paraId="4A38590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紧跟国家，行业的规划要求，科学谋划“十五五”规划，制定“1358”战略，明确提出了国际化发展的相关战略。公司将持续优化医药包装及医疗器械板块市场结构和产品结构，稳住“基本盘”，培育“新品盘”，持续提升国际化市场体系能力，加快海外渠道布局，加大内部资源支持，提高外贸团队组织力，强化国际市场对接，进一步提高海外市场份额。感谢您的关注。</w:t>
            </w:r>
          </w:p>
          <w:p w14:paraId="6B3EC5D5">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5</w:t>
            </w:r>
            <w:r>
              <w:rPr>
                <w:rFonts w:hint="eastAsia" w:ascii="Times New Roman" w:hAnsi="Times New Roman" w:eastAsia="仿宋_GB2312" w:cs="仿宋"/>
                <w:b/>
                <w:bCs/>
                <w:color w:val="auto"/>
                <w:sz w:val="28"/>
                <w:szCs w:val="28"/>
                <w:lang w:val="en-US" w:eastAsia="zh-CN"/>
              </w:rPr>
              <w:t>：公司在特种防护装备领域的市场份额如何？未来是否有计划进一步扩大市场份额？</w:t>
            </w:r>
          </w:p>
          <w:p w14:paraId="6209D53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是国内专业的防化装备科研生产单位，全军透气式防毒服，专用防毒面具，集体防护装备定点生产企业，以及国家人防工程防化设备定点生产企业，产品覆盖多个军兵种。2025年度，公司特种防护装备板块，占营业收入的比例为42.78%，同比增长41.71%。未来，公司将牢固树立强军胜战鲜明导向，以需求为牵引，以技术为驱动，加快推动特品转型升级，深化对接需求，统筹竞标工作，积极开拓市场。感谢您的关注。</w:t>
            </w:r>
          </w:p>
          <w:p w14:paraId="135CB4EC">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6</w:t>
            </w:r>
            <w:r>
              <w:rPr>
                <w:rFonts w:hint="eastAsia" w:ascii="Times New Roman" w:hAnsi="Times New Roman" w:eastAsia="仿宋_GB2312" w:cs="仿宋"/>
                <w:b/>
                <w:bCs/>
                <w:color w:val="auto"/>
                <w:sz w:val="28"/>
                <w:szCs w:val="28"/>
                <w:lang w:val="en-US" w:eastAsia="zh-CN"/>
              </w:rPr>
              <w:t>：注意到公司研发投入占比达到9.09%，请问这些研发投入主要集中在哪些项目上？</w:t>
            </w:r>
          </w:p>
          <w:p w14:paraId="7ACDF089">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2025年研发投入金额5713.82万元，占公司2025年营业收入比例为9.09%，科技投入逐年增加，主要用于公司主营业务特种防护装备和医药包装及医疗器械板块的重点研发项目。截至2025年底，多项重点项目先后顺利完成结题验收与技术攻关，为公司未来经营发展提供有力支撑。感谢您的关注。</w:t>
            </w:r>
          </w:p>
          <w:p w14:paraId="50C392B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7</w:t>
            </w:r>
            <w:r>
              <w:rPr>
                <w:rFonts w:hint="eastAsia" w:ascii="Times New Roman" w:hAnsi="Times New Roman" w:eastAsia="仿宋_GB2312" w:cs="仿宋"/>
                <w:b/>
                <w:bCs/>
                <w:color w:val="auto"/>
                <w:sz w:val="28"/>
                <w:szCs w:val="28"/>
                <w:lang w:val="en-US" w:eastAsia="zh-CN"/>
              </w:rPr>
              <w:t>：请问公司一季度经营情况怎样？</w:t>
            </w:r>
          </w:p>
          <w:p w14:paraId="6FBFE32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尊敬的投资者您好！2026年一季度公司营业收入1.04亿元，同比增长59.50%，归母净利润640.76万元，同比增长240.27%，基本每股收益同比增长280%，一季度实现良好开局。感谢您的关注。</w:t>
            </w:r>
          </w:p>
          <w:p w14:paraId="49EA55EB">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8</w:t>
            </w:r>
            <w:r>
              <w:rPr>
                <w:rFonts w:hint="eastAsia" w:ascii="Times New Roman" w:hAnsi="Times New Roman" w:eastAsia="仿宋_GB2312" w:cs="仿宋"/>
                <w:b/>
                <w:bCs/>
                <w:color w:val="auto"/>
                <w:sz w:val="28"/>
                <w:szCs w:val="28"/>
                <w:lang w:val="en-US" w:eastAsia="zh-CN"/>
              </w:rPr>
              <w:t>：公司综合毛利率同比增加了8.6个百分点，这主要得益于哪些因素？</w:t>
            </w:r>
          </w:p>
          <w:p w14:paraId="250B434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2025年度，公司综合毛利率同比增加主要原因为一是公司特种防护装备产品收入同比增加41.71%，推动特种防护装备产品毛利率同比提升。二是公司医药包装及医疗器械产品结构优化，低盈利产品销量减少，高盈利产品销量增加。三是公司持续实施提质增效行动，开源、节流、降成本三方面措施取得实效，公司生产管理水平全面提升。感谢您的关注。</w:t>
            </w:r>
          </w:p>
          <w:p w14:paraId="2F08DBBA">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9</w:t>
            </w:r>
            <w:r>
              <w:rPr>
                <w:rFonts w:hint="eastAsia" w:ascii="Times New Roman" w:hAnsi="Times New Roman" w:eastAsia="仿宋_GB2312" w:cs="仿宋"/>
                <w:b/>
                <w:bCs/>
                <w:color w:val="auto"/>
                <w:sz w:val="28"/>
                <w:szCs w:val="28"/>
                <w:lang w:val="en-US" w:eastAsia="zh-CN"/>
              </w:rPr>
              <w:t>：请问公司对未来发展有什么战略？</w:t>
            </w:r>
          </w:p>
          <w:p w14:paraId="2E4148C6">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十五五”时期将紧跟国家、行业的规划要求，奋力推进“1358”战略。特种防护产业，坚决贯彻强军首责和强军胜战要求，坚持“体系防护”“实战防护”“数智防护”“低成本防护”发展理念，实施“技术领先”策略加快推动装备价值从传统单一防护向信息化、智能化、集成化方向聚合；医药包装产业，紧跟医药产业发展，服务健康中国建设，对标标杆企业，聚焦丁基胶塞、多层共挤膜、铝塑制品等产品谱系，实施“两新一基”市场策略，围绕技术进步和工艺提升，开拓中高端市场。同时公司将在科技创新、深化改革、数智转型等方面下功夫，全面提升公司运营质量。感谢您的关注。</w:t>
            </w:r>
          </w:p>
          <w:p w14:paraId="26168EC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10</w:t>
            </w:r>
            <w:r>
              <w:rPr>
                <w:rFonts w:hint="eastAsia" w:ascii="Times New Roman" w:hAnsi="Times New Roman" w:eastAsia="仿宋_GB2312" w:cs="仿宋"/>
                <w:b/>
                <w:bCs/>
                <w:color w:val="auto"/>
                <w:sz w:val="28"/>
                <w:szCs w:val="28"/>
                <w:lang w:val="en-US" w:eastAsia="zh-CN"/>
              </w:rPr>
              <w:t>：请贵公司领导评价一下去年的业绩表现？</w:t>
            </w:r>
          </w:p>
          <w:p w14:paraId="22C23FE8">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2025年是公司“十四五”规划的收官之年，也是公司提质增效、转型升级的关键年。公司紧紧围绕“1233”战略，坚持目标不动摇，聚焦主责主业，贯彻落实“强军首责”，布局战新产业，加快产品结构调整，深入实施“强基拓新”市场策略，新客户开拓、新市场拓展和新产品交付取得实效，圆满完成装备科研生产任务，支撑了公司全年业绩增长。2025年公司实现收入6.28亿元，同比提升2.78%，实现归属于母公司所有者的净利润4,277.75万元，同比增加89.89%，公司经营质量明显好转，整体运营效能与发展韧性显著提升。感谢您的关注。</w:t>
            </w:r>
          </w:p>
          <w:p w14:paraId="4FBC942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11</w:t>
            </w:r>
            <w:r>
              <w:rPr>
                <w:rFonts w:hint="eastAsia" w:ascii="Times New Roman" w:hAnsi="Times New Roman" w:eastAsia="仿宋_GB2312" w:cs="仿宋"/>
                <w:b/>
                <w:bCs/>
                <w:color w:val="auto"/>
                <w:sz w:val="28"/>
                <w:szCs w:val="28"/>
                <w:lang w:val="en-US" w:eastAsia="zh-CN"/>
              </w:rPr>
              <w:t>：公司在履行社会责任方面有哪些具体项目或活动？</w:t>
            </w:r>
          </w:p>
          <w:p w14:paraId="4DAD9C25">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2025年，公司高度重视社会责任履行，一是积极开展公益性捐赠，2025年公司向云南砚山捐赠45万元帮扶资金，用于支持当地乡村振兴项目，促进区域协调发展，并通过消费帮扶形式提供价值28.74万元的物资支持乡村振兴。二是环境管理方面，实施废水回用、废气治理、绿色原料替代，光伏发电、全年污染物达标排放且无环保事故。三是安全生产方面，完成生产线自动化改造，建立员工隐患报告奖励机制，强化全员安全管理。四是开展专题培训、健康咨询及中医保健服务，构建职工健康保障体系。五是重视投资者权益保护，通过业绩说明会、投资者调研等活动加强沟通，2025年举办4次业绩说明会、1次投资者集体接待日活动及2次投资者教育活动。感谢您的关注。</w:t>
            </w:r>
          </w:p>
          <w:p w14:paraId="510A3E14">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12</w:t>
            </w:r>
            <w:r>
              <w:rPr>
                <w:rFonts w:hint="eastAsia" w:ascii="Times New Roman" w:hAnsi="Times New Roman" w:eastAsia="仿宋_GB2312" w:cs="仿宋"/>
                <w:b/>
                <w:bCs/>
                <w:color w:val="auto"/>
                <w:sz w:val="28"/>
                <w:szCs w:val="28"/>
                <w:lang w:val="en-US" w:eastAsia="zh-CN"/>
              </w:rPr>
              <w:t>：看到公司2025年营业收入同比增长了2.78%，能否详细解释一下主要增长点来自哪些业务板块？</w:t>
            </w:r>
          </w:p>
          <w:p w14:paraId="5D3E884A">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val="0"/>
                <w:bCs w:val="0"/>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w:t>
            </w:r>
            <w:bookmarkStart w:id="0" w:name="_GoBack"/>
            <w:bookmarkEnd w:id="0"/>
            <w:r>
              <w:rPr>
                <w:rFonts w:hint="eastAsia" w:ascii="Times New Roman" w:hAnsi="Times New Roman" w:eastAsia="仿宋_GB2312" w:cs="仿宋"/>
                <w:b w:val="0"/>
                <w:bCs w:val="0"/>
                <w:color w:val="auto"/>
                <w:sz w:val="28"/>
                <w:szCs w:val="28"/>
              </w:rPr>
              <w:t>2025年度公司全年实现营业收入6.28亿元，同比增长2.78%，主要来源于特种防护装备和医药包装及医疗器械两大业务板块，营业收入分别为2.69亿元和3.49亿元，分别占</w:t>
            </w:r>
            <w:r>
              <w:rPr>
                <w:rFonts w:hint="eastAsia" w:eastAsia="仿宋_GB2312" w:cs="仿宋"/>
                <w:b w:val="0"/>
                <w:bCs w:val="0"/>
                <w:color w:val="auto"/>
                <w:sz w:val="28"/>
                <w:szCs w:val="28"/>
                <w:lang w:val="en-US" w:eastAsia="zh-CN"/>
              </w:rPr>
              <w:t>公司全年</w:t>
            </w:r>
            <w:r>
              <w:rPr>
                <w:rFonts w:hint="eastAsia" w:ascii="Times New Roman" w:hAnsi="Times New Roman" w:eastAsia="仿宋_GB2312" w:cs="仿宋"/>
                <w:b w:val="0"/>
                <w:bCs w:val="0"/>
                <w:color w:val="auto"/>
                <w:sz w:val="28"/>
                <w:szCs w:val="28"/>
              </w:rPr>
              <w:t>营业收入的比例为42.78%和55.61%。营业收入的增长主要得益于个体防护装备产品收入同比增加。感谢您的关注。</w:t>
            </w:r>
          </w:p>
          <w:p w14:paraId="76487295">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13</w:t>
            </w:r>
            <w:r>
              <w:rPr>
                <w:rFonts w:hint="eastAsia" w:ascii="Times New Roman" w:hAnsi="Times New Roman" w:eastAsia="仿宋_GB2312" w:cs="仿宋"/>
                <w:b/>
                <w:bCs/>
                <w:color w:val="auto"/>
                <w:sz w:val="28"/>
                <w:szCs w:val="28"/>
                <w:lang w:val="en-US" w:eastAsia="zh-CN"/>
              </w:rPr>
              <w:t>：公司在年报中提到注重环境管理，能否具体介绍一下公司在节能减排、绿色生产方面采取了哪些措施？</w:t>
            </w:r>
          </w:p>
          <w:p w14:paraId="7DA4D9A2">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公司高度重视绿色低碳发展，持续推进节能减排与清洁绿色生产。公司积极布局屋顶分布式光伏发电，使用清洁能源降低用电能耗，开展空压机变频升级等节能技术改造，优化用电调度，提升能源利用效率。生产过程中加强水资源循环回用改造，减少新鲜水资源消耗。严格管控生产污染物排放，对废水、废气、噪声常态化治理，固废及危险废物分类规范贮存、合规无害化处置，实现资源化回收利用。公司建立完善环保管理制度与责任体系，加大环保专项投入，强化环保安全培训与应急演练，推行绿色采购与低碳办公，持续降低碳排放强度，全过程践行绿色可持续生产理念。感谢您的关注。</w:t>
            </w:r>
          </w:p>
          <w:p w14:paraId="0164F471">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lang w:val="en-US" w:eastAsia="zh-CN"/>
              </w:rPr>
            </w:pPr>
            <w:r>
              <w:rPr>
                <w:rFonts w:hint="eastAsia" w:ascii="Times New Roman" w:hAnsi="Times New Roman" w:eastAsia="仿宋_GB2312" w:cs="仿宋"/>
                <w:b/>
                <w:bCs/>
                <w:color w:val="auto"/>
                <w:sz w:val="28"/>
                <w:szCs w:val="28"/>
                <w:lang w:val="en-US" w:eastAsia="zh-CN"/>
              </w:rPr>
              <w:t>问题</w:t>
            </w:r>
            <w:r>
              <w:rPr>
                <w:rFonts w:hint="eastAsia" w:eastAsia="仿宋_GB2312" w:cs="仿宋"/>
                <w:b/>
                <w:bCs/>
                <w:color w:val="auto"/>
                <w:sz w:val="28"/>
                <w:szCs w:val="28"/>
                <w:lang w:val="en-US" w:eastAsia="zh-CN"/>
              </w:rPr>
              <w:t>14</w:t>
            </w:r>
            <w:r>
              <w:rPr>
                <w:rFonts w:hint="eastAsia" w:ascii="Times New Roman" w:hAnsi="Times New Roman" w:eastAsia="仿宋_GB2312" w:cs="仿宋"/>
                <w:b/>
                <w:bCs/>
                <w:color w:val="auto"/>
                <w:sz w:val="28"/>
                <w:szCs w:val="28"/>
                <w:lang w:val="en-US" w:eastAsia="zh-CN"/>
              </w:rPr>
              <w:t>：麻烦请问公司目前的股东人数?</w:t>
            </w:r>
          </w:p>
          <w:p w14:paraId="1CFB0E7D">
            <w:pPr>
              <w:pStyle w:val="19"/>
              <w:keepNext w:val="0"/>
              <w:keepLines w:val="0"/>
              <w:pageBreakBefore w:val="0"/>
              <w:kinsoku/>
              <w:wordWrap/>
              <w:overflowPunct/>
              <w:topLinePunct w:val="0"/>
              <w:autoSpaceDE/>
              <w:autoSpaceDN/>
              <w:bidi w:val="0"/>
              <w:adjustRightInd/>
              <w:snapToGrid/>
              <w:spacing w:beforeLines="0" w:line="240" w:lineRule="auto"/>
              <w:ind w:left="0" w:leftChars="0" w:firstLine="562"/>
              <w:textAlignment w:val="auto"/>
              <w:rPr>
                <w:rFonts w:hint="eastAsia" w:ascii="Times New Roman" w:hAnsi="Times New Roman" w:eastAsia="仿宋_GB2312" w:cs="仿宋"/>
                <w:b/>
                <w:bCs/>
                <w:color w:val="auto"/>
                <w:sz w:val="28"/>
                <w:szCs w:val="28"/>
              </w:rPr>
            </w:pPr>
            <w:r>
              <w:rPr>
                <w:rFonts w:hint="eastAsia" w:ascii="Times New Roman" w:hAnsi="Times New Roman" w:eastAsia="仿宋_GB2312" w:cs="仿宋"/>
                <w:b/>
                <w:bCs/>
                <w:color w:val="auto"/>
                <w:sz w:val="28"/>
                <w:szCs w:val="28"/>
              </w:rPr>
              <w:t>答：</w:t>
            </w:r>
            <w:r>
              <w:rPr>
                <w:rFonts w:hint="eastAsia" w:ascii="Times New Roman" w:hAnsi="Times New Roman" w:eastAsia="仿宋_GB2312" w:cs="仿宋"/>
                <w:b w:val="0"/>
                <w:bCs w:val="0"/>
                <w:color w:val="auto"/>
                <w:sz w:val="28"/>
                <w:szCs w:val="28"/>
              </w:rPr>
              <w:t>尊敬的投资者您好！截至2026年3月31日，公司股东总数为17562人。感谢您的关注</w:t>
            </w:r>
            <w:r>
              <w:rPr>
                <w:rFonts w:hint="eastAsia" w:eastAsia="仿宋_GB2312" w:cs="仿宋"/>
                <w:b w:val="0"/>
                <w:bCs w:val="0"/>
                <w:color w:val="auto"/>
                <w:sz w:val="28"/>
                <w:szCs w:val="28"/>
                <w:lang w:eastAsia="zh-CN"/>
              </w:rPr>
              <w:t>。</w:t>
            </w:r>
          </w:p>
        </w:tc>
      </w:tr>
      <w:tr w14:paraId="1B23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0760A0">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01908D">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本次活动不涉及未公开披露的重大信息。</w:t>
            </w:r>
          </w:p>
        </w:tc>
      </w:tr>
      <w:tr w14:paraId="031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C300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DCB93">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无</w:t>
            </w:r>
          </w:p>
        </w:tc>
      </w:tr>
      <w:tr w14:paraId="126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BBB8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rPr>
            </w:pPr>
            <w:r>
              <w:rPr>
                <w:rFonts w:hint="eastAsia" w:ascii="Times New Roman" w:hAnsi="Times New Roman" w:eastAsia="仿宋_GB2312"/>
                <w:bCs/>
                <w:iCs/>
                <w:color w:val="auto"/>
                <w:kern w:val="0"/>
                <w:sz w:val="28"/>
                <w:szCs w:val="28"/>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518E60">
            <w:pPr>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仿宋_GB2312"/>
                <w:bCs/>
                <w:iCs/>
                <w:color w:val="auto"/>
                <w:kern w:val="0"/>
                <w:sz w:val="28"/>
                <w:szCs w:val="28"/>
                <w:lang w:val="en-US" w:eastAsia="zh-CN"/>
              </w:rPr>
            </w:pPr>
            <w:r>
              <w:rPr>
                <w:rFonts w:hint="eastAsia" w:ascii="Times New Roman" w:hAnsi="Times New Roman" w:eastAsia="仿宋_GB2312"/>
                <w:bCs/>
                <w:iCs/>
                <w:color w:val="auto"/>
                <w:kern w:val="0"/>
                <w:sz w:val="28"/>
                <w:szCs w:val="28"/>
                <w:lang w:val="en-US" w:eastAsia="zh-CN"/>
              </w:rPr>
              <w:t>202</w:t>
            </w:r>
            <w:r>
              <w:rPr>
                <w:rFonts w:hint="eastAsia" w:eastAsia="仿宋_GB2312"/>
                <w:bCs/>
                <w:iCs/>
                <w:color w:val="auto"/>
                <w:kern w:val="0"/>
                <w:sz w:val="28"/>
                <w:szCs w:val="28"/>
                <w:lang w:val="en-US" w:eastAsia="zh-CN"/>
              </w:rPr>
              <w:t>6</w:t>
            </w:r>
            <w:r>
              <w:rPr>
                <w:rFonts w:hint="eastAsia" w:ascii="Times New Roman" w:hAnsi="Times New Roman" w:eastAsia="仿宋_GB2312"/>
                <w:bCs/>
                <w:iCs/>
                <w:color w:val="auto"/>
                <w:kern w:val="0"/>
                <w:sz w:val="28"/>
                <w:szCs w:val="28"/>
                <w:lang w:val="en-US" w:eastAsia="zh-CN"/>
              </w:rPr>
              <w:t>年</w:t>
            </w:r>
            <w:r>
              <w:rPr>
                <w:rFonts w:hint="eastAsia" w:eastAsia="仿宋_GB2312"/>
                <w:bCs/>
                <w:iCs/>
                <w:color w:val="auto"/>
                <w:kern w:val="0"/>
                <w:sz w:val="28"/>
                <w:szCs w:val="28"/>
                <w:lang w:val="en-US" w:eastAsia="zh-CN"/>
              </w:rPr>
              <w:t>4</w:t>
            </w:r>
            <w:r>
              <w:rPr>
                <w:rFonts w:hint="eastAsia" w:ascii="Times New Roman" w:hAnsi="Times New Roman" w:eastAsia="仿宋_GB2312"/>
                <w:bCs/>
                <w:iCs/>
                <w:color w:val="auto"/>
                <w:kern w:val="0"/>
                <w:sz w:val="28"/>
                <w:szCs w:val="28"/>
                <w:lang w:val="en-US" w:eastAsia="zh-CN"/>
              </w:rPr>
              <w:t>月</w:t>
            </w:r>
            <w:r>
              <w:rPr>
                <w:rFonts w:hint="eastAsia" w:eastAsia="仿宋_GB2312"/>
                <w:bCs/>
                <w:iCs/>
                <w:color w:val="auto"/>
                <w:kern w:val="0"/>
                <w:sz w:val="28"/>
                <w:szCs w:val="28"/>
                <w:lang w:val="en-US" w:eastAsia="zh-CN"/>
              </w:rPr>
              <w:t>28</w:t>
            </w:r>
            <w:r>
              <w:rPr>
                <w:rFonts w:hint="eastAsia" w:ascii="Times New Roman" w:hAnsi="Times New Roman" w:eastAsia="仿宋_GB2312"/>
                <w:bCs/>
                <w:iCs/>
                <w:color w:val="auto"/>
                <w:kern w:val="0"/>
                <w:sz w:val="28"/>
                <w:szCs w:val="28"/>
                <w:lang w:val="en-US" w:eastAsia="zh-CN"/>
              </w:rPr>
              <w:t>日</w:t>
            </w:r>
          </w:p>
        </w:tc>
      </w:tr>
    </w:tbl>
    <w:p w14:paraId="3EAAF87B">
      <w:pPr>
        <w:keepNext w:val="0"/>
        <w:keepLines w:val="0"/>
        <w:pageBreakBefore w:val="0"/>
        <w:widowControl w:val="0"/>
        <w:kinsoku/>
        <w:wordWrap/>
        <w:overflowPunct/>
        <w:topLinePunct w:val="0"/>
        <w:autoSpaceDE/>
        <w:autoSpaceDN/>
        <w:bidi w:val="0"/>
        <w:adjustRightInd/>
        <w:snapToGrid/>
        <w:spacing w:line="14" w:lineRule="exact"/>
        <w:textAlignment w:val="auto"/>
        <w:rPr>
          <w:rFonts w:ascii="Times New Roman" w:hAnsi="Times New Roman" w:eastAsia="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95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1602">
                          <w:pPr>
                            <w:pStyle w:val="5"/>
                            <w:jc w:val="cente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821602">
                    <w:pPr>
                      <w:pStyle w:val="5"/>
                      <w:jc w:val="cente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489C"/>
    <w:rsid w:val="000A37FB"/>
    <w:rsid w:val="000A554C"/>
    <w:rsid w:val="000D1C9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58BB"/>
    <w:rsid w:val="001F0134"/>
    <w:rsid w:val="00202D6E"/>
    <w:rsid w:val="0020788C"/>
    <w:rsid w:val="002134C3"/>
    <w:rsid w:val="00214482"/>
    <w:rsid w:val="0022161F"/>
    <w:rsid w:val="00227412"/>
    <w:rsid w:val="00227AB8"/>
    <w:rsid w:val="002326A7"/>
    <w:rsid w:val="0023479D"/>
    <w:rsid w:val="002375C6"/>
    <w:rsid w:val="00240FF5"/>
    <w:rsid w:val="00243A7D"/>
    <w:rsid w:val="00245E9E"/>
    <w:rsid w:val="0025385E"/>
    <w:rsid w:val="00267FA0"/>
    <w:rsid w:val="00274B8F"/>
    <w:rsid w:val="00275502"/>
    <w:rsid w:val="002836D9"/>
    <w:rsid w:val="00284388"/>
    <w:rsid w:val="002854AA"/>
    <w:rsid w:val="00286D84"/>
    <w:rsid w:val="00290359"/>
    <w:rsid w:val="002C1BA8"/>
    <w:rsid w:val="002C6E8D"/>
    <w:rsid w:val="002D18EA"/>
    <w:rsid w:val="002D4B87"/>
    <w:rsid w:val="002D628E"/>
    <w:rsid w:val="002F0F9B"/>
    <w:rsid w:val="002F28B5"/>
    <w:rsid w:val="002F4516"/>
    <w:rsid w:val="002F6F18"/>
    <w:rsid w:val="002F6F52"/>
    <w:rsid w:val="00306299"/>
    <w:rsid w:val="00311A5F"/>
    <w:rsid w:val="003320C6"/>
    <w:rsid w:val="00344818"/>
    <w:rsid w:val="003526EF"/>
    <w:rsid w:val="00355AF2"/>
    <w:rsid w:val="003617C0"/>
    <w:rsid w:val="003619DE"/>
    <w:rsid w:val="003707B2"/>
    <w:rsid w:val="003714D2"/>
    <w:rsid w:val="003843A0"/>
    <w:rsid w:val="00384766"/>
    <w:rsid w:val="0039022F"/>
    <w:rsid w:val="00391D18"/>
    <w:rsid w:val="00397917"/>
    <w:rsid w:val="003A4D78"/>
    <w:rsid w:val="003A7A09"/>
    <w:rsid w:val="003B361D"/>
    <w:rsid w:val="003B7EFD"/>
    <w:rsid w:val="003C4948"/>
    <w:rsid w:val="003D6799"/>
    <w:rsid w:val="003E2EDE"/>
    <w:rsid w:val="003E3701"/>
    <w:rsid w:val="003F1EFA"/>
    <w:rsid w:val="003F219C"/>
    <w:rsid w:val="003F7BC4"/>
    <w:rsid w:val="00403B53"/>
    <w:rsid w:val="00433B8A"/>
    <w:rsid w:val="00440077"/>
    <w:rsid w:val="004409AA"/>
    <w:rsid w:val="00445E16"/>
    <w:rsid w:val="00446D80"/>
    <w:rsid w:val="00452B88"/>
    <w:rsid w:val="00464484"/>
    <w:rsid w:val="0046590C"/>
    <w:rsid w:val="00472655"/>
    <w:rsid w:val="00481E7A"/>
    <w:rsid w:val="00482E79"/>
    <w:rsid w:val="00490F0C"/>
    <w:rsid w:val="00493D89"/>
    <w:rsid w:val="0049726A"/>
    <w:rsid w:val="004A335D"/>
    <w:rsid w:val="004B49B5"/>
    <w:rsid w:val="004C2BE1"/>
    <w:rsid w:val="004C68EA"/>
    <w:rsid w:val="004D1262"/>
    <w:rsid w:val="004E043B"/>
    <w:rsid w:val="004E56C3"/>
    <w:rsid w:val="004E6240"/>
    <w:rsid w:val="004E7605"/>
    <w:rsid w:val="004F269C"/>
    <w:rsid w:val="005051A3"/>
    <w:rsid w:val="005052FB"/>
    <w:rsid w:val="00510A41"/>
    <w:rsid w:val="00515B01"/>
    <w:rsid w:val="00520A44"/>
    <w:rsid w:val="00521C12"/>
    <w:rsid w:val="00527E81"/>
    <w:rsid w:val="0057187B"/>
    <w:rsid w:val="00581BC1"/>
    <w:rsid w:val="0058421D"/>
    <w:rsid w:val="005A6F0F"/>
    <w:rsid w:val="005B5644"/>
    <w:rsid w:val="005C57EE"/>
    <w:rsid w:val="005D4ABD"/>
    <w:rsid w:val="005D5070"/>
    <w:rsid w:val="005E0101"/>
    <w:rsid w:val="005E790F"/>
    <w:rsid w:val="005E7A0E"/>
    <w:rsid w:val="005F4071"/>
    <w:rsid w:val="00604D31"/>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460F"/>
    <w:rsid w:val="006C64DD"/>
    <w:rsid w:val="006D13A7"/>
    <w:rsid w:val="006D5AC0"/>
    <w:rsid w:val="006E3B43"/>
    <w:rsid w:val="006E5A33"/>
    <w:rsid w:val="006E69C0"/>
    <w:rsid w:val="006F4FD1"/>
    <w:rsid w:val="00705B01"/>
    <w:rsid w:val="00715B77"/>
    <w:rsid w:val="00730AFF"/>
    <w:rsid w:val="00735552"/>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7DF8"/>
    <w:rsid w:val="008208F7"/>
    <w:rsid w:val="00821221"/>
    <w:rsid w:val="00826A92"/>
    <w:rsid w:val="00831078"/>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90039D"/>
    <w:rsid w:val="009033BF"/>
    <w:rsid w:val="00906B78"/>
    <w:rsid w:val="00911463"/>
    <w:rsid w:val="00917A5F"/>
    <w:rsid w:val="00923A03"/>
    <w:rsid w:val="00924BE6"/>
    <w:rsid w:val="009306AB"/>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60F7E"/>
    <w:rsid w:val="00A621FA"/>
    <w:rsid w:val="00A63CF6"/>
    <w:rsid w:val="00A63D3F"/>
    <w:rsid w:val="00A660CD"/>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34B38"/>
    <w:rsid w:val="00B3658F"/>
    <w:rsid w:val="00B52A92"/>
    <w:rsid w:val="00B52FCE"/>
    <w:rsid w:val="00B70FEB"/>
    <w:rsid w:val="00B825F4"/>
    <w:rsid w:val="00B8282F"/>
    <w:rsid w:val="00B90A0E"/>
    <w:rsid w:val="00BA339B"/>
    <w:rsid w:val="00BA3AAF"/>
    <w:rsid w:val="00BB4AA4"/>
    <w:rsid w:val="00BC2249"/>
    <w:rsid w:val="00BC2C96"/>
    <w:rsid w:val="00BD10E1"/>
    <w:rsid w:val="00BD5573"/>
    <w:rsid w:val="00BE7582"/>
    <w:rsid w:val="00BF4DDB"/>
    <w:rsid w:val="00C02E3C"/>
    <w:rsid w:val="00C10834"/>
    <w:rsid w:val="00C16675"/>
    <w:rsid w:val="00C26FFA"/>
    <w:rsid w:val="00C37FC2"/>
    <w:rsid w:val="00C50078"/>
    <w:rsid w:val="00C62B7C"/>
    <w:rsid w:val="00C62D38"/>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7A2E"/>
    <w:rsid w:val="00CE3C19"/>
    <w:rsid w:val="00CE6C6C"/>
    <w:rsid w:val="00D03F69"/>
    <w:rsid w:val="00D23EC9"/>
    <w:rsid w:val="00D32284"/>
    <w:rsid w:val="00D3498A"/>
    <w:rsid w:val="00D41B1B"/>
    <w:rsid w:val="00D506E7"/>
    <w:rsid w:val="00D65E26"/>
    <w:rsid w:val="00D745A5"/>
    <w:rsid w:val="00D75C1F"/>
    <w:rsid w:val="00D81A86"/>
    <w:rsid w:val="00D878DC"/>
    <w:rsid w:val="00D9226E"/>
    <w:rsid w:val="00D975AF"/>
    <w:rsid w:val="00DA1C90"/>
    <w:rsid w:val="00DA7542"/>
    <w:rsid w:val="00DB5251"/>
    <w:rsid w:val="00DC0567"/>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DD1"/>
    <w:rsid w:val="00F06803"/>
    <w:rsid w:val="00F259E4"/>
    <w:rsid w:val="00F2688E"/>
    <w:rsid w:val="00F32E31"/>
    <w:rsid w:val="00F34E01"/>
    <w:rsid w:val="00F36904"/>
    <w:rsid w:val="00F369D3"/>
    <w:rsid w:val="00F4234C"/>
    <w:rsid w:val="00F523CA"/>
    <w:rsid w:val="00F53AE3"/>
    <w:rsid w:val="00F565CF"/>
    <w:rsid w:val="00F61C5D"/>
    <w:rsid w:val="00F62869"/>
    <w:rsid w:val="00F67977"/>
    <w:rsid w:val="00F710A8"/>
    <w:rsid w:val="00F85EBB"/>
    <w:rsid w:val="00F95867"/>
    <w:rsid w:val="00FB1FAA"/>
    <w:rsid w:val="00FB4D96"/>
    <w:rsid w:val="00FB6966"/>
    <w:rsid w:val="00FC65A3"/>
    <w:rsid w:val="00FD0AC0"/>
    <w:rsid w:val="00FD142E"/>
    <w:rsid w:val="00FE1488"/>
    <w:rsid w:val="00FE1DA9"/>
    <w:rsid w:val="00FE262B"/>
    <w:rsid w:val="00FE2E27"/>
    <w:rsid w:val="00FE5189"/>
    <w:rsid w:val="00FE6A0F"/>
    <w:rsid w:val="00FF1864"/>
    <w:rsid w:val="01581BB1"/>
    <w:rsid w:val="02040A0C"/>
    <w:rsid w:val="025D6791"/>
    <w:rsid w:val="036F371A"/>
    <w:rsid w:val="04C723FD"/>
    <w:rsid w:val="04DF6879"/>
    <w:rsid w:val="06622973"/>
    <w:rsid w:val="068251F7"/>
    <w:rsid w:val="06D265D8"/>
    <w:rsid w:val="07230354"/>
    <w:rsid w:val="07794418"/>
    <w:rsid w:val="07ED2455"/>
    <w:rsid w:val="080F5FD7"/>
    <w:rsid w:val="098F4442"/>
    <w:rsid w:val="0ADE08BA"/>
    <w:rsid w:val="0AE51F05"/>
    <w:rsid w:val="0B0E0DE1"/>
    <w:rsid w:val="0C2D67FB"/>
    <w:rsid w:val="0CB31C0B"/>
    <w:rsid w:val="0D1236B7"/>
    <w:rsid w:val="0D4B3976"/>
    <w:rsid w:val="0DB1255B"/>
    <w:rsid w:val="0F782811"/>
    <w:rsid w:val="0F8D08F5"/>
    <w:rsid w:val="0F9D0EBF"/>
    <w:rsid w:val="10235FA8"/>
    <w:rsid w:val="10A818CA"/>
    <w:rsid w:val="10C02A32"/>
    <w:rsid w:val="10DB2654"/>
    <w:rsid w:val="10F55C86"/>
    <w:rsid w:val="11164479"/>
    <w:rsid w:val="11451489"/>
    <w:rsid w:val="11B1715E"/>
    <w:rsid w:val="12044546"/>
    <w:rsid w:val="123F73E1"/>
    <w:rsid w:val="143036B3"/>
    <w:rsid w:val="15E44A90"/>
    <w:rsid w:val="171A1199"/>
    <w:rsid w:val="17B17B1A"/>
    <w:rsid w:val="18330097"/>
    <w:rsid w:val="18443E0A"/>
    <w:rsid w:val="19372E89"/>
    <w:rsid w:val="196C4656"/>
    <w:rsid w:val="1A400CBF"/>
    <w:rsid w:val="1A4400B0"/>
    <w:rsid w:val="1A47040C"/>
    <w:rsid w:val="1AF9509F"/>
    <w:rsid w:val="1B7269B5"/>
    <w:rsid w:val="1B79633D"/>
    <w:rsid w:val="1BB84490"/>
    <w:rsid w:val="1BE37821"/>
    <w:rsid w:val="1BEE702F"/>
    <w:rsid w:val="1C3F545B"/>
    <w:rsid w:val="1C5261B0"/>
    <w:rsid w:val="1CE935A5"/>
    <w:rsid w:val="1D2773D1"/>
    <w:rsid w:val="1D791AA8"/>
    <w:rsid w:val="1E3E2B8A"/>
    <w:rsid w:val="1F2C41CD"/>
    <w:rsid w:val="1F2E780D"/>
    <w:rsid w:val="204D7D87"/>
    <w:rsid w:val="20BB11A5"/>
    <w:rsid w:val="21C26A72"/>
    <w:rsid w:val="2319577A"/>
    <w:rsid w:val="243B4AD7"/>
    <w:rsid w:val="2444198E"/>
    <w:rsid w:val="248B1345"/>
    <w:rsid w:val="252D5E84"/>
    <w:rsid w:val="266F60D7"/>
    <w:rsid w:val="26AE541C"/>
    <w:rsid w:val="26C27DC8"/>
    <w:rsid w:val="26D27A1D"/>
    <w:rsid w:val="26E065DB"/>
    <w:rsid w:val="27C1798D"/>
    <w:rsid w:val="27D058EB"/>
    <w:rsid w:val="27DE6C9F"/>
    <w:rsid w:val="27F82B28"/>
    <w:rsid w:val="2A702467"/>
    <w:rsid w:val="2C55673C"/>
    <w:rsid w:val="2E6B3AF4"/>
    <w:rsid w:val="2EAB59D7"/>
    <w:rsid w:val="2F1B5E7F"/>
    <w:rsid w:val="2F234A37"/>
    <w:rsid w:val="2F240E16"/>
    <w:rsid w:val="2FF10740"/>
    <w:rsid w:val="2FF92563"/>
    <w:rsid w:val="301306B6"/>
    <w:rsid w:val="30624B86"/>
    <w:rsid w:val="30F05B71"/>
    <w:rsid w:val="31562520"/>
    <w:rsid w:val="31CB6D6E"/>
    <w:rsid w:val="325655CB"/>
    <w:rsid w:val="32845C84"/>
    <w:rsid w:val="345F777F"/>
    <w:rsid w:val="346A7ECD"/>
    <w:rsid w:val="34D2328A"/>
    <w:rsid w:val="363E04DB"/>
    <w:rsid w:val="3646288B"/>
    <w:rsid w:val="368C6E40"/>
    <w:rsid w:val="369516E7"/>
    <w:rsid w:val="36B85FBC"/>
    <w:rsid w:val="36F81116"/>
    <w:rsid w:val="3732101F"/>
    <w:rsid w:val="3776713A"/>
    <w:rsid w:val="38027000"/>
    <w:rsid w:val="38602C35"/>
    <w:rsid w:val="387A5639"/>
    <w:rsid w:val="39620592"/>
    <w:rsid w:val="3A3C467D"/>
    <w:rsid w:val="3B5A0DA7"/>
    <w:rsid w:val="3B5A6316"/>
    <w:rsid w:val="3B716BD9"/>
    <w:rsid w:val="3BA161DB"/>
    <w:rsid w:val="3C1E7B20"/>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B71B5A"/>
    <w:rsid w:val="45456FD1"/>
    <w:rsid w:val="456A3A37"/>
    <w:rsid w:val="45980FA3"/>
    <w:rsid w:val="45BC048A"/>
    <w:rsid w:val="45E83F3B"/>
    <w:rsid w:val="467B090B"/>
    <w:rsid w:val="472F4F9A"/>
    <w:rsid w:val="47A67C0A"/>
    <w:rsid w:val="47C307BC"/>
    <w:rsid w:val="47F1097F"/>
    <w:rsid w:val="48387517"/>
    <w:rsid w:val="49647825"/>
    <w:rsid w:val="49A1438A"/>
    <w:rsid w:val="4A5C1CA3"/>
    <w:rsid w:val="4AA84715"/>
    <w:rsid w:val="4B3444D8"/>
    <w:rsid w:val="4B795C58"/>
    <w:rsid w:val="4BE515A0"/>
    <w:rsid w:val="4BE555C1"/>
    <w:rsid w:val="4C82133E"/>
    <w:rsid w:val="4CC36975"/>
    <w:rsid w:val="4CE47B15"/>
    <w:rsid w:val="4DA53FDF"/>
    <w:rsid w:val="4E0A7962"/>
    <w:rsid w:val="4E5776CC"/>
    <w:rsid w:val="4ED86CDD"/>
    <w:rsid w:val="4FA222A9"/>
    <w:rsid w:val="4FF31E99"/>
    <w:rsid w:val="50573E54"/>
    <w:rsid w:val="50801052"/>
    <w:rsid w:val="50B33562"/>
    <w:rsid w:val="50E748BB"/>
    <w:rsid w:val="5145251D"/>
    <w:rsid w:val="51CC0C5E"/>
    <w:rsid w:val="51FC329D"/>
    <w:rsid w:val="52061342"/>
    <w:rsid w:val="52213A5A"/>
    <w:rsid w:val="5268268C"/>
    <w:rsid w:val="53620690"/>
    <w:rsid w:val="538D6B1D"/>
    <w:rsid w:val="53992A08"/>
    <w:rsid w:val="53B417E5"/>
    <w:rsid w:val="542B3EB2"/>
    <w:rsid w:val="54340F90"/>
    <w:rsid w:val="55C36311"/>
    <w:rsid w:val="594F132C"/>
    <w:rsid w:val="59664694"/>
    <w:rsid w:val="59B0586A"/>
    <w:rsid w:val="5A451EAF"/>
    <w:rsid w:val="5ABD3663"/>
    <w:rsid w:val="5AF22733"/>
    <w:rsid w:val="5AFA5519"/>
    <w:rsid w:val="5C791889"/>
    <w:rsid w:val="5C9124D2"/>
    <w:rsid w:val="5CD22AC5"/>
    <w:rsid w:val="5D06706E"/>
    <w:rsid w:val="5D1260AD"/>
    <w:rsid w:val="5E0E0A0B"/>
    <w:rsid w:val="5F8560CC"/>
    <w:rsid w:val="604774FD"/>
    <w:rsid w:val="6099532D"/>
    <w:rsid w:val="60A10FAE"/>
    <w:rsid w:val="60A72393"/>
    <w:rsid w:val="60BE0AAF"/>
    <w:rsid w:val="62F71DCA"/>
    <w:rsid w:val="63D2457B"/>
    <w:rsid w:val="65821C66"/>
    <w:rsid w:val="66A316B9"/>
    <w:rsid w:val="66B75C4C"/>
    <w:rsid w:val="66DA714C"/>
    <w:rsid w:val="66E55C01"/>
    <w:rsid w:val="679C050A"/>
    <w:rsid w:val="67EE0585"/>
    <w:rsid w:val="68067893"/>
    <w:rsid w:val="696E5D5E"/>
    <w:rsid w:val="69B41D9F"/>
    <w:rsid w:val="6A413E64"/>
    <w:rsid w:val="6C3C7C37"/>
    <w:rsid w:val="6CF23A30"/>
    <w:rsid w:val="6E182C8A"/>
    <w:rsid w:val="6FBB3810"/>
    <w:rsid w:val="6FF4427E"/>
    <w:rsid w:val="72FF1739"/>
    <w:rsid w:val="738A0C50"/>
    <w:rsid w:val="75641561"/>
    <w:rsid w:val="76D2189B"/>
    <w:rsid w:val="76FE35A7"/>
    <w:rsid w:val="77516906"/>
    <w:rsid w:val="778557D9"/>
    <w:rsid w:val="77BE3F90"/>
    <w:rsid w:val="77E93077"/>
    <w:rsid w:val="78796B85"/>
    <w:rsid w:val="7A4822D7"/>
    <w:rsid w:val="7A6B06DA"/>
    <w:rsid w:val="7AC71B08"/>
    <w:rsid w:val="7BEB7ED3"/>
    <w:rsid w:val="7C2D2574"/>
    <w:rsid w:val="7DA95783"/>
    <w:rsid w:val="7DDD4B9B"/>
    <w:rsid w:val="7E525E84"/>
    <w:rsid w:val="7EAA11EB"/>
    <w:rsid w:val="7EC16968"/>
    <w:rsid w:val="7F422DF5"/>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3546</Words>
  <Characters>3927</Characters>
  <Lines>8</Lines>
  <Paragraphs>2</Paragraphs>
  <TotalTime>6</TotalTime>
  <ScaleCrop>false</ScaleCrop>
  <LinksUpToDate>false</LinksUpToDate>
  <CharactersWithSpaces>4004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2023-05-26T02:07:00Z</dcterms:created>
  <dc:creator>sk</dc:creator>
  <cp:lastModifiedBy>时雨初霁</cp:lastModifiedBy>
  <cp:lastPrinted>2026-04-28T06:26:00Z</cp:lastPrinted>
  <dcterms:modified xsi:type="dcterms:W3CDTF">2026-04-28T08:00:40Z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35B6B81E4003418B817B3981B1D61BEF</vt:lpwstr>
  </property>
  <property fmtid="{D5CDD505-2E9C-101B-9397-08002B2CF9AE}" pid="4" name="KSOTemplateDocerSaveRecord">
    <vt:lpwstr>eyJoZGlkIjoiYWNkYmJlNjcxZjY0MjI5NWM5MmFlNThjNTgwNmRhOTEiLCJ1c2VySWQiOiIyNDM5MTg2MDQifQ==</vt:lpwstr>
  </property>
</Properties>
</file>