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sz w:val="24"/>
        </w:rPr>
      </w:pPr>
      <w:r>
        <w:rPr>
          <w:rFonts w:hint="eastAsia"/>
          <w:sz w:val="24"/>
        </w:rPr>
        <w:t>证券代码：688036                                  证券简称：传音控股</w:t>
      </w:r>
    </w:p>
    <w:p>
      <w:pPr>
        <w:adjustRightInd w:val="0"/>
        <w:snapToGrid w:val="0"/>
        <w:spacing w:line="600" w:lineRule="exact"/>
        <w:rPr>
          <w:sz w:val="30"/>
          <w:szCs w:val="30"/>
        </w:rPr>
      </w:pPr>
    </w:p>
    <w:p>
      <w:pPr>
        <w:adjustRightInd w:val="0"/>
        <w:snapToGrid w:val="0"/>
        <w:spacing w:line="600" w:lineRule="exact"/>
        <w:jc w:val="center"/>
        <w:outlineLvl w:val="1"/>
        <w:rPr>
          <w:b/>
          <w:sz w:val="36"/>
          <w:szCs w:val="36"/>
        </w:rPr>
      </w:pPr>
      <w:r>
        <w:rPr>
          <w:rFonts w:hint="eastAsia"/>
          <w:b/>
          <w:sz w:val="36"/>
          <w:szCs w:val="36"/>
        </w:rPr>
        <w:t>深圳传音控股股份有限公司</w:t>
      </w:r>
    </w:p>
    <w:p>
      <w:pPr>
        <w:adjustRightInd w:val="0"/>
        <w:snapToGrid w:val="0"/>
        <w:spacing w:line="600" w:lineRule="exact"/>
        <w:jc w:val="center"/>
        <w:outlineLvl w:val="1"/>
        <w:rPr>
          <w:b/>
          <w:sz w:val="36"/>
          <w:szCs w:val="36"/>
        </w:rPr>
      </w:pPr>
      <w:r>
        <w:rPr>
          <w:rFonts w:hint="eastAsia"/>
          <w:b/>
          <w:sz w:val="36"/>
          <w:szCs w:val="36"/>
        </w:rPr>
        <w:t>投资者关系活动记录表</w:t>
      </w:r>
      <w:bookmarkStart w:id="3" w:name="_GoBack"/>
      <w:bookmarkEnd w:id="3"/>
    </w:p>
    <w:tbl>
      <w:tblPr>
        <w:tblStyle w:val="20"/>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投资者关系活动类别</w:t>
            </w:r>
          </w:p>
        </w:tc>
        <w:tc>
          <w:tcPr>
            <w:tcW w:w="7145" w:type="dxa"/>
          </w:tcPr>
          <w:p>
            <w:pPr>
              <w:adjustRightInd w:val="0"/>
              <w:spacing w:line="360" w:lineRule="auto"/>
              <w:contextualSpacing/>
              <w:rPr>
                <w:sz w:val="24"/>
              </w:rPr>
            </w:pPr>
            <w:r>
              <w:rPr>
                <w:rFonts w:hint="eastAsia"/>
                <w:sz w:val="24"/>
              </w:rPr>
              <w:sym w:font="Wingdings 2" w:char="00A3"/>
            </w:r>
            <w:r>
              <w:rPr>
                <w:rFonts w:hint="eastAsia"/>
                <w:sz w:val="24"/>
              </w:rPr>
              <w:t xml:space="preserve">特定对象调研             </w:t>
            </w:r>
            <w:r>
              <w:rPr>
                <w:rFonts w:hint="eastAsia"/>
                <w:sz w:val="24"/>
              </w:rPr>
              <w:sym w:font="Wingdings 2" w:char="00A3"/>
            </w:r>
            <w:r>
              <w:rPr>
                <w:rFonts w:hint="eastAsia"/>
                <w:sz w:val="24"/>
              </w:rPr>
              <w:t>分析师会议</w:t>
            </w:r>
          </w:p>
          <w:p>
            <w:pPr>
              <w:adjustRightInd w:val="0"/>
              <w:spacing w:line="360" w:lineRule="auto"/>
              <w:contextualSpacing/>
              <w:rPr>
                <w:sz w:val="24"/>
              </w:rPr>
            </w:pPr>
            <w:r>
              <w:rPr>
                <w:rFonts w:hint="eastAsia"/>
                <w:sz w:val="24"/>
              </w:rPr>
              <w:sym w:font="Wingdings 2" w:char="00A3"/>
            </w:r>
            <w:r>
              <w:rPr>
                <w:rFonts w:hint="eastAsia"/>
                <w:sz w:val="24"/>
              </w:rPr>
              <w:t xml:space="preserve">媒体采访                 </w:t>
            </w:r>
            <w:r>
              <w:rPr>
                <w:rFonts w:hint="eastAsia"/>
                <w:sz w:val="24"/>
              </w:rPr>
              <w:sym w:font="Wingdings 2" w:char="00A3"/>
            </w:r>
            <w:r>
              <w:rPr>
                <w:rFonts w:hint="eastAsia"/>
                <w:sz w:val="24"/>
              </w:rPr>
              <w:t>业绩说明会</w:t>
            </w:r>
          </w:p>
          <w:p>
            <w:pPr>
              <w:adjustRightInd w:val="0"/>
              <w:spacing w:line="360" w:lineRule="auto"/>
              <w:contextualSpacing/>
              <w:rPr>
                <w:sz w:val="24"/>
              </w:rPr>
            </w:pPr>
            <w:r>
              <w:rPr>
                <w:rFonts w:hint="eastAsia"/>
                <w:sz w:val="24"/>
              </w:rPr>
              <w:sym w:font="Wingdings 2" w:char="00A3"/>
            </w:r>
            <w:r>
              <w:rPr>
                <w:rFonts w:hint="eastAsia"/>
                <w:sz w:val="24"/>
              </w:rPr>
              <w:t xml:space="preserve">新闻发布会               </w:t>
            </w:r>
            <w:r>
              <w:rPr>
                <w:rFonts w:hint="eastAsia"/>
                <w:sz w:val="24"/>
              </w:rPr>
              <w:sym w:font="Wingdings 2" w:char="00A3"/>
            </w:r>
            <w:r>
              <w:rPr>
                <w:rFonts w:hint="eastAsia"/>
                <w:sz w:val="24"/>
              </w:rPr>
              <w:t>一对一沟通</w:t>
            </w:r>
          </w:p>
          <w:p>
            <w:pPr>
              <w:adjustRightInd w:val="0"/>
              <w:spacing w:line="360" w:lineRule="auto"/>
              <w:contextualSpacing/>
              <w:rPr>
                <w:sz w:val="24"/>
              </w:rPr>
            </w:pPr>
            <w:r>
              <w:rPr>
                <w:rFonts w:hint="eastAsia"/>
                <w:sz w:val="24"/>
              </w:rPr>
              <w:sym w:font="Wingdings 2" w:char="00A3"/>
            </w:r>
            <w:r>
              <w:rPr>
                <w:rFonts w:hint="eastAsia"/>
                <w:sz w:val="24"/>
              </w:rPr>
              <w:t xml:space="preserve">现场参观                 </w:t>
            </w:r>
            <w:r>
              <w:rPr>
                <w:rFonts w:hint="eastAsia"/>
                <w:sz w:val="24"/>
              </w:rPr>
              <w:sym w:font="Wingdings 2" w:char="00A3"/>
            </w:r>
            <w:r>
              <w:rPr>
                <w:rFonts w:hint="eastAsia"/>
                <w:sz w:val="24"/>
              </w:rPr>
              <w:t>路演活动</w:t>
            </w:r>
          </w:p>
          <w:p>
            <w:pPr>
              <w:adjustRightInd w:val="0"/>
              <w:spacing w:line="360" w:lineRule="auto"/>
              <w:contextualSpacing/>
              <w:rPr>
                <w:sz w:val="24"/>
              </w:rPr>
            </w:pPr>
            <w:r>
              <w:rPr>
                <w:rFonts w:hint="eastAsia"/>
                <w:sz w:val="24"/>
              </w:rPr>
              <w:sym w:font="Wingdings 2" w:char="0052"/>
            </w:r>
            <w:r>
              <w:rPr>
                <w:rFonts w:hint="eastAsia"/>
                <w:sz w:val="24"/>
              </w:rPr>
              <w:t>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参与单位及人员</w:t>
            </w:r>
          </w:p>
        </w:tc>
        <w:tc>
          <w:tcPr>
            <w:tcW w:w="7145" w:type="dxa"/>
          </w:tcPr>
          <w:p>
            <w:pPr>
              <w:adjustRightInd w:val="0"/>
              <w:spacing w:line="360" w:lineRule="auto"/>
              <w:rPr>
                <w:sz w:val="24"/>
              </w:rPr>
            </w:pPr>
            <w:r>
              <w:rPr>
                <w:rFonts w:hint="eastAsia"/>
                <w:color w:val="000000"/>
                <w:sz w:val="24"/>
              </w:rPr>
              <w:t>100家机构118人次</w:t>
            </w:r>
            <w:r>
              <w:rPr>
                <w:rFonts w:hint="eastAsia"/>
                <w:sz w:val="24"/>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时间</w:t>
            </w:r>
          </w:p>
        </w:tc>
        <w:tc>
          <w:tcPr>
            <w:tcW w:w="7145" w:type="dxa"/>
          </w:tcPr>
          <w:p>
            <w:pPr>
              <w:adjustRightInd w:val="0"/>
              <w:spacing w:line="360" w:lineRule="auto"/>
              <w:rPr>
                <w:sz w:val="24"/>
              </w:rPr>
            </w:pPr>
            <w:r>
              <w:rPr>
                <w:rFonts w:hint="eastAsia"/>
                <w:sz w:val="24"/>
              </w:rPr>
              <w:t>2026年4月28</w:t>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地点</w:t>
            </w:r>
          </w:p>
        </w:tc>
        <w:tc>
          <w:tcPr>
            <w:tcW w:w="7145" w:type="dxa"/>
          </w:tcPr>
          <w:p>
            <w:pPr>
              <w:adjustRightInd w:val="0"/>
              <w:spacing w:line="360" w:lineRule="auto"/>
              <w:contextualSpacing/>
              <w:rPr>
                <w:sz w:val="24"/>
              </w:rPr>
            </w:pPr>
            <w:r>
              <w:rPr>
                <w:rFonts w:hint="eastAsia"/>
                <w:sz w:val="24"/>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接待人员</w:t>
            </w:r>
          </w:p>
        </w:tc>
        <w:tc>
          <w:tcPr>
            <w:tcW w:w="7145" w:type="dxa"/>
          </w:tcPr>
          <w:p>
            <w:pPr>
              <w:adjustRightInd w:val="0"/>
              <w:spacing w:line="360" w:lineRule="auto"/>
              <w:contextualSpacing/>
              <w:rPr>
                <w:sz w:val="24"/>
              </w:rPr>
            </w:pPr>
            <w:bookmarkStart w:id="0" w:name="OLE_LINK1"/>
            <w:r>
              <w:rPr>
                <w:rFonts w:hint="eastAsia"/>
                <w:sz w:val="24"/>
              </w:rPr>
              <w:t xml:space="preserve">传音控股  董事、副总经理       </w:t>
            </w:r>
            <w:bookmarkEnd w:id="0"/>
            <w:r>
              <w:rPr>
                <w:rFonts w:hint="eastAsia"/>
                <w:sz w:val="24"/>
              </w:rPr>
              <w:t>张祺</w:t>
            </w:r>
          </w:p>
          <w:p>
            <w:pPr>
              <w:adjustRightInd w:val="0"/>
              <w:spacing w:line="360" w:lineRule="auto"/>
              <w:contextualSpacing/>
              <w:rPr>
                <w:sz w:val="24"/>
              </w:rPr>
            </w:pPr>
            <w:bookmarkStart w:id="1" w:name="OLE_LINK2"/>
            <w:r>
              <w:rPr>
                <w:rFonts w:hint="eastAsia"/>
                <w:sz w:val="24"/>
              </w:rPr>
              <w:t>传音控股</w:t>
            </w:r>
            <w:bookmarkEnd w:id="1"/>
            <w:r>
              <w:rPr>
                <w:rFonts w:hint="eastAsia"/>
                <w:sz w:val="24"/>
              </w:rPr>
              <w:t xml:space="preserve">  副总经理             王海滨</w:t>
            </w:r>
          </w:p>
          <w:p>
            <w:pPr>
              <w:adjustRightInd w:val="0"/>
              <w:spacing w:line="360" w:lineRule="auto"/>
              <w:contextualSpacing/>
              <w:rPr>
                <w:sz w:val="24"/>
              </w:rPr>
            </w:pPr>
            <w:r>
              <w:rPr>
                <w:rFonts w:hint="eastAsia"/>
                <w:sz w:val="24"/>
              </w:rPr>
              <w:t>传音控股  董事会秘书           曾春</w:t>
            </w:r>
          </w:p>
          <w:p>
            <w:pPr>
              <w:adjustRightInd w:val="0"/>
              <w:spacing w:line="360" w:lineRule="auto"/>
              <w:contextualSpacing/>
              <w:rPr>
                <w:sz w:val="24"/>
              </w:rPr>
            </w:pPr>
            <w:r>
              <w:rPr>
                <w:rFonts w:hint="eastAsia"/>
                <w:sz w:val="24"/>
              </w:rPr>
              <w:t>传音控股  TEX AI中心总经理    史团委</w:t>
            </w:r>
          </w:p>
          <w:p>
            <w:pPr>
              <w:adjustRightInd w:val="0"/>
              <w:spacing w:line="360" w:lineRule="auto"/>
              <w:contextualSpacing/>
              <w:rPr>
                <w:sz w:val="24"/>
              </w:rPr>
            </w:pPr>
            <w:r>
              <w:rPr>
                <w:rFonts w:hint="eastAsia"/>
                <w:sz w:val="24"/>
              </w:rPr>
              <w:t>传音控股  共享财务总监         方玉意</w:t>
            </w:r>
          </w:p>
          <w:p>
            <w:pPr>
              <w:adjustRightInd w:val="0"/>
              <w:spacing w:line="360" w:lineRule="auto"/>
              <w:contextualSpacing/>
              <w:rPr>
                <w:sz w:val="24"/>
              </w:rPr>
            </w:pPr>
            <w:r>
              <w:rPr>
                <w:rFonts w:hint="eastAsia"/>
                <w:sz w:val="24"/>
              </w:rPr>
              <w:t>传音控股  投资者关系总监       梓轩</w:t>
            </w:r>
          </w:p>
          <w:p>
            <w:pPr>
              <w:adjustRightInd w:val="0"/>
              <w:spacing w:line="360" w:lineRule="auto"/>
              <w:contextualSpacing/>
              <w:rPr>
                <w:sz w:val="24"/>
              </w:rPr>
            </w:pPr>
            <w:r>
              <w:rPr>
                <w:rFonts w:hint="eastAsia"/>
                <w:sz w:val="24"/>
              </w:rPr>
              <w:t>传音控股  投资者关系经理       江凤玲</w:t>
            </w:r>
          </w:p>
          <w:p>
            <w:pPr>
              <w:adjustRightInd w:val="0"/>
              <w:spacing w:line="360" w:lineRule="auto"/>
              <w:contextualSpacing/>
              <w:rPr>
                <w:sz w:val="24"/>
              </w:rPr>
            </w:pPr>
            <w:r>
              <w:rPr>
                <w:rFonts w:hint="eastAsia"/>
                <w:sz w:val="24"/>
              </w:rPr>
              <w:t>传音控股  投资者关系主管       吕天赐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sz w:val="24"/>
              </w:rPr>
            </w:pPr>
            <w:r>
              <w:rPr>
                <w:rFonts w:hint="eastAsia"/>
                <w:sz w:val="24"/>
              </w:rPr>
              <w:t>投资者关系活动主要内容介绍</w:t>
            </w:r>
          </w:p>
        </w:tc>
        <w:tc>
          <w:tcPr>
            <w:tcW w:w="7145" w:type="dxa"/>
          </w:tcPr>
          <w:p>
            <w:pPr>
              <w:spacing w:line="360" w:lineRule="auto"/>
              <w:ind w:firstLine="480" w:firstLineChars="200"/>
              <w:rPr>
                <w:sz w:val="24"/>
              </w:rPr>
            </w:pPr>
            <w:r>
              <w:rPr>
                <w:rFonts w:hint="eastAsia"/>
                <w:sz w:val="24"/>
              </w:rPr>
              <w:t>公司对2026年一季度经营情况做了简要的介绍。</w:t>
            </w:r>
          </w:p>
          <w:p>
            <w:pPr>
              <w:spacing w:line="360" w:lineRule="auto"/>
              <w:ind w:firstLine="480" w:firstLineChars="200"/>
              <w:rPr>
                <w:sz w:val="24"/>
              </w:rPr>
            </w:pPr>
            <w:r>
              <w:rPr>
                <w:rFonts w:hint="eastAsia"/>
                <w:sz w:val="24"/>
              </w:rPr>
              <w:t>互动问答：</w:t>
            </w:r>
          </w:p>
          <w:p>
            <w:pPr>
              <w:numPr>
                <w:ilvl w:val="0"/>
                <w:numId w:val="1"/>
              </w:numPr>
              <w:spacing w:line="360" w:lineRule="auto"/>
              <w:ind w:firstLine="482" w:firstLineChars="200"/>
              <w:rPr>
                <w:b/>
                <w:bCs/>
                <w:sz w:val="24"/>
              </w:rPr>
            </w:pPr>
            <w:r>
              <w:rPr>
                <w:rFonts w:hint="eastAsia"/>
                <w:b/>
                <w:bCs/>
                <w:sz w:val="24"/>
              </w:rPr>
              <w:t>今年消费者对公司产品涨价的接受程度？公司今年产品涨价节奏？对毛利率影响？</w:t>
            </w:r>
          </w:p>
          <w:p>
            <w:pPr>
              <w:spacing w:line="360" w:lineRule="auto"/>
              <w:ind w:firstLine="480" w:firstLineChars="200"/>
              <w:rPr>
                <w:sz w:val="24"/>
              </w:rPr>
            </w:pPr>
            <w:r>
              <w:rPr>
                <w:rFonts w:hint="eastAsia"/>
                <w:sz w:val="24"/>
              </w:rPr>
              <w:t>回答：从目前新品已经发布的国家区域来看，消费者整体反馈还是不错的。公司将持续加大中高端领域研发资源投入，强化中高端产品价值点选择，并将AI技术深度转化为差异化产品竞争力，实现高质量可持续增长。公司的毛利率受竞争格局、成本变化、公司策略等因素综合影响，未来我们会根据成本变化和市场竞争等动态做调整，争取实现经营目标的毛利率水平。</w:t>
            </w:r>
          </w:p>
          <w:p>
            <w:pPr>
              <w:spacing w:line="360" w:lineRule="auto"/>
              <w:ind w:firstLine="480" w:firstLineChars="200"/>
              <w:rPr>
                <w:sz w:val="24"/>
              </w:rPr>
            </w:pPr>
          </w:p>
          <w:p>
            <w:pPr>
              <w:numPr>
                <w:ilvl w:val="0"/>
                <w:numId w:val="1"/>
              </w:numPr>
              <w:spacing w:line="360" w:lineRule="auto"/>
              <w:ind w:firstLine="482" w:firstLineChars="200"/>
              <w:rPr>
                <w:b/>
                <w:bCs/>
                <w:sz w:val="24"/>
              </w:rPr>
            </w:pPr>
            <w:r>
              <w:rPr>
                <w:rFonts w:hint="eastAsia"/>
                <w:b/>
                <w:bCs/>
                <w:sz w:val="24"/>
              </w:rPr>
              <w:t>公司AI方向的规划是什么？对AI手机新品的研发有何计划？</w:t>
            </w:r>
          </w:p>
          <w:p>
            <w:pPr>
              <w:spacing w:line="360" w:lineRule="auto"/>
              <w:ind w:firstLine="480" w:firstLineChars="200"/>
              <w:rPr>
                <w:sz w:val="24"/>
              </w:rPr>
            </w:pPr>
            <w:r>
              <w:rPr>
                <w:rFonts w:hint="eastAsia"/>
                <w:sz w:val="24"/>
              </w:rPr>
              <w:t>回答：AI方面，公司将AI能力深度融入社交、出行、健康、教育等高频场景，让技术从“可用”变为“真实可感”，实现用户的体验升级。针对新兴市场的用户需求，公司自主研发了本地化小语种语音识别、AI自动接听、AI声纹降噪、AI通话摘要、AI视效增强、AI拍照解题等技术。</w:t>
            </w:r>
          </w:p>
          <w:p>
            <w:pPr>
              <w:spacing w:line="360" w:lineRule="auto"/>
              <w:ind w:firstLine="480" w:firstLineChars="200"/>
              <w:rPr>
                <w:sz w:val="24"/>
              </w:rPr>
            </w:pPr>
            <w:r>
              <w:rPr>
                <w:rFonts w:hint="eastAsia"/>
                <w:sz w:val="24"/>
              </w:rPr>
              <w:t>AI手机方面，传音旗下TECNO AI和Infinix AI已广泛应用于影像增强、语音助手、AI写作等功能场景，开发了一系列AI辅助功能应用并持续迭代推进系统全面AI化，借助 Agent 提升用户智能设备移动体验。</w:t>
            </w:r>
          </w:p>
          <w:p>
            <w:pPr>
              <w:spacing w:line="360" w:lineRule="auto"/>
              <w:rPr>
                <w:sz w:val="24"/>
              </w:rPr>
            </w:pPr>
          </w:p>
          <w:p>
            <w:pPr>
              <w:numPr>
                <w:ilvl w:val="0"/>
                <w:numId w:val="1"/>
              </w:numPr>
              <w:spacing w:line="360" w:lineRule="auto"/>
              <w:ind w:firstLine="482" w:firstLineChars="200"/>
              <w:rPr>
                <w:b/>
                <w:bCs/>
                <w:sz w:val="24"/>
              </w:rPr>
            </w:pPr>
            <w:r>
              <w:rPr>
                <w:rFonts w:hint="eastAsia"/>
                <w:b/>
                <w:bCs/>
                <w:sz w:val="24"/>
              </w:rPr>
              <w:t>公司Q1研发费用同比有增长，今年研发费用的投入方向和规划是什么？</w:t>
            </w:r>
          </w:p>
          <w:p>
            <w:pPr>
              <w:spacing w:line="360" w:lineRule="auto"/>
              <w:ind w:firstLine="480" w:firstLineChars="200"/>
              <w:rPr>
                <w:sz w:val="24"/>
              </w:rPr>
            </w:pPr>
            <w:r>
              <w:rPr>
                <w:rFonts w:hint="eastAsia"/>
                <w:sz w:val="24"/>
              </w:rPr>
              <w:t>回答：公司持续科技创新、加大研发投入，提升手机用户的终端体验及产品竞争力，研发费用较上年同期有所增加。未来，公司将持续加强</w:t>
            </w:r>
            <w:r>
              <w:rPr>
                <w:sz w:val="24"/>
              </w:rPr>
              <w:t>研发资源投入，在影像、AI、充电、基础体验等技术领域重点打造产品价值点，提升中高端产品竞争力。</w:t>
            </w:r>
          </w:p>
          <w:p>
            <w:pPr>
              <w:spacing w:line="360" w:lineRule="auto"/>
              <w:ind w:firstLine="480" w:firstLineChars="200"/>
              <w:rPr>
                <w:sz w:val="24"/>
              </w:rPr>
            </w:pPr>
          </w:p>
          <w:p>
            <w:pPr>
              <w:numPr>
                <w:ilvl w:val="0"/>
                <w:numId w:val="1"/>
              </w:numPr>
              <w:spacing w:line="360" w:lineRule="auto"/>
              <w:ind w:firstLine="482" w:firstLineChars="200"/>
              <w:rPr>
                <w:b/>
                <w:bCs/>
                <w:sz w:val="24"/>
              </w:rPr>
            </w:pPr>
            <w:r>
              <w:rPr>
                <w:rFonts w:hint="eastAsia"/>
                <w:b/>
                <w:bCs/>
                <w:sz w:val="24"/>
              </w:rPr>
              <w:t>扩品类业务的品类拓展和发展趋势如何？</w:t>
            </w:r>
          </w:p>
          <w:p>
            <w:pPr>
              <w:spacing w:line="360" w:lineRule="auto"/>
              <w:ind w:firstLine="480" w:firstLineChars="200"/>
              <w:rPr>
                <w:sz w:val="24"/>
              </w:rPr>
            </w:pPr>
            <w:r>
              <w:rPr>
                <w:rFonts w:hint="eastAsia"/>
                <w:sz w:val="24"/>
              </w:rPr>
              <w:t>回答：公司积极实施多元化战略布局，在新兴市场开展了数码配件、家用电器、储能等扩品类业务。在产品端，公司紧密围绕新兴市场用户痛点，专注打造兼具创新性与高性价比的差异化智能产品，持续提升用户体验与产品口碑。在渠道端，公司重点优化独立站、电商平台以及社交媒体运营，持续深化数字化变革以打造“线下+线上”立体布局，推进重点市场的零售布局，有效提升用户触达与品牌认知，推动扩品类业务向AI智能化、本地场景化方向纵深发展，构建完善的AIoT智能生态。</w:t>
            </w:r>
          </w:p>
          <w:p>
            <w:pPr>
              <w:spacing w:line="360" w:lineRule="auto"/>
              <w:ind w:firstLine="480" w:firstLineChars="200"/>
              <w:rPr>
                <w:sz w:val="24"/>
              </w:rPr>
            </w:pPr>
          </w:p>
          <w:p>
            <w:pPr>
              <w:numPr>
                <w:ilvl w:val="0"/>
                <w:numId w:val="1"/>
              </w:numPr>
              <w:spacing w:line="360" w:lineRule="auto"/>
              <w:ind w:firstLine="482" w:firstLineChars="200"/>
              <w:rPr>
                <w:b/>
                <w:bCs/>
                <w:sz w:val="24"/>
              </w:rPr>
            </w:pPr>
            <w:r>
              <w:rPr>
                <w:b/>
                <w:bCs/>
                <w:sz w:val="24"/>
              </w:rPr>
              <w:t>在汇率波动频繁的背景下，公司如何管理外汇风险？</w:t>
            </w:r>
          </w:p>
          <w:p>
            <w:pPr>
              <w:spacing w:line="360" w:lineRule="auto"/>
              <w:ind w:firstLine="480" w:firstLineChars="200"/>
              <w:rPr>
                <w:sz w:val="24"/>
              </w:rPr>
            </w:pPr>
            <w:r>
              <w:rPr>
                <w:rFonts w:hint="eastAsia"/>
                <w:sz w:val="24"/>
              </w:rPr>
              <w:t>回答：公司境外销售主要使用美元等外币结算，相应公司持有美元等外币货币性资产及负债。公司会平衡外币货币性资产及负债规模以降低汇兑损益对经营业绩的影响。</w:t>
            </w:r>
          </w:p>
          <w:p>
            <w:pPr>
              <w:spacing w:line="360" w:lineRule="auto"/>
              <w:ind w:firstLine="480" w:firstLineChars="200"/>
              <w:rPr>
                <w:sz w:val="24"/>
              </w:rPr>
            </w:pPr>
          </w:p>
          <w:p>
            <w:pPr>
              <w:numPr>
                <w:ilvl w:val="0"/>
                <w:numId w:val="1"/>
              </w:numPr>
              <w:spacing w:line="360" w:lineRule="auto"/>
              <w:ind w:firstLine="482" w:firstLineChars="200"/>
              <w:rPr>
                <w:b/>
                <w:bCs/>
                <w:sz w:val="24"/>
              </w:rPr>
            </w:pPr>
            <w:r>
              <w:rPr>
                <w:rFonts w:hint="eastAsia"/>
                <w:b/>
                <w:bCs/>
                <w:sz w:val="24"/>
              </w:rPr>
              <w:t>公司移动互联业务的发展情况及战略？</w:t>
            </w:r>
          </w:p>
          <w:p>
            <w:pPr>
              <w:spacing w:line="360" w:lineRule="auto"/>
              <w:ind w:firstLine="480" w:firstLineChars="200"/>
              <w:rPr>
                <w:sz w:val="24"/>
              </w:rPr>
            </w:pPr>
            <w:r>
              <w:rPr>
                <w:rFonts w:hint="eastAsia"/>
                <w:sz w:val="24"/>
              </w:rPr>
              <w:t>回答：</w:t>
            </w:r>
            <w:bookmarkStart w:id="2" w:name="OLE_LINK3"/>
            <w:r>
              <w:rPr>
                <w:rFonts w:hint="eastAsia"/>
                <w:sz w:val="24"/>
              </w:rPr>
              <w:t>公司依托手机硬件流量基础持续深耕移动互联业务布局，构建高粘性的用户价值闭环，借助AI技术，移动互联业务核心产品的迭代速度与运营效率有所提升，有效加速了“软硬协同”商业模式的落地。目前，核心自研产品矩阵的多轮驱动格局已初步成型，持续赋能新兴市场数字化生态建设，推动长期价值释放。</w:t>
            </w:r>
          </w:p>
          <w:bookmarkEnd w:id="2"/>
          <w:p>
            <w:pPr>
              <w:spacing w:line="360" w:lineRule="auto"/>
              <w:ind w:firstLine="480" w:firstLineChars="200"/>
              <w:rPr>
                <w:sz w:val="24"/>
              </w:rPr>
            </w:pPr>
            <w:r>
              <w:rPr>
                <w:sz w:val="24"/>
              </w:rPr>
              <w:t>在 OS 系统及移动互联网产品服务领域，公司通过洞察市场本地化需求，深耕建设本地化服务和内容合作，并依托于公司市场占有率，形成高流量的应用产品矩阵。公司针对新兴市场存在流量成本高、网络不稳定、带宽低、内存配置低等特点，自主研发了流量节省、弱网网络连接、内存融合、感知调度、本地化小语种语音识别、AI 环境声降噪、AI 声纹降噪、画质增强等技术。同时，公司手机均搭载了基于Android系统平台二次开发、深度定制的手机智能终端操作系统（传音OS），深度洞察新兴市场用户在社交、效率办公、影音等场景体验构建，围绕传音OS，开发了应用商店、广告分发平台、手机管家等应用程序。</w:t>
            </w:r>
          </w:p>
          <w:p>
            <w:pPr>
              <w:spacing w:line="360" w:lineRule="auto"/>
              <w:rPr>
                <w:sz w:val="24"/>
              </w:rPr>
            </w:pPr>
          </w:p>
          <w:p>
            <w:pPr>
              <w:numPr>
                <w:ilvl w:val="0"/>
                <w:numId w:val="1"/>
              </w:numPr>
              <w:spacing w:line="360" w:lineRule="auto"/>
              <w:ind w:firstLine="482" w:firstLineChars="200"/>
              <w:rPr>
                <w:b/>
                <w:bCs/>
                <w:sz w:val="24"/>
              </w:rPr>
            </w:pPr>
            <w:r>
              <w:rPr>
                <w:b/>
                <w:bCs/>
                <w:sz w:val="24"/>
              </w:rPr>
              <w:t>如何看待非洲</w:t>
            </w:r>
            <w:r>
              <w:rPr>
                <w:rFonts w:hint="eastAsia"/>
                <w:b/>
                <w:bCs/>
                <w:sz w:val="24"/>
              </w:rPr>
              <w:t>市场</w:t>
            </w:r>
            <w:r>
              <w:rPr>
                <w:b/>
                <w:bCs/>
                <w:sz w:val="24"/>
              </w:rPr>
              <w:t>的竞争?</w:t>
            </w:r>
          </w:p>
          <w:p>
            <w:pPr>
              <w:spacing w:line="360" w:lineRule="auto"/>
              <w:ind w:firstLine="480" w:firstLineChars="200"/>
              <w:rPr>
                <w:sz w:val="24"/>
              </w:rPr>
            </w:pPr>
            <w:r>
              <w:rPr>
                <w:rFonts w:hint="eastAsia"/>
                <w:sz w:val="24"/>
              </w:rPr>
              <w:t>回答：</w:t>
            </w:r>
            <w:r>
              <w:rPr>
                <w:sz w:val="24"/>
              </w:rPr>
              <w:t>公司从2019年上市以来，整体上公司在非洲市场较为稳固，非洲智能机市场份额较刚上市当年有所提升，一直排名保持第一。</w:t>
            </w:r>
          </w:p>
          <w:p>
            <w:pPr>
              <w:spacing w:line="360" w:lineRule="auto"/>
              <w:ind w:firstLine="480" w:firstLineChars="200"/>
              <w:rPr>
                <w:sz w:val="24"/>
              </w:rPr>
            </w:pPr>
            <w:r>
              <w:rPr>
                <w:sz w:val="24"/>
              </w:rPr>
              <w:t>手机行业的竞争一直比较激烈，各厂商的策略都在动态变化着。非洲是一个综合维度竞争的市场，包括产品力、价格、渠道、售后等等，公司将继续构建非洲市场竞争优势，强化精细化运营和差异化品牌建设，通过体系化能力加固“护城河"，构建面对未来竞争的核心竞争力。</w:t>
            </w:r>
          </w:p>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sz w:val="24"/>
              </w:rPr>
            </w:pPr>
            <w:r>
              <w:rPr>
                <w:rFonts w:hint="eastAsia"/>
                <w:sz w:val="24"/>
              </w:rPr>
              <w:t>附件清单（如有）</w:t>
            </w:r>
          </w:p>
        </w:tc>
        <w:tc>
          <w:tcPr>
            <w:tcW w:w="7145" w:type="dxa"/>
            <w:vAlign w:val="center"/>
          </w:tcPr>
          <w:p>
            <w:pPr>
              <w:adjustRightInd w:val="0"/>
              <w:spacing w:line="360" w:lineRule="auto"/>
              <w:contextualSpacing/>
              <w:rPr>
                <w:sz w:val="24"/>
              </w:rPr>
            </w:pPr>
            <w:r>
              <w:rPr>
                <w:rFonts w:hint="eastAsia"/>
                <w:sz w:val="24"/>
              </w:rPr>
              <w:t>附件一《与会清单》</w:t>
            </w:r>
          </w:p>
        </w:tc>
      </w:tr>
    </w:tbl>
    <w:p>
      <w:pPr>
        <w:widowControl/>
        <w:textAlignment w:val="center"/>
        <w:rPr>
          <w:sz w:val="24"/>
        </w:rPr>
      </w:pPr>
    </w:p>
    <w:p>
      <w:pPr>
        <w:widowControl/>
        <w:textAlignment w:val="center"/>
        <w:rPr>
          <w:sz w:val="24"/>
        </w:rPr>
      </w:pPr>
    </w:p>
    <w:p>
      <w:pPr>
        <w:widowControl/>
        <w:textAlignment w:val="center"/>
        <w:rPr>
          <w:sz w:val="24"/>
        </w:rPr>
      </w:pPr>
      <w:r>
        <w:rPr>
          <w:rFonts w:hint="eastAsia"/>
          <w:sz w:val="24"/>
        </w:rPr>
        <w:t>附件一《与会清单》</w:t>
      </w:r>
    </w:p>
    <w:tbl>
      <w:tblPr>
        <w:tblStyle w:val="20"/>
        <w:tblW w:w="5000" w:type="pct"/>
        <w:tblInd w:w="0" w:type="dxa"/>
        <w:tblLayout w:type="autofit"/>
        <w:tblCellMar>
          <w:top w:w="0" w:type="dxa"/>
          <w:left w:w="108" w:type="dxa"/>
          <w:bottom w:w="0" w:type="dxa"/>
          <w:right w:w="108" w:type="dxa"/>
        </w:tblCellMar>
      </w:tblPr>
      <w:tblGrid>
        <w:gridCol w:w="4382"/>
        <w:gridCol w:w="4382"/>
      </w:tblGrid>
      <w:tr>
        <w:tblPrEx>
          <w:tblCellMar>
            <w:top w:w="0" w:type="dxa"/>
            <w:left w:w="108" w:type="dxa"/>
            <w:bottom w:w="0" w:type="dxa"/>
            <w:right w:w="108" w:type="dxa"/>
          </w:tblCellMar>
        </w:tblPrEx>
        <w:trPr>
          <w:trHeight w:val="315" w:hRule="atLeast"/>
        </w:trPr>
        <w:tc>
          <w:tcPr>
            <w:tcW w:w="2500" w:type="pct"/>
            <w:tcBorders>
              <w:top w:val="single" w:color="000000" w:sz="8" w:space="0"/>
              <w:left w:val="single" w:color="000000" w:sz="8" w:space="0"/>
              <w:bottom w:val="single" w:color="000000" w:sz="8" w:space="0"/>
              <w:right w:val="single" w:color="000000" w:sz="8" w:space="0"/>
            </w:tcBorders>
            <w:shd w:val="clear" w:color="auto" w:fill="8DB4E2"/>
            <w:vAlign w:val="center"/>
          </w:tcPr>
          <w:p>
            <w:pPr>
              <w:widowControl/>
              <w:spacing w:after="0"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公司名称</w:t>
            </w:r>
          </w:p>
        </w:tc>
        <w:tc>
          <w:tcPr>
            <w:tcW w:w="2500" w:type="pct"/>
            <w:tcBorders>
              <w:top w:val="single" w:color="000000" w:sz="8" w:space="0"/>
              <w:left w:val="nil"/>
              <w:bottom w:val="single" w:color="000000" w:sz="8" w:space="0"/>
              <w:right w:val="single" w:color="000000" w:sz="8" w:space="0"/>
            </w:tcBorders>
            <w:shd w:val="clear" w:color="auto" w:fill="8DB4E2"/>
            <w:vAlign w:val="center"/>
          </w:tcPr>
          <w:p>
            <w:pPr>
              <w:widowControl/>
              <w:spacing w:after="0"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公司名称</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color w:val="000000"/>
                <w:kern w:val="0"/>
                <w:szCs w:val="21"/>
                <w:lang w:bidi="ar"/>
              </w:rPr>
              <w:t>中邮证券有限责任公司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农银汇理基金管理有限公司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color w:val="000000"/>
                <w:kern w:val="0"/>
                <w:szCs w:val="21"/>
                <w:lang w:bidi="ar"/>
              </w:rPr>
              <w:t>中邮创业基金管理股份有限公司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宁银理财有限责任公司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中银基金管理有限公司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摩根士丹利基金管理有限公司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中信证券股份有限公司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摩根大通证券有限公司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中泰证券股份有限公司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明世伙伴私募基金管理有限公司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中加基金管理有限公司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美林(亚太)有限公司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中海基金管理有限公司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九泰基金管理有限公司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中国人寿资产管理有限公司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静远投资管理有限公司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中国国际金融股份有限公司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金圆资本管理有限公司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浙商证券股份有限公司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交银施罗德基金管理有限公司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浙江臻远投资管理有限公司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嘉实基金管理有限公司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浙江睿光私募基金管理有限公司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汇添富基金管理股份有限公司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招商证券股份有限公司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华泰证券资产管理有限公司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招商基金管理有限公司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华能贵诚信托有限公司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易方达基金管理有限公司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华安证券股份有限公司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野村东方国际证券有限公司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华安基金管理有限公司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兴证全球基金管理有限公司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花旗環球金融亞洲有限公司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兴业银行股份有限公司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鸿运私募基金管理(海南)有限公司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西部利得基金管理有限公司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泓德基金管理有限公司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万联证券股份有限公司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荷荷(北京)私募基金管理有限公司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泰康保险集团股份有限公司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瀚亚投资管理(上海)有限公司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太平资产管理有限公司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海通证券股份有限公司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太平洋证券股份有限公司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海通国际研究有限公司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太平基金管理有限公司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国信证券股份有限公司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施罗德投资管理(上海)有限公司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国泰基金管理有限公司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盛钧私募基金管理(湖北)有限公司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国盛证券有限责任公司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盛博香港有限公司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国联民生证券股份有限公司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深圳通和私募证券投资基金管理有限公司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国金证券股份有限公司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深圳市中泓汇富资产管理有限公司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国海证券股份有限公司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深圳市裕晋投资有限公司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广州云禧私募证券投资基金管理有限公司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深圳市四海圆通投资有限公司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广州鼎熙私募证券投资基金管理有限公司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深圳前海联合利业投资管理有限公司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广东正圆私募基金管理有限公司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深圳量度资本投资管理有限公司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广东光帆私募基金管理合伙企业(有限合伙)</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深圳创富兆业金融管理有限公司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光大证券股份有限公司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申万宏源证券有限公司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工银安盛人寿保险有限公司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上海循理资产管理有限公司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高盛(亚洲)有限责任公司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上海申银万国证券研究所有限公司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富时(厦门)资产管理有限公司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上海睿郡资产管理有限公司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富瑞金融集团香港有限公司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上海聆泽私募基金管理有限公司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富荣基金管理有限公司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上海利檀投资管理有限公司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东亚前海证券有限责任公司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上海景林资产管理有限公司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东吴证券股份有限公司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上海健顺投资管理有限公司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东方证券股份有限公司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上海高毅资产管理合伙企业(有限合伙)</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东北证券股份有限公司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上海禅龙资产管理有限公司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创金合信基金管理有限公司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瑞银证券有限责任公司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财通基金管理有限公司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瑞穗证券亚洲有限公司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北京诺昌投资管理有限公司</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青榕资产管理有限公司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Global Telecom Capital</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前海开源基金管理有限公司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Conning Asia Pacific Limited</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浦银安盛基金管理有限公司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Bright Valley Capital Limited</w:t>
            </w:r>
          </w:p>
        </w:tc>
      </w:tr>
      <w:tr>
        <w:tblPrEx>
          <w:tblCellMar>
            <w:top w:w="0" w:type="dxa"/>
            <w:left w:w="108" w:type="dxa"/>
            <w:bottom w:w="0" w:type="dxa"/>
            <w:right w:w="108" w:type="dxa"/>
          </w:tblCellMar>
        </w:tblPrEx>
        <w:trPr>
          <w:trHeight w:val="42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平安基金管理有限公司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color w:val="000000"/>
                <w:kern w:val="0"/>
                <w:szCs w:val="21"/>
                <w:lang w:bidi="ar"/>
              </w:rPr>
            </w:pPr>
            <w:r>
              <w:rPr>
                <w:rFonts w:hint="eastAsia"/>
                <w:color w:val="000000"/>
                <w:kern w:val="0"/>
                <w:szCs w:val="21"/>
                <w:lang w:bidi="ar"/>
              </w:rPr>
              <w:t>Affluence Capital Limited</w:t>
            </w:r>
          </w:p>
        </w:tc>
      </w:tr>
    </w:tbl>
    <w:p>
      <w:pPr>
        <w:widowControl/>
        <w:spacing w:after="0" w:line="240" w:lineRule="auto"/>
        <w:textAlignment w:val="center"/>
        <w:rPr>
          <w:sz w:val="24"/>
          <w:highlight w:val="yellow"/>
        </w:rPr>
      </w:pPr>
    </w:p>
    <w:p>
      <w:pPr>
        <w:widowControl/>
        <w:textAlignment w:val="center"/>
        <w:rPr>
          <w:sz w:val="24"/>
        </w:rPr>
      </w:pPr>
    </w:p>
    <w:sectPr>
      <w:footerReference r:id="rId5" w:type="default"/>
      <w:pgSz w:w="11906" w:h="16838"/>
      <w:pgMar w:top="1440" w:right="1558"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13D68"/>
    <w:multiLevelType w:val="singleLevel"/>
    <w:tmpl w:val="68913D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779"/>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4799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5890"/>
    <w:rsid w:val="001D6593"/>
    <w:rsid w:val="001E24A3"/>
    <w:rsid w:val="001E334A"/>
    <w:rsid w:val="001E4D90"/>
    <w:rsid w:val="001E61E7"/>
    <w:rsid w:val="001E6FA0"/>
    <w:rsid w:val="001F0E25"/>
    <w:rsid w:val="001F0FA1"/>
    <w:rsid w:val="001F116F"/>
    <w:rsid w:val="001F43B1"/>
    <w:rsid w:val="001F5E83"/>
    <w:rsid w:val="001F6E43"/>
    <w:rsid w:val="0020038C"/>
    <w:rsid w:val="00200BCA"/>
    <w:rsid w:val="0020157B"/>
    <w:rsid w:val="002028C9"/>
    <w:rsid w:val="00202D87"/>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84365"/>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454F"/>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B6FDF"/>
    <w:rsid w:val="003C146F"/>
    <w:rsid w:val="003C525E"/>
    <w:rsid w:val="003C6347"/>
    <w:rsid w:val="003C65C7"/>
    <w:rsid w:val="003C6EFE"/>
    <w:rsid w:val="003C70D3"/>
    <w:rsid w:val="003D0D50"/>
    <w:rsid w:val="003D1444"/>
    <w:rsid w:val="003D4A2F"/>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3F5B32"/>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14C5"/>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A5F4F"/>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74365"/>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176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046"/>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5077"/>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1E21"/>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4F9"/>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4AA"/>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B6993"/>
    <w:rsid w:val="009C03BE"/>
    <w:rsid w:val="009C1EC5"/>
    <w:rsid w:val="009C44E5"/>
    <w:rsid w:val="009C6350"/>
    <w:rsid w:val="009C729B"/>
    <w:rsid w:val="009C79F9"/>
    <w:rsid w:val="009C7B43"/>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47324"/>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7D"/>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476B"/>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5D08"/>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ACF"/>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1AB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74"/>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1177"/>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0E5"/>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1A9E"/>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6C55B6"/>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A36C03"/>
    <w:rsid w:val="0AC4111E"/>
    <w:rsid w:val="0B2215B0"/>
    <w:rsid w:val="0B325FCD"/>
    <w:rsid w:val="0B594E05"/>
    <w:rsid w:val="0B692418"/>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1D90"/>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B10478"/>
    <w:rsid w:val="11E71ACF"/>
    <w:rsid w:val="12890F5D"/>
    <w:rsid w:val="128C5918"/>
    <w:rsid w:val="128F389E"/>
    <w:rsid w:val="12980BD0"/>
    <w:rsid w:val="12BD5C5A"/>
    <w:rsid w:val="12C70E0E"/>
    <w:rsid w:val="12C7439F"/>
    <w:rsid w:val="12C746C0"/>
    <w:rsid w:val="12FF22F4"/>
    <w:rsid w:val="132F268B"/>
    <w:rsid w:val="13350F33"/>
    <w:rsid w:val="13611518"/>
    <w:rsid w:val="137A29AA"/>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7741D"/>
    <w:rsid w:val="169A775C"/>
    <w:rsid w:val="16BD6C48"/>
    <w:rsid w:val="16DA4037"/>
    <w:rsid w:val="16DE2F48"/>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0841"/>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EAC591B"/>
    <w:rsid w:val="1F364149"/>
    <w:rsid w:val="1F4D5F3F"/>
    <w:rsid w:val="1F8C5304"/>
    <w:rsid w:val="1FAA503E"/>
    <w:rsid w:val="1FCD20DB"/>
    <w:rsid w:val="1FDA3DD1"/>
    <w:rsid w:val="201255EF"/>
    <w:rsid w:val="2030732B"/>
    <w:rsid w:val="20A27E4D"/>
    <w:rsid w:val="20BD77E2"/>
    <w:rsid w:val="20F3560A"/>
    <w:rsid w:val="2115718C"/>
    <w:rsid w:val="21922495"/>
    <w:rsid w:val="219D02BB"/>
    <w:rsid w:val="21BD56B5"/>
    <w:rsid w:val="21D1799E"/>
    <w:rsid w:val="221906D6"/>
    <w:rsid w:val="22417E19"/>
    <w:rsid w:val="226360E7"/>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2472C"/>
    <w:rsid w:val="258B2624"/>
    <w:rsid w:val="25BA394C"/>
    <w:rsid w:val="25E5637D"/>
    <w:rsid w:val="25F5752D"/>
    <w:rsid w:val="260074C0"/>
    <w:rsid w:val="26051A2A"/>
    <w:rsid w:val="26071023"/>
    <w:rsid w:val="264B1F24"/>
    <w:rsid w:val="2686348E"/>
    <w:rsid w:val="26A755DA"/>
    <w:rsid w:val="26E224AF"/>
    <w:rsid w:val="26FD771C"/>
    <w:rsid w:val="270330EF"/>
    <w:rsid w:val="27084542"/>
    <w:rsid w:val="27310BFD"/>
    <w:rsid w:val="273803E6"/>
    <w:rsid w:val="27726401"/>
    <w:rsid w:val="27CA7B63"/>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81DE6"/>
    <w:rsid w:val="2A5F3098"/>
    <w:rsid w:val="2A614E0F"/>
    <w:rsid w:val="2A9A7760"/>
    <w:rsid w:val="2A9B29B5"/>
    <w:rsid w:val="2AE23593"/>
    <w:rsid w:val="2B3A1ABF"/>
    <w:rsid w:val="2B6D3D2B"/>
    <w:rsid w:val="2BA86E9E"/>
    <w:rsid w:val="2BD30A71"/>
    <w:rsid w:val="2BE412F3"/>
    <w:rsid w:val="2BEB6E87"/>
    <w:rsid w:val="2BF47C27"/>
    <w:rsid w:val="2C5974FB"/>
    <w:rsid w:val="2CD3611C"/>
    <w:rsid w:val="2CD42358"/>
    <w:rsid w:val="2D1241C0"/>
    <w:rsid w:val="2D3F4D02"/>
    <w:rsid w:val="2D432F4D"/>
    <w:rsid w:val="2D68269C"/>
    <w:rsid w:val="2D78548B"/>
    <w:rsid w:val="2DAE7AE2"/>
    <w:rsid w:val="2DB15BA1"/>
    <w:rsid w:val="2DB779D6"/>
    <w:rsid w:val="2E36091B"/>
    <w:rsid w:val="2E7262E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55314"/>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454F8F"/>
    <w:rsid w:val="34863CE3"/>
    <w:rsid w:val="34AF0402"/>
    <w:rsid w:val="34B72FCB"/>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B61770"/>
    <w:rsid w:val="37DC26E3"/>
    <w:rsid w:val="37DF0B51"/>
    <w:rsid w:val="38040B91"/>
    <w:rsid w:val="380F3DD2"/>
    <w:rsid w:val="381C34D8"/>
    <w:rsid w:val="382D4722"/>
    <w:rsid w:val="38531C34"/>
    <w:rsid w:val="386D18AB"/>
    <w:rsid w:val="38894CCC"/>
    <w:rsid w:val="38C23901"/>
    <w:rsid w:val="38CC5B1C"/>
    <w:rsid w:val="38D85479"/>
    <w:rsid w:val="390A7799"/>
    <w:rsid w:val="393743AF"/>
    <w:rsid w:val="395F573C"/>
    <w:rsid w:val="39676337"/>
    <w:rsid w:val="396B3F13"/>
    <w:rsid w:val="397B3AED"/>
    <w:rsid w:val="39AA42AD"/>
    <w:rsid w:val="39B238FC"/>
    <w:rsid w:val="39CD1A56"/>
    <w:rsid w:val="39F55E02"/>
    <w:rsid w:val="39F8405E"/>
    <w:rsid w:val="3A010FEC"/>
    <w:rsid w:val="3A0828E4"/>
    <w:rsid w:val="3A0D68DF"/>
    <w:rsid w:val="3A2D6675"/>
    <w:rsid w:val="3A6D5BAA"/>
    <w:rsid w:val="3AA750BE"/>
    <w:rsid w:val="3AF46DB2"/>
    <w:rsid w:val="3B06616D"/>
    <w:rsid w:val="3B290415"/>
    <w:rsid w:val="3B3145D0"/>
    <w:rsid w:val="3B8360F4"/>
    <w:rsid w:val="3B9818AC"/>
    <w:rsid w:val="3BED5CE2"/>
    <w:rsid w:val="3C335E91"/>
    <w:rsid w:val="3C3B275F"/>
    <w:rsid w:val="3C417B96"/>
    <w:rsid w:val="3C5431D0"/>
    <w:rsid w:val="3C783737"/>
    <w:rsid w:val="3CC354EE"/>
    <w:rsid w:val="3CCA6229"/>
    <w:rsid w:val="3CF257A4"/>
    <w:rsid w:val="3D031463"/>
    <w:rsid w:val="3D6C0634"/>
    <w:rsid w:val="3D8E7C24"/>
    <w:rsid w:val="3DBA4787"/>
    <w:rsid w:val="3DDE0AF0"/>
    <w:rsid w:val="3DEE649D"/>
    <w:rsid w:val="3E0C0A17"/>
    <w:rsid w:val="3E490D29"/>
    <w:rsid w:val="3E576765"/>
    <w:rsid w:val="3E8C4A69"/>
    <w:rsid w:val="3EB3059D"/>
    <w:rsid w:val="3F3D0292"/>
    <w:rsid w:val="3F3E18B7"/>
    <w:rsid w:val="3F420C04"/>
    <w:rsid w:val="3F56143C"/>
    <w:rsid w:val="3F687FFF"/>
    <w:rsid w:val="3F7336E2"/>
    <w:rsid w:val="3F976EF0"/>
    <w:rsid w:val="3F9E34AA"/>
    <w:rsid w:val="3FA947BC"/>
    <w:rsid w:val="3FD656E8"/>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AB27CD"/>
    <w:rsid w:val="43D16E80"/>
    <w:rsid w:val="43D40585"/>
    <w:rsid w:val="43F6709E"/>
    <w:rsid w:val="440D2D8C"/>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DE201A"/>
    <w:rsid w:val="45FC3CEC"/>
    <w:rsid w:val="45FE485A"/>
    <w:rsid w:val="460A065E"/>
    <w:rsid w:val="461D5BD9"/>
    <w:rsid w:val="468912F2"/>
    <w:rsid w:val="46961BCD"/>
    <w:rsid w:val="46A83703"/>
    <w:rsid w:val="46CB14C3"/>
    <w:rsid w:val="46E23E04"/>
    <w:rsid w:val="47265CD5"/>
    <w:rsid w:val="47293BB1"/>
    <w:rsid w:val="47297947"/>
    <w:rsid w:val="472D4229"/>
    <w:rsid w:val="47457293"/>
    <w:rsid w:val="474B4DBA"/>
    <w:rsid w:val="47C74495"/>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C467D1"/>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8F07F9B"/>
    <w:rsid w:val="59052760"/>
    <w:rsid w:val="59716DB2"/>
    <w:rsid w:val="59754FF7"/>
    <w:rsid w:val="597A742C"/>
    <w:rsid w:val="59944086"/>
    <w:rsid w:val="59B15D0E"/>
    <w:rsid w:val="5A03189B"/>
    <w:rsid w:val="5A1475C1"/>
    <w:rsid w:val="5A1C27A3"/>
    <w:rsid w:val="5A3A1416"/>
    <w:rsid w:val="5A534065"/>
    <w:rsid w:val="5A59670A"/>
    <w:rsid w:val="5A627C46"/>
    <w:rsid w:val="5A911508"/>
    <w:rsid w:val="5AEB77AE"/>
    <w:rsid w:val="5AF710D9"/>
    <w:rsid w:val="5B0316B5"/>
    <w:rsid w:val="5B3541FE"/>
    <w:rsid w:val="5B4E171A"/>
    <w:rsid w:val="5B936713"/>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266771"/>
    <w:rsid w:val="5E3C7E71"/>
    <w:rsid w:val="5E5D39D1"/>
    <w:rsid w:val="5E5E02D2"/>
    <w:rsid w:val="5E746B56"/>
    <w:rsid w:val="5E833E0A"/>
    <w:rsid w:val="5ED72454"/>
    <w:rsid w:val="5EF677AD"/>
    <w:rsid w:val="5F216E64"/>
    <w:rsid w:val="5F6E0882"/>
    <w:rsid w:val="5F707E7F"/>
    <w:rsid w:val="5F92147C"/>
    <w:rsid w:val="5FA54D1C"/>
    <w:rsid w:val="5FAE0D13"/>
    <w:rsid w:val="5FC5509E"/>
    <w:rsid w:val="5FFF2F9A"/>
    <w:rsid w:val="601D69CC"/>
    <w:rsid w:val="602445C5"/>
    <w:rsid w:val="602E5240"/>
    <w:rsid w:val="603A0142"/>
    <w:rsid w:val="605C331D"/>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B300BC"/>
    <w:rsid w:val="63DB50B0"/>
    <w:rsid w:val="63E9155E"/>
    <w:rsid w:val="643D25A6"/>
    <w:rsid w:val="6448678C"/>
    <w:rsid w:val="6464313E"/>
    <w:rsid w:val="64A33B31"/>
    <w:rsid w:val="64B01D9F"/>
    <w:rsid w:val="64CE0BA7"/>
    <w:rsid w:val="64D975F8"/>
    <w:rsid w:val="64FB1227"/>
    <w:rsid w:val="655F0DB7"/>
    <w:rsid w:val="65654D13"/>
    <w:rsid w:val="65AD6381"/>
    <w:rsid w:val="65B56FAF"/>
    <w:rsid w:val="663B7BB7"/>
    <w:rsid w:val="663F16E6"/>
    <w:rsid w:val="664C5E68"/>
    <w:rsid w:val="6683289C"/>
    <w:rsid w:val="668C22BF"/>
    <w:rsid w:val="66906858"/>
    <w:rsid w:val="66993849"/>
    <w:rsid w:val="66D61BC3"/>
    <w:rsid w:val="66DF13E0"/>
    <w:rsid w:val="67675615"/>
    <w:rsid w:val="67B313E7"/>
    <w:rsid w:val="67C573EA"/>
    <w:rsid w:val="67D06A7F"/>
    <w:rsid w:val="67D1683A"/>
    <w:rsid w:val="67ED4771"/>
    <w:rsid w:val="68423CA0"/>
    <w:rsid w:val="685946F9"/>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8A75DF"/>
    <w:rsid w:val="69C539A2"/>
    <w:rsid w:val="69D80AE6"/>
    <w:rsid w:val="69F11982"/>
    <w:rsid w:val="6A0D03CD"/>
    <w:rsid w:val="6A3969AF"/>
    <w:rsid w:val="6A62213E"/>
    <w:rsid w:val="6A9A0400"/>
    <w:rsid w:val="6ABD5F31"/>
    <w:rsid w:val="6ADE2CAB"/>
    <w:rsid w:val="6AFC5AC2"/>
    <w:rsid w:val="6B0D3F2C"/>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63758D"/>
    <w:rsid w:val="707F0BB6"/>
    <w:rsid w:val="70A70D19"/>
    <w:rsid w:val="70D255C7"/>
    <w:rsid w:val="712811C0"/>
    <w:rsid w:val="7186107A"/>
    <w:rsid w:val="71B41E9B"/>
    <w:rsid w:val="71D8596D"/>
    <w:rsid w:val="71FE7486"/>
    <w:rsid w:val="722F51EB"/>
    <w:rsid w:val="72391A22"/>
    <w:rsid w:val="723E433F"/>
    <w:rsid w:val="724111B0"/>
    <w:rsid w:val="725F4533"/>
    <w:rsid w:val="726D74B0"/>
    <w:rsid w:val="728E1D4B"/>
    <w:rsid w:val="72BD12CC"/>
    <w:rsid w:val="72F0532D"/>
    <w:rsid w:val="732F672A"/>
    <w:rsid w:val="734003FE"/>
    <w:rsid w:val="734211C7"/>
    <w:rsid w:val="736B35F1"/>
    <w:rsid w:val="73A92F87"/>
    <w:rsid w:val="73AD4078"/>
    <w:rsid w:val="73C617D8"/>
    <w:rsid w:val="74265712"/>
    <w:rsid w:val="74567621"/>
    <w:rsid w:val="74586BC4"/>
    <w:rsid w:val="74923767"/>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016D32"/>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B97E60"/>
    <w:rsid w:val="7BCF07E3"/>
    <w:rsid w:val="7C60541F"/>
    <w:rsid w:val="7C6A37B2"/>
    <w:rsid w:val="7CCC1C8E"/>
    <w:rsid w:val="7CF83087"/>
    <w:rsid w:val="7CFC5A02"/>
    <w:rsid w:val="7D043953"/>
    <w:rsid w:val="7D0D1304"/>
    <w:rsid w:val="7D5869A8"/>
    <w:rsid w:val="7D961A3E"/>
    <w:rsid w:val="7DE95AD1"/>
    <w:rsid w:val="7E1C7EBC"/>
    <w:rsid w:val="7EA52B3B"/>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8"/>
    <w:qFormat/>
    <w:uiPriority w:val="0"/>
    <w:pPr>
      <w:keepNext/>
      <w:keepLines/>
      <w:spacing w:before="260" w:after="260" w:line="416" w:lineRule="auto"/>
      <w:outlineLvl w:val="2"/>
    </w:pPr>
    <w:rPr>
      <w:b/>
      <w:bCs/>
      <w:kern w:val="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2"/>
    <w:unhideWhenUsed/>
    <w:qFormat/>
    <w:uiPriority w:val="99"/>
    <w:rPr>
      <w:rFonts w:ascii="宋体"/>
      <w:sz w:val="18"/>
      <w:szCs w:val="18"/>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47"/>
    <w:unhideWhenUsed/>
    <w:qFormat/>
    <w:uiPriority w:val="0"/>
    <w:pPr>
      <w:spacing w:after="120"/>
      <w:ind w:left="420" w:leftChars="200"/>
    </w:pPr>
    <w:rPr>
      <w:kern w:val="0"/>
      <w:sz w:val="20"/>
    </w:rPr>
  </w:style>
  <w:style w:type="paragraph" w:styleId="9">
    <w:name w:val="toc 3"/>
    <w:basedOn w:val="1"/>
    <w:next w:val="1"/>
    <w:unhideWhenUsed/>
    <w:qFormat/>
    <w:uiPriority w:val="39"/>
    <w:pPr>
      <w:ind w:left="840" w:leftChars="400"/>
    </w:pPr>
  </w:style>
  <w:style w:type="paragraph" w:styleId="10">
    <w:name w:val="Date"/>
    <w:basedOn w:val="1"/>
    <w:next w:val="1"/>
    <w:link w:val="37"/>
    <w:unhideWhenUsed/>
    <w:qFormat/>
    <w:uiPriority w:val="0"/>
    <w:pPr>
      <w:ind w:left="100" w:leftChars="2500"/>
    </w:pPr>
    <w:rPr>
      <w:kern w:val="0"/>
      <w:sz w:val="20"/>
    </w:rPr>
  </w:style>
  <w:style w:type="paragraph" w:styleId="11">
    <w:name w:val="Body Text Indent 2"/>
    <w:basedOn w:val="1"/>
    <w:link w:val="46"/>
    <w:qFormat/>
    <w:uiPriority w:val="0"/>
    <w:pPr>
      <w:spacing w:line="600" w:lineRule="exact"/>
      <w:ind w:firstLine="600" w:firstLineChars="200"/>
    </w:pPr>
    <w:rPr>
      <w:rFonts w:ascii="仿宋_GB2312" w:hAnsi="宋体" w:eastAsia="仿宋_GB2312"/>
      <w:kern w:val="0"/>
      <w:sz w:val="30"/>
      <w:szCs w:val="30"/>
    </w:rPr>
  </w:style>
  <w:style w:type="paragraph" w:styleId="12">
    <w:name w:val="Balloon Text"/>
    <w:basedOn w:val="1"/>
    <w:link w:val="44"/>
    <w:semiHidden/>
    <w:qFormat/>
    <w:uiPriority w:val="0"/>
    <w:rPr>
      <w:kern w:val="0"/>
      <w:sz w:val="18"/>
      <w:szCs w:val="18"/>
    </w:rPr>
  </w:style>
  <w:style w:type="paragraph" w:styleId="13">
    <w:name w:val="footer"/>
    <w:basedOn w:val="1"/>
    <w:link w:val="40"/>
    <w:qFormat/>
    <w:uiPriority w:val="99"/>
    <w:pPr>
      <w:tabs>
        <w:tab w:val="center" w:pos="4153"/>
        <w:tab w:val="right" w:pos="8306"/>
      </w:tabs>
      <w:snapToGrid w:val="0"/>
      <w:jc w:val="left"/>
    </w:pPr>
    <w:rPr>
      <w:kern w:val="0"/>
      <w:sz w:val="18"/>
      <w:szCs w:val="18"/>
    </w:rPr>
  </w:style>
  <w:style w:type="paragraph" w:styleId="14">
    <w:name w:val="header"/>
    <w:basedOn w:val="1"/>
    <w:link w:val="4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pPr>
      <w:tabs>
        <w:tab w:val="right" w:leader="dot" w:pos="8302"/>
      </w:tabs>
      <w:spacing w:line="360" w:lineRule="auto"/>
    </w:pPr>
  </w:style>
  <w:style w:type="paragraph" w:styleId="16">
    <w:name w:val="Body Text Indent 3"/>
    <w:basedOn w:val="1"/>
    <w:link w:val="36"/>
    <w:unhideWhenUsed/>
    <w:qFormat/>
    <w:uiPriority w:val="0"/>
    <w:pPr>
      <w:spacing w:after="120"/>
      <w:ind w:left="420" w:leftChars="200"/>
    </w:pPr>
    <w:rPr>
      <w:kern w:val="0"/>
      <w:sz w:val="16"/>
      <w:szCs w:val="16"/>
    </w:rPr>
  </w:style>
  <w:style w:type="paragraph" w:styleId="17">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6"/>
    <w:next w:val="6"/>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Emphasis"/>
    <w:basedOn w:val="22"/>
    <w:qFormat/>
    <w:uiPriority w:val="20"/>
    <w:rPr>
      <w:i/>
    </w:rPr>
  </w:style>
  <w:style w:type="character" w:styleId="27">
    <w:name w:val="Hyperlink"/>
    <w:qFormat/>
    <w:uiPriority w:val="99"/>
    <w:rPr>
      <w:color w:val="0000FF"/>
      <w:u w:val="single"/>
    </w:rPr>
  </w:style>
  <w:style w:type="character" w:styleId="28">
    <w:name w:val="annotation reference"/>
    <w:semiHidden/>
    <w:qFormat/>
    <w:uiPriority w:val="0"/>
    <w:rPr>
      <w:sz w:val="21"/>
      <w:szCs w:val="21"/>
    </w:rPr>
  </w:style>
  <w:style w:type="paragraph" w:customStyle="1" w:styleId="29">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30">
    <w:name w:val="彩色底纹 - 着色 11"/>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1">
    <w:name w:val="彩色列表 - 着色 11"/>
    <w:basedOn w:val="1"/>
    <w:qFormat/>
    <w:uiPriority w:val="34"/>
    <w:pPr>
      <w:ind w:firstLine="420" w:firstLineChars="200"/>
    </w:pPr>
  </w:style>
  <w:style w:type="paragraph" w:customStyle="1" w:styleId="32">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styleId="33">
    <w:name w:val="List Paragraph"/>
    <w:basedOn w:val="1"/>
    <w:qFormat/>
    <w:uiPriority w:val="34"/>
    <w:pPr>
      <w:ind w:firstLine="420" w:firstLineChars="200"/>
    </w:pPr>
  </w:style>
  <w:style w:type="paragraph" w:customStyle="1" w:styleId="34">
    <w:name w:val="第四层 （一） Char Char"/>
    <w:qFormat/>
    <w:uiPriority w:val="0"/>
    <w:pPr>
      <w:spacing w:before="120" w:after="160" w:line="360" w:lineRule="auto"/>
    </w:pPr>
    <w:rPr>
      <w:rFonts w:ascii="Times New Roman" w:hAnsi="Times New Roman" w:eastAsia="宋体" w:cs="Times New Roman"/>
      <w:b/>
      <w:bCs/>
      <w:kern w:val="2"/>
      <w:sz w:val="24"/>
      <w:szCs w:val="24"/>
      <w:lang w:val="en-US" w:eastAsia="zh-CN" w:bidi="ar-SA"/>
    </w:rPr>
  </w:style>
  <w:style w:type="paragraph" w:customStyle="1" w:styleId="35">
    <w:name w:val="005正文"/>
    <w:basedOn w:val="1"/>
    <w:link w:val="49"/>
    <w:qFormat/>
    <w:uiPriority w:val="0"/>
    <w:pPr>
      <w:spacing w:beforeLines="50" w:line="360" w:lineRule="auto"/>
      <w:ind w:firstLine="200" w:firstLineChars="200"/>
    </w:pPr>
    <w:rPr>
      <w:sz w:val="24"/>
      <w:szCs w:val="22"/>
    </w:rPr>
  </w:style>
  <w:style w:type="character" w:customStyle="1" w:styleId="36">
    <w:name w:val="正文文本缩进 3 字符"/>
    <w:link w:val="16"/>
    <w:qFormat/>
    <w:uiPriority w:val="0"/>
    <w:rPr>
      <w:rFonts w:ascii="Times New Roman" w:hAnsi="Times New Roman" w:eastAsia="宋体" w:cs="Times New Roman"/>
      <w:sz w:val="16"/>
      <w:szCs w:val="16"/>
    </w:rPr>
  </w:style>
  <w:style w:type="character" w:customStyle="1" w:styleId="37">
    <w:name w:val="日期 字符"/>
    <w:link w:val="10"/>
    <w:qFormat/>
    <w:uiPriority w:val="0"/>
    <w:rPr>
      <w:rFonts w:ascii="Times New Roman" w:hAnsi="Times New Roman" w:eastAsia="宋体" w:cs="Times New Roman"/>
      <w:szCs w:val="24"/>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font01"/>
    <w:qFormat/>
    <w:uiPriority w:val="0"/>
    <w:rPr>
      <w:rFonts w:hint="eastAsia" w:ascii="宋体" w:hAnsi="宋体" w:eastAsia="宋体" w:cs="宋体"/>
      <w:color w:val="000000"/>
      <w:sz w:val="22"/>
      <w:szCs w:val="22"/>
      <w:u w:val="none"/>
    </w:rPr>
  </w:style>
  <w:style w:type="character" w:customStyle="1" w:styleId="40">
    <w:name w:val="页脚 字符"/>
    <w:link w:val="13"/>
    <w:qFormat/>
    <w:uiPriority w:val="99"/>
    <w:rPr>
      <w:rFonts w:ascii="Times New Roman" w:hAnsi="Times New Roman" w:eastAsia="宋体" w:cs="Times New Roman"/>
      <w:sz w:val="18"/>
      <w:szCs w:val="18"/>
    </w:rPr>
  </w:style>
  <w:style w:type="character" w:customStyle="1" w:styleId="41">
    <w:name w:val="页眉 字符"/>
    <w:link w:val="14"/>
    <w:qFormat/>
    <w:uiPriority w:val="99"/>
    <w:rPr>
      <w:rFonts w:ascii="Times New Roman" w:hAnsi="Times New Roman" w:eastAsia="宋体" w:cs="Times New Roman"/>
      <w:sz w:val="18"/>
      <w:szCs w:val="18"/>
    </w:rPr>
  </w:style>
  <w:style w:type="character" w:customStyle="1" w:styleId="42">
    <w:name w:val="文档结构图 字符"/>
    <w:link w:val="5"/>
    <w:semiHidden/>
    <w:qFormat/>
    <w:uiPriority w:val="99"/>
    <w:rPr>
      <w:rFonts w:ascii="宋体" w:hAnsi="Times New Roman"/>
      <w:kern w:val="2"/>
      <w:sz w:val="18"/>
      <w:szCs w:val="18"/>
    </w:rPr>
  </w:style>
  <w:style w:type="character" w:customStyle="1" w:styleId="43">
    <w:name w:val="HTML 预设格式 字符"/>
    <w:link w:val="17"/>
    <w:qFormat/>
    <w:uiPriority w:val="0"/>
    <w:rPr>
      <w:rFonts w:ascii="宋体" w:hAnsi="宋体" w:eastAsia="宋体" w:cs="宋体"/>
      <w:kern w:val="0"/>
      <w:sz w:val="24"/>
      <w:szCs w:val="24"/>
    </w:rPr>
  </w:style>
  <w:style w:type="character" w:customStyle="1" w:styleId="44">
    <w:name w:val="批注框文本 字符"/>
    <w:link w:val="12"/>
    <w:semiHidden/>
    <w:qFormat/>
    <w:uiPriority w:val="0"/>
    <w:rPr>
      <w:rFonts w:ascii="Times New Roman" w:hAnsi="Times New Roman" w:eastAsia="宋体" w:cs="Times New Roman"/>
      <w:sz w:val="18"/>
      <w:szCs w:val="18"/>
    </w:rPr>
  </w:style>
  <w:style w:type="character" w:customStyle="1" w:styleId="45">
    <w:name w:val="apple-style-span"/>
    <w:basedOn w:val="22"/>
    <w:qFormat/>
    <w:uiPriority w:val="0"/>
  </w:style>
  <w:style w:type="character" w:customStyle="1" w:styleId="46">
    <w:name w:val="正文文本缩进 2 字符"/>
    <w:link w:val="11"/>
    <w:qFormat/>
    <w:uiPriority w:val="0"/>
    <w:rPr>
      <w:rFonts w:ascii="仿宋_GB2312" w:hAnsi="宋体" w:eastAsia="仿宋_GB2312" w:cs="Times New Roman"/>
      <w:sz w:val="30"/>
      <w:szCs w:val="30"/>
    </w:rPr>
  </w:style>
  <w:style w:type="character" w:customStyle="1" w:styleId="47">
    <w:name w:val="正文文本缩进 字符"/>
    <w:link w:val="8"/>
    <w:qFormat/>
    <w:uiPriority w:val="0"/>
    <w:rPr>
      <w:rFonts w:ascii="Times New Roman" w:hAnsi="Times New Roman" w:eastAsia="宋体" w:cs="Times New Roman"/>
      <w:szCs w:val="24"/>
    </w:rPr>
  </w:style>
  <w:style w:type="character" w:customStyle="1" w:styleId="48">
    <w:name w:val="标题 1 字符"/>
    <w:link w:val="2"/>
    <w:qFormat/>
    <w:uiPriority w:val="0"/>
    <w:rPr>
      <w:rFonts w:ascii="Times New Roman" w:hAnsi="Times New Roman" w:eastAsia="宋体" w:cs="Times New Roman"/>
      <w:b/>
      <w:bCs/>
      <w:kern w:val="44"/>
      <w:sz w:val="44"/>
      <w:szCs w:val="44"/>
    </w:rPr>
  </w:style>
  <w:style w:type="character" w:customStyle="1" w:styleId="49">
    <w:name w:val="005正文 Char"/>
    <w:link w:val="35"/>
    <w:qFormat/>
    <w:uiPriority w:val="0"/>
    <w:rPr>
      <w:rFonts w:ascii="Times New Roman" w:hAnsi="Times New Roman"/>
      <w:kern w:val="2"/>
      <w:sz w:val="24"/>
      <w:szCs w:val="22"/>
    </w:rPr>
  </w:style>
  <w:style w:type="character" w:customStyle="1" w:styleId="50">
    <w:name w:val="font21"/>
    <w:qFormat/>
    <w:uiPriority w:val="0"/>
    <w:rPr>
      <w:rFonts w:hint="default" w:ascii="Times New Roman" w:hAnsi="Times New Roman" w:cs="Times New Roman"/>
      <w:color w:val="000000"/>
      <w:sz w:val="22"/>
      <w:szCs w:val="22"/>
      <w:u w:val="none"/>
    </w:rPr>
  </w:style>
  <w:style w:type="paragraph" w:customStyle="1" w:styleId="51">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2">
    <w:name w:val="Revision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3">
    <w:name w:val="Revision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4">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5">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6">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_Style 6"/>
    <w:basedOn w:val="1"/>
    <w:qFormat/>
    <w:uiPriority w:val="34"/>
    <w:pPr>
      <w:ind w:firstLine="420" w:firstLineChars="200"/>
    </w:pPr>
    <w:rPr>
      <w:rFonts w:ascii="Calibri" w:hAnsi="Calibri"/>
      <w:szCs w:val="22"/>
    </w:rPr>
  </w:style>
  <w:style w:type="paragraph" w:customStyle="1" w:styleId="60">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61">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6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7FFB-AF57-446D-8B2B-DDC54C4C8AB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543</Words>
  <Characters>3096</Characters>
  <Lines>25</Lines>
  <Paragraphs>7</Paragraphs>
  <TotalTime>13</TotalTime>
  <ScaleCrop>false</ScaleCrop>
  <LinksUpToDate>false</LinksUpToDate>
  <CharactersWithSpaces>3632</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2026-04-29T03:39:00Z</dcterms:created>
  <dc:creator>user</dc:creator>
  <cp:lastModifiedBy>Tianci</cp:lastModifiedBy>
  <cp:lastPrinted>2012-11-19T01:56:00Z</cp:lastPrinted>
  <dcterms:modified xsi:type="dcterms:W3CDTF">2026-04-29T05:54:21Z</dcterms:modified>
  <dc:title>上海证券交易所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1AB40A06516740CB93F0D56B81161819</vt:lpwstr>
  </property>
</Properties>
</file>