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7CCF" w14:textId="726B2814" w:rsidR="0099075E" w:rsidRPr="00580CE6" w:rsidRDefault="00000000" w:rsidP="00580CE6">
      <w:pPr>
        <w:spacing w:beforeLines="50" w:before="156" w:afterLines="50" w:after="156" w:line="360" w:lineRule="auto"/>
        <w:jc w:val="center"/>
        <w:rPr>
          <w:rFonts w:ascii="Times New Roman" w:hAnsi="Times New Roman"/>
          <w:b/>
          <w:iCs/>
          <w:sz w:val="24"/>
        </w:rPr>
      </w:pPr>
      <w:r w:rsidRPr="00580CE6">
        <w:rPr>
          <w:rFonts w:ascii="Times New Roman" w:hAnsi="Times New Roman" w:hint="eastAsia"/>
          <w:b/>
          <w:iCs/>
          <w:sz w:val="24"/>
        </w:rPr>
        <w:t>证券代码：</w:t>
      </w:r>
      <w:r w:rsidRPr="00580CE6">
        <w:rPr>
          <w:rFonts w:ascii="Times New Roman" w:hAnsi="Times New Roman"/>
          <w:b/>
          <w:iCs/>
          <w:sz w:val="24"/>
        </w:rPr>
        <w:t>688350</w:t>
      </w:r>
      <w:r w:rsidRPr="00580CE6">
        <w:rPr>
          <w:rFonts w:ascii="Times New Roman" w:hAnsi="Times New Roman" w:hint="eastAsia"/>
          <w:b/>
          <w:iCs/>
          <w:sz w:val="24"/>
        </w:rPr>
        <w:t xml:space="preserve">               </w:t>
      </w:r>
      <w:r w:rsidR="00580CE6">
        <w:rPr>
          <w:rFonts w:ascii="Times New Roman" w:hAnsi="Times New Roman" w:hint="eastAsia"/>
          <w:b/>
          <w:iCs/>
          <w:sz w:val="24"/>
        </w:rPr>
        <w:t xml:space="preserve">       </w:t>
      </w:r>
      <w:r w:rsidRPr="00580CE6">
        <w:rPr>
          <w:rFonts w:ascii="Times New Roman" w:hAnsi="Times New Roman" w:hint="eastAsia"/>
          <w:b/>
          <w:iCs/>
          <w:sz w:val="24"/>
        </w:rPr>
        <w:t xml:space="preserve">       </w:t>
      </w:r>
      <w:r w:rsidRPr="00580CE6">
        <w:rPr>
          <w:rFonts w:ascii="Times New Roman" w:hAnsi="Times New Roman"/>
          <w:b/>
          <w:iCs/>
          <w:sz w:val="24"/>
        </w:rPr>
        <w:t xml:space="preserve">     </w:t>
      </w:r>
      <w:r w:rsidRPr="00580CE6">
        <w:rPr>
          <w:rFonts w:ascii="Times New Roman" w:hAnsi="Times New Roman" w:hint="eastAsia"/>
          <w:b/>
          <w:iCs/>
          <w:sz w:val="24"/>
        </w:rPr>
        <w:t>公司简称：</w:t>
      </w:r>
      <w:r w:rsidRPr="00580CE6">
        <w:rPr>
          <w:rFonts w:ascii="Times New Roman" w:hAnsi="Times New Roman"/>
          <w:b/>
          <w:iCs/>
          <w:sz w:val="24"/>
        </w:rPr>
        <w:t>富淼科技</w:t>
      </w:r>
    </w:p>
    <w:p w14:paraId="5F44E62B" w14:textId="77777777" w:rsidR="0099075E" w:rsidRPr="00580CE6" w:rsidRDefault="00000000" w:rsidP="00580CE6">
      <w:pPr>
        <w:widowControl/>
        <w:spacing w:beforeLines="100" w:before="312" w:afterLines="100" w:after="312"/>
        <w:jc w:val="center"/>
        <w:rPr>
          <w:rFonts w:ascii="Times New Roman" w:eastAsia="黑体" w:hAnsi="Times New Roman"/>
          <w:b/>
          <w:bCs/>
          <w:sz w:val="36"/>
          <w:szCs w:val="36"/>
        </w:rPr>
      </w:pPr>
      <w:r w:rsidRPr="00580CE6">
        <w:rPr>
          <w:rFonts w:ascii="Times New Roman" w:eastAsia="黑体" w:hAnsi="Times New Roman" w:hint="eastAsia"/>
          <w:b/>
          <w:bCs/>
          <w:sz w:val="36"/>
          <w:szCs w:val="36"/>
        </w:rPr>
        <w:t>江苏富淼科技股份有限公司</w:t>
      </w:r>
    </w:p>
    <w:p w14:paraId="713ED8B5" w14:textId="77777777" w:rsidR="0099075E" w:rsidRPr="00580CE6" w:rsidRDefault="00000000" w:rsidP="00580CE6">
      <w:pPr>
        <w:widowControl/>
        <w:spacing w:beforeLines="100" w:before="312" w:afterLines="100" w:after="312"/>
        <w:jc w:val="center"/>
        <w:rPr>
          <w:rFonts w:ascii="Times New Roman" w:eastAsia="黑体" w:hAnsi="Times New Roman"/>
          <w:b/>
          <w:bCs/>
          <w:sz w:val="36"/>
          <w:szCs w:val="36"/>
        </w:rPr>
      </w:pPr>
      <w:r w:rsidRPr="00580CE6">
        <w:rPr>
          <w:rFonts w:ascii="Times New Roman" w:eastAsia="黑体" w:hAnsi="Times New Roman" w:hint="eastAsia"/>
          <w:b/>
          <w:bCs/>
          <w:sz w:val="36"/>
          <w:szCs w:val="36"/>
        </w:rPr>
        <w:t>投资者关系活动记录表</w:t>
      </w:r>
    </w:p>
    <w:p w14:paraId="130C96D6" w14:textId="77777777" w:rsidR="0099075E" w:rsidRDefault="0099075E">
      <w:pPr>
        <w:jc w:val="center"/>
        <w:rPr>
          <w:rFonts w:ascii="黑体" w:eastAsia="黑体" w:hAnsi="黑体" w:hint="eastAsia"/>
          <w:sz w:val="24"/>
          <w:szCs w:val="24"/>
        </w:rPr>
      </w:pPr>
    </w:p>
    <w:p w14:paraId="6503459D" w14:textId="49CBD302" w:rsidR="0099075E" w:rsidRDefault="00000000">
      <w:pPr>
        <w:ind w:right="720"/>
        <w:jc w:val="right"/>
        <w:rPr>
          <w:rFonts w:ascii="黑体" w:eastAsia="黑体" w:hAnsi="黑体" w:hint="eastAsia"/>
          <w:sz w:val="24"/>
          <w:szCs w:val="24"/>
        </w:rPr>
      </w:pPr>
      <w:r>
        <w:rPr>
          <w:rFonts w:ascii="黑体" w:eastAsia="黑体" w:hAnsi="黑体" w:hint="eastAsia"/>
          <w:sz w:val="24"/>
          <w:szCs w:val="24"/>
        </w:rPr>
        <w:t>编号：</w:t>
      </w:r>
      <w:r w:rsidR="00580CE6" w:rsidRPr="007C3A87">
        <w:rPr>
          <w:rFonts w:ascii="Times New Roman" w:hAnsi="Times New Roman" w:hint="eastAsia"/>
          <w:bCs/>
          <w:iCs/>
          <w:sz w:val="24"/>
        </w:rPr>
        <w:t>202</w:t>
      </w:r>
      <w:r w:rsidR="00580CE6">
        <w:rPr>
          <w:rFonts w:ascii="Times New Roman" w:hAnsi="Times New Roman" w:hint="eastAsia"/>
          <w:bCs/>
          <w:iCs/>
          <w:sz w:val="24"/>
        </w:rPr>
        <w:t>6</w:t>
      </w:r>
      <w:r w:rsidR="00580CE6" w:rsidRPr="007C3A87">
        <w:rPr>
          <w:rFonts w:ascii="Times New Roman" w:hAnsi="Times New Roman" w:hint="eastAsia"/>
          <w:bCs/>
          <w:iCs/>
          <w:sz w:val="24"/>
        </w:rPr>
        <w:t>-</w:t>
      </w:r>
      <w:r w:rsidR="00580CE6">
        <w:rPr>
          <w:rFonts w:ascii="Times New Roman" w:hAnsi="Times New Roman"/>
          <w:bCs/>
          <w:iCs/>
          <w:sz w:val="24"/>
        </w:rPr>
        <w:t>00</w:t>
      </w:r>
      <w:r w:rsidR="00580CE6">
        <w:rPr>
          <w:rFonts w:ascii="Times New Roman" w:hAnsi="Times New Roman" w:hint="eastAsia"/>
          <w:bCs/>
          <w:iCs/>
          <w:sz w:val="24"/>
        </w:rPr>
        <w:t>1</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99075E" w14:paraId="4C73522F" w14:textId="77777777">
        <w:trPr>
          <w:trHeight w:val="838"/>
        </w:trPr>
        <w:tc>
          <w:tcPr>
            <w:tcW w:w="1526" w:type="dxa"/>
            <w:vAlign w:val="center"/>
          </w:tcPr>
          <w:p w14:paraId="499288E0" w14:textId="77777777" w:rsidR="0099075E" w:rsidRDefault="00000000">
            <w:pPr>
              <w:rPr>
                <w:sz w:val="24"/>
                <w:szCs w:val="24"/>
              </w:rPr>
            </w:pPr>
            <w:r>
              <w:rPr>
                <w:rFonts w:hint="eastAsia"/>
                <w:sz w:val="24"/>
                <w:szCs w:val="24"/>
              </w:rPr>
              <w:t>投资者关系活动类别</w:t>
            </w:r>
          </w:p>
        </w:tc>
        <w:tc>
          <w:tcPr>
            <w:tcW w:w="7191" w:type="dxa"/>
            <w:vAlign w:val="center"/>
          </w:tcPr>
          <w:p w14:paraId="1599E859" w14:textId="77777777" w:rsidR="0099075E" w:rsidRDefault="00000000">
            <w:pPr>
              <w:spacing w:line="360" w:lineRule="auto"/>
              <w:rPr>
                <w:sz w:val="24"/>
                <w:szCs w:val="24"/>
              </w:rPr>
            </w:pPr>
            <w:r>
              <w:rPr>
                <w:rFonts w:ascii="宋体" w:hAnsi="宋体" w:cs="宋体" w:hint="eastAsia"/>
                <w:sz w:val="24"/>
                <w:szCs w:val="24"/>
              </w:rPr>
              <w:t>业绩说明会</w:t>
            </w:r>
          </w:p>
        </w:tc>
      </w:tr>
      <w:tr w:rsidR="0099075E" w14:paraId="1E721DCF" w14:textId="77777777">
        <w:trPr>
          <w:trHeight w:val="838"/>
        </w:trPr>
        <w:tc>
          <w:tcPr>
            <w:tcW w:w="1526" w:type="dxa"/>
            <w:vAlign w:val="center"/>
          </w:tcPr>
          <w:p w14:paraId="7F24A339" w14:textId="77777777" w:rsidR="0099075E" w:rsidRDefault="00000000">
            <w:pPr>
              <w:rPr>
                <w:sz w:val="24"/>
                <w:szCs w:val="24"/>
              </w:rPr>
            </w:pPr>
            <w:r>
              <w:rPr>
                <w:rFonts w:hint="eastAsia"/>
                <w:sz w:val="24"/>
                <w:szCs w:val="24"/>
              </w:rPr>
              <w:t>活动主题</w:t>
            </w:r>
          </w:p>
        </w:tc>
        <w:tc>
          <w:tcPr>
            <w:tcW w:w="7191" w:type="dxa"/>
            <w:vAlign w:val="center"/>
          </w:tcPr>
          <w:p w14:paraId="3B96ACDB" w14:textId="77777777" w:rsidR="0099075E" w:rsidRDefault="00000000">
            <w:pPr>
              <w:rPr>
                <w:rFonts w:ascii="Times New Roman" w:hAnsi="Times New Roman"/>
                <w:sz w:val="24"/>
                <w:szCs w:val="24"/>
              </w:rPr>
            </w:pPr>
            <w:r>
              <w:rPr>
                <w:rFonts w:ascii="Times New Roman" w:hAnsi="Times New Roman"/>
                <w:bCs/>
                <w:iCs/>
                <w:color w:val="000000"/>
                <w:sz w:val="24"/>
                <w:lang w:val="en-GB"/>
              </w:rPr>
              <w:t>富淼科技</w:t>
            </w:r>
            <w:r>
              <w:rPr>
                <w:rFonts w:ascii="Times New Roman" w:hAnsi="Times New Roman"/>
                <w:bCs/>
                <w:iCs/>
                <w:color w:val="000000"/>
                <w:sz w:val="24"/>
                <w:lang w:val="en-GB"/>
              </w:rPr>
              <w:t>2025</w:t>
            </w:r>
            <w:r>
              <w:rPr>
                <w:rFonts w:ascii="Times New Roman" w:hAnsi="Times New Roman"/>
                <w:bCs/>
                <w:iCs/>
                <w:color w:val="000000"/>
                <w:sz w:val="24"/>
                <w:lang w:val="en-GB"/>
              </w:rPr>
              <w:t>年年度暨</w:t>
            </w:r>
            <w:r>
              <w:rPr>
                <w:rFonts w:ascii="Times New Roman" w:hAnsi="Times New Roman"/>
                <w:bCs/>
                <w:iCs/>
                <w:color w:val="000000"/>
                <w:sz w:val="24"/>
                <w:lang w:val="en-GB"/>
              </w:rPr>
              <w:t>2026</w:t>
            </w:r>
            <w:r>
              <w:rPr>
                <w:rFonts w:ascii="Times New Roman" w:hAnsi="Times New Roman"/>
                <w:bCs/>
                <w:iCs/>
                <w:color w:val="000000"/>
                <w:sz w:val="24"/>
                <w:lang w:val="en-GB"/>
              </w:rPr>
              <w:t>年第一季度业绩暨现金分红说明会</w:t>
            </w:r>
          </w:p>
        </w:tc>
      </w:tr>
      <w:tr w:rsidR="0099075E" w14:paraId="381996A4" w14:textId="77777777">
        <w:trPr>
          <w:trHeight w:val="799"/>
        </w:trPr>
        <w:tc>
          <w:tcPr>
            <w:tcW w:w="1526" w:type="dxa"/>
            <w:vAlign w:val="center"/>
          </w:tcPr>
          <w:p w14:paraId="1AEE5648" w14:textId="77777777" w:rsidR="0099075E" w:rsidRDefault="00000000">
            <w:pPr>
              <w:rPr>
                <w:sz w:val="24"/>
                <w:szCs w:val="24"/>
              </w:rPr>
            </w:pPr>
            <w:r>
              <w:rPr>
                <w:rFonts w:hint="eastAsia"/>
                <w:sz w:val="24"/>
                <w:szCs w:val="24"/>
              </w:rPr>
              <w:t>时间</w:t>
            </w:r>
          </w:p>
        </w:tc>
        <w:tc>
          <w:tcPr>
            <w:tcW w:w="7191" w:type="dxa"/>
            <w:vAlign w:val="center"/>
          </w:tcPr>
          <w:p w14:paraId="4470D7F4" w14:textId="77777777" w:rsidR="0099075E" w:rsidRDefault="00000000">
            <w:pPr>
              <w:rPr>
                <w:rFonts w:ascii="Times New Roman" w:hAnsi="Times New Roman"/>
                <w:sz w:val="24"/>
                <w:szCs w:val="24"/>
              </w:rPr>
            </w:pPr>
            <w:r>
              <w:rPr>
                <w:rFonts w:ascii="Times New Roman" w:hAnsi="Times New Roman"/>
                <w:bCs/>
                <w:iCs/>
                <w:color w:val="000000"/>
                <w:sz w:val="24"/>
              </w:rPr>
              <w:t>2026-04-29 - 14:00-15:00</w:t>
            </w:r>
          </w:p>
        </w:tc>
      </w:tr>
      <w:tr w:rsidR="0099075E" w14:paraId="149F6C9E" w14:textId="77777777">
        <w:trPr>
          <w:trHeight w:val="838"/>
        </w:trPr>
        <w:tc>
          <w:tcPr>
            <w:tcW w:w="1526" w:type="dxa"/>
            <w:vAlign w:val="center"/>
          </w:tcPr>
          <w:p w14:paraId="48B4D3BD" w14:textId="77777777" w:rsidR="0099075E"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5C2BE269" w14:textId="77777777" w:rsidR="0099075E" w:rsidRDefault="00000000">
            <w:pPr>
              <w:rPr>
                <w:rFonts w:ascii="Times New Roman" w:hAnsi="Times New Roman"/>
                <w:bCs/>
                <w:sz w:val="24"/>
              </w:rPr>
            </w:pPr>
            <w:r>
              <w:rPr>
                <w:rFonts w:ascii="Times New Roman" w:hAnsi="Times New Roman"/>
                <w:bCs/>
                <w:sz w:val="24"/>
              </w:rPr>
              <w:t>上证路演中心</w:t>
            </w:r>
            <w:r>
              <w:rPr>
                <w:rFonts w:ascii="Times New Roman" w:hAnsi="Times New Roman"/>
                <w:bCs/>
                <w:sz w:val="24"/>
              </w:rPr>
              <w:t xml:space="preserve"> </w:t>
            </w:r>
            <w:hyperlink r:id="rId6" w:history="1">
              <w:r w:rsidR="0099075E">
                <w:rPr>
                  <w:rStyle w:val="a5"/>
                  <w:rFonts w:ascii="Times New Roman" w:hAnsi="Times New Roman"/>
                  <w:bCs/>
                  <w:sz w:val="24"/>
                </w:rPr>
                <w:t>https://roadshow.sseinfo.com</w:t>
              </w:r>
            </w:hyperlink>
          </w:p>
          <w:p w14:paraId="1A99AD70" w14:textId="77777777" w:rsidR="0099075E" w:rsidRDefault="00000000">
            <w:pPr>
              <w:rPr>
                <w:rFonts w:ascii="Times New Roman" w:hAnsi="Times New Roman"/>
                <w:sz w:val="24"/>
                <w:szCs w:val="24"/>
              </w:rPr>
            </w:pPr>
            <w:r>
              <w:rPr>
                <w:rFonts w:ascii="Times New Roman" w:hAnsi="Times New Roman"/>
                <w:bCs/>
                <w:sz w:val="24"/>
              </w:rPr>
              <w:t>网络文字互动</w:t>
            </w:r>
          </w:p>
        </w:tc>
      </w:tr>
      <w:tr w:rsidR="0099075E" w14:paraId="69BEC4E2" w14:textId="77777777">
        <w:trPr>
          <w:trHeight w:val="838"/>
        </w:trPr>
        <w:tc>
          <w:tcPr>
            <w:tcW w:w="1526" w:type="dxa"/>
            <w:vAlign w:val="center"/>
          </w:tcPr>
          <w:p w14:paraId="4316B573" w14:textId="77777777" w:rsidR="0099075E" w:rsidRDefault="00000000">
            <w:pPr>
              <w:rPr>
                <w:sz w:val="24"/>
                <w:szCs w:val="24"/>
              </w:rPr>
            </w:pPr>
            <w:r>
              <w:rPr>
                <w:rFonts w:hint="eastAsia"/>
                <w:sz w:val="24"/>
                <w:szCs w:val="24"/>
              </w:rPr>
              <w:t>参会人员</w:t>
            </w:r>
          </w:p>
        </w:tc>
        <w:tc>
          <w:tcPr>
            <w:tcW w:w="7191" w:type="dxa"/>
            <w:vAlign w:val="center"/>
          </w:tcPr>
          <w:p w14:paraId="593BE4A0" w14:textId="77777777" w:rsidR="0099075E" w:rsidRDefault="00000000">
            <w:pPr>
              <w:spacing w:line="360" w:lineRule="auto"/>
              <w:rPr>
                <w:rFonts w:ascii="Times New Roman" w:hAnsi="Times New Roman"/>
                <w:sz w:val="24"/>
                <w:szCs w:val="24"/>
              </w:rPr>
            </w:pPr>
            <w:r>
              <w:rPr>
                <w:rFonts w:ascii="Times New Roman" w:hAnsi="Times New Roman"/>
                <w:sz w:val="24"/>
                <w:szCs w:val="24"/>
              </w:rPr>
              <w:t>董事长兼总经理（总裁）：钱鑫、独立董事：许汉友、副总经理、董事会秘书：邢燕</w:t>
            </w:r>
          </w:p>
        </w:tc>
      </w:tr>
      <w:tr w:rsidR="0099075E" w14:paraId="57C47985" w14:textId="77777777">
        <w:trPr>
          <w:trHeight w:val="557"/>
        </w:trPr>
        <w:tc>
          <w:tcPr>
            <w:tcW w:w="1526" w:type="dxa"/>
            <w:vAlign w:val="center"/>
          </w:tcPr>
          <w:p w14:paraId="56940E7B" w14:textId="77777777" w:rsidR="0099075E" w:rsidRDefault="00000000">
            <w:pPr>
              <w:rPr>
                <w:sz w:val="24"/>
                <w:szCs w:val="24"/>
              </w:rPr>
            </w:pPr>
            <w:r>
              <w:rPr>
                <w:rFonts w:hint="eastAsia"/>
                <w:sz w:val="24"/>
                <w:szCs w:val="24"/>
              </w:rPr>
              <w:t>投资者关系活动主要内容介绍</w:t>
            </w:r>
          </w:p>
        </w:tc>
        <w:tc>
          <w:tcPr>
            <w:tcW w:w="7191" w:type="dxa"/>
          </w:tcPr>
          <w:p w14:paraId="08FC729B" w14:textId="77777777" w:rsidR="0099075E" w:rsidRDefault="00000000">
            <w:pPr>
              <w:spacing w:beforeLines="50" w:before="156" w:afterLines="50" w:after="156" w:line="288" w:lineRule="auto"/>
              <w:jc w:val="center"/>
              <w:rPr>
                <w:rFonts w:ascii="Times New Roman" w:hAnsi="Times New Roman"/>
                <w:b/>
                <w:sz w:val="24"/>
              </w:rPr>
            </w:pPr>
            <w:r>
              <w:rPr>
                <w:rFonts w:ascii="Times New Roman" w:hAnsi="Times New Roman"/>
                <w:b/>
                <w:sz w:val="24"/>
              </w:rPr>
              <w:t>投资者关系活动主要内容</w:t>
            </w:r>
          </w:p>
          <w:p w14:paraId="5B36EDB1" w14:textId="77777777" w:rsidR="00580CE6" w:rsidRDefault="00580CE6">
            <w:pPr>
              <w:spacing w:beforeLines="50" w:before="156" w:afterLines="50" w:after="156" w:line="288" w:lineRule="auto"/>
              <w:jc w:val="center"/>
              <w:rPr>
                <w:rFonts w:ascii="Times New Roman" w:hAnsi="Times New Roman"/>
                <w:b/>
                <w:sz w:val="24"/>
              </w:rPr>
            </w:pPr>
          </w:p>
          <w:p w14:paraId="2E7F9F4A" w14:textId="6577A012" w:rsidR="00580CE6" w:rsidRDefault="00000000">
            <w:pPr>
              <w:spacing w:before="50" w:afterLines="50" w:after="156" w:line="288" w:lineRule="auto"/>
              <w:ind w:firstLineChars="200" w:firstLine="482"/>
              <w:rPr>
                <w:rFonts w:ascii="Times New Roman" w:hAnsi="Times New Roman"/>
                <w:b/>
                <w:bCs/>
              </w:rPr>
            </w:pPr>
            <w:r>
              <w:rPr>
                <w:rFonts w:ascii="Times New Roman" w:hAnsi="Times New Roman"/>
                <w:b/>
                <w:bCs/>
                <w:sz w:val="24"/>
              </w:rPr>
              <w:t>1</w:t>
            </w:r>
            <w:r>
              <w:rPr>
                <w:rFonts w:ascii="Times New Roman" w:hAnsi="Times New Roman"/>
                <w:b/>
                <w:bCs/>
                <w:sz w:val="24"/>
              </w:rPr>
              <w:t>、</w:t>
            </w:r>
            <w:r w:rsidR="00580CE6">
              <w:rPr>
                <w:rFonts w:ascii="Times New Roman" w:hAnsi="Times New Roman"/>
                <w:b/>
                <w:bCs/>
                <w:sz w:val="24"/>
              </w:rPr>
              <w:t>公司在</w:t>
            </w:r>
            <w:r w:rsidR="00580CE6">
              <w:rPr>
                <w:rFonts w:ascii="Times New Roman" w:hAnsi="Times New Roman"/>
                <w:b/>
                <w:bCs/>
                <w:sz w:val="24"/>
              </w:rPr>
              <w:t>2025</w:t>
            </w:r>
            <w:r w:rsidR="00580CE6">
              <w:rPr>
                <w:rFonts w:ascii="Times New Roman" w:hAnsi="Times New Roman"/>
                <w:b/>
                <w:bCs/>
                <w:sz w:val="24"/>
              </w:rPr>
              <w:t>年营收同比下降，但净利润扭亏为盈，主要原因是什么？</w:t>
            </w:r>
          </w:p>
          <w:p w14:paraId="710EA974" w14:textId="77777777" w:rsidR="00580CE6" w:rsidRDefault="00580CE6">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尊敬的投资者，您好。报告期内公司实现营业收入</w:t>
            </w:r>
            <w:r>
              <w:rPr>
                <w:rFonts w:ascii="Times New Roman" w:hAnsi="Times New Roman"/>
                <w:sz w:val="24"/>
              </w:rPr>
              <w:t>13.89</w:t>
            </w:r>
            <w:r>
              <w:rPr>
                <w:rFonts w:ascii="Times New Roman" w:hAnsi="Times New Roman"/>
                <w:sz w:val="24"/>
              </w:rPr>
              <w:t>亿元，利润总额</w:t>
            </w:r>
            <w:r>
              <w:rPr>
                <w:rFonts w:ascii="Times New Roman" w:hAnsi="Times New Roman"/>
                <w:sz w:val="24"/>
              </w:rPr>
              <w:t>2,191</w:t>
            </w:r>
            <w:r>
              <w:rPr>
                <w:rFonts w:ascii="Times New Roman" w:hAnsi="Times New Roman"/>
                <w:sz w:val="24"/>
              </w:rPr>
              <w:t>万元，归属于上市公司股东的净利润</w:t>
            </w:r>
            <w:r>
              <w:rPr>
                <w:rFonts w:ascii="Times New Roman" w:hAnsi="Times New Roman"/>
                <w:sz w:val="24"/>
              </w:rPr>
              <w:t>1,521</w:t>
            </w:r>
            <w:r>
              <w:rPr>
                <w:rFonts w:ascii="Times New Roman" w:hAnsi="Times New Roman"/>
                <w:sz w:val="24"/>
              </w:rPr>
              <w:t>万元，成功实现扭亏为盈。营业收入变动主要受两方面因素影响：一是下游市场价格竞争加剧，同时公司在内销市场主动优化业务结构，剥离部分低毛利化学品业务，短期内对部分内销业务收入形成一定影响；二是园区内企业需求有所下滑，导致蒸汽、氢气销量减少，能源外供板块收入相应下降。与此同时，得益于公司业务结构持续优化带来的毛利率改善，叠加管理费用下降等降本增效措施，以及外销业务的较快增长，共同推动公司盈利能力稳步改善。感谢您的关注！</w:t>
            </w:r>
          </w:p>
          <w:p w14:paraId="42FDE0AC" w14:textId="798548B8" w:rsidR="00580CE6" w:rsidRDefault="00580CE6">
            <w:pPr>
              <w:spacing w:before="50" w:afterLines="50" w:after="156" w:line="288" w:lineRule="auto"/>
              <w:ind w:firstLineChars="200" w:firstLine="482"/>
              <w:rPr>
                <w:rFonts w:ascii="Times New Roman" w:hAnsi="Times New Roman"/>
                <w:b/>
                <w:bCs/>
              </w:rPr>
            </w:pPr>
            <w:r>
              <w:rPr>
                <w:rFonts w:ascii="Times New Roman" w:hAnsi="Times New Roman"/>
                <w:b/>
                <w:bCs/>
                <w:sz w:val="24"/>
              </w:rPr>
              <w:lastRenderedPageBreak/>
              <w:t>2</w:t>
            </w:r>
            <w:r>
              <w:rPr>
                <w:rFonts w:ascii="Times New Roman" w:hAnsi="Times New Roman"/>
                <w:b/>
                <w:bCs/>
                <w:sz w:val="24"/>
              </w:rPr>
              <w:t>、</w:t>
            </w:r>
            <w:r>
              <w:rPr>
                <w:rFonts w:ascii="Times New Roman" w:hAnsi="Times New Roman"/>
                <w:b/>
                <w:bCs/>
                <w:sz w:val="24"/>
              </w:rPr>
              <w:t>2026</w:t>
            </w:r>
            <w:r>
              <w:rPr>
                <w:rFonts w:ascii="Times New Roman" w:hAnsi="Times New Roman"/>
                <w:b/>
                <w:bCs/>
                <w:sz w:val="24"/>
              </w:rPr>
              <w:t>年第一季度公司经营表现如何？</w:t>
            </w:r>
          </w:p>
          <w:p w14:paraId="20A1002D" w14:textId="77777777" w:rsidR="00580CE6" w:rsidRDefault="00580CE6">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尊敬的投资者，您好。公司一季度营业收入</w:t>
            </w:r>
            <w:r>
              <w:rPr>
                <w:rFonts w:ascii="Times New Roman" w:hAnsi="Times New Roman"/>
                <w:sz w:val="24"/>
              </w:rPr>
              <w:t>3.48</w:t>
            </w:r>
            <w:r>
              <w:rPr>
                <w:rFonts w:ascii="Times New Roman" w:hAnsi="Times New Roman"/>
                <w:sz w:val="24"/>
              </w:rPr>
              <w:t>亿元，同比增长</w:t>
            </w:r>
            <w:r>
              <w:rPr>
                <w:rFonts w:ascii="Times New Roman" w:hAnsi="Times New Roman"/>
                <w:sz w:val="24"/>
              </w:rPr>
              <w:t>7.83%</w:t>
            </w:r>
            <w:r>
              <w:rPr>
                <w:rFonts w:ascii="Times New Roman" w:hAnsi="Times New Roman"/>
                <w:sz w:val="24"/>
              </w:rPr>
              <w:t>；归属于上市公司股东的净利润</w:t>
            </w:r>
            <w:r>
              <w:rPr>
                <w:rFonts w:ascii="Times New Roman" w:hAnsi="Times New Roman"/>
                <w:sz w:val="24"/>
              </w:rPr>
              <w:t>1,907</w:t>
            </w:r>
            <w:r>
              <w:rPr>
                <w:rFonts w:ascii="Times New Roman" w:hAnsi="Times New Roman"/>
                <w:sz w:val="24"/>
              </w:rPr>
              <w:t>万元，同比增长</w:t>
            </w:r>
            <w:r>
              <w:rPr>
                <w:rFonts w:ascii="Times New Roman" w:hAnsi="Times New Roman"/>
                <w:sz w:val="24"/>
              </w:rPr>
              <w:t>251.80%</w:t>
            </w:r>
            <w:r>
              <w:rPr>
                <w:rFonts w:ascii="Times New Roman" w:hAnsi="Times New Roman"/>
                <w:sz w:val="24"/>
              </w:rPr>
              <w:t>；扣非净利润</w:t>
            </w:r>
            <w:r>
              <w:rPr>
                <w:rFonts w:ascii="Times New Roman" w:hAnsi="Times New Roman"/>
                <w:sz w:val="24"/>
              </w:rPr>
              <w:t>1,608</w:t>
            </w:r>
            <w:r>
              <w:rPr>
                <w:rFonts w:ascii="Times New Roman" w:hAnsi="Times New Roman"/>
                <w:sz w:val="24"/>
              </w:rPr>
              <w:t>万元，同比增长</w:t>
            </w:r>
            <w:r>
              <w:rPr>
                <w:rFonts w:ascii="Times New Roman" w:hAnsi="Times New Roman"/>
                <w:sz w:val="24"/>
              </w:rPr>
              <w:t>809.17%</w:t>
            </w:r>
            <w:r>
              <w:rPr>
                <w:rFonts w:ascii="Times New Roman" w:hAnsi="Times New Roman"/>
                <w:sz w:val="24"/>
              </w:rPr>
              <w:t>；利润总额</w:t>
            </w:r>
            <w:r>
              <w:rPr>
                <w:rFonts w:ascii="Times New Roman" w:hAnsi="Times New Roman"/>
                <w:sz w:val="24"/>
              </w:rPr>
              <w:t>2,471</w:t>
            </w:r>
            <w:r>
              <w:rPr>
                <w:rFonts w:ascii="Times New Roman" w:hAnsi="Times New Roman"/>
                <w:sz w:val="24"/>
              </w:rPr>
              <w:t>万元，同比增长</w:t>
            </w:r>
            <w:r>
              <w:rPr>
                <w:rFonts w:ascii="Times New Roman" w:hAnsi="Times New Roman"/>
                <w:sz w:val="24"/>
              </w:rPr>
              <w:t>335.85%</w:t>
            </w:r>
            <w:r>
              <w:rPr>
                <w:rFonts w:ascii="Times New Roman" w:hAnsi="Times New Roman"/>
                <w:sz w:val="24"/>
              </w:rPr>
              <w:t>；经营活动现金流量净额</w:t>
            </w:r>
            <w:r>
              <w:rPr>
                <w:rFonts w:ascii="Times New Roman" w:hAnsi="Times New Roman"/>
                <w:sz w:val="24"/>
              </w:rPr>
              <w:t>7,402</w:t>
            </w:r>
            <w:r>
              <w:rPr>
                <w:rFonts w:ascii="Times New Roman" w:hAnsi="Times New Roman"/>
                <w:sz w:val="24"/>
              </w:rPr>
              <w:t>万元，同比增长</w:t>
            </w:r>
            <w:r>
              <w:rPr>
                <w:rFonts w:ascii="Times New Roman" w:hAnsi="Times New Roman"/>
                <w:sz w:val="24"/>
              </w:rPr>
              <w:t>1,055.33%</w:t>
            </w:r>
            <w:r>
              <w:rPr>
                <w:rFonts w:ascii="Times New Roman" w:hAnsi="Times New Roman"/>
                <w:sz w:val="24"/>
              </w:rPr>
              <w:t>。业绩大幅增长主要系营业收入增加、毛利率改善及资产减值损失减少所致。感谢您的关注！</w:t>
            </w:r>
          </w:p>
          <w:p w14:paraId="1E63C47A" w14:textId="77777777" w:rsidR="00580CE6" w:rsidRDefault="00580CE6">
            <w:pPr>
              <w:spacing w:before="50" w:afterLines="50" w:after="156" w:line="288" w:lineRule="auto"/>
              <w:ind w:firstLineChars="200" w:firstLine="480"/>
              <w:rPr>
                <w:rFonts w:ascii="Times New Roman" w:hAnsi="Times New Roman"/>
                <w:sz w:val="24"/>
              </w:rPr>
            </w:pPr>
          </w:p>
          <w:p w14:paraId="5B908215" w14:textId="04C5000C" w:rsidR="00580CE6" w:rsidRDefault="00580CE6">
            <w:pPr>
              <w:spacing w:before="50" w:afterLines="50" w:after="156" w:line="288" w:lineRule="auto"/>
              <w:ind w:firstLineChars="200" w:firstLine="482"/>
              <w:rPr>
                <w:rFonts w:ascii="Times New Roman" w:hAnsi="Times New Roman"/>
                <w:b/>
                <w:bCs/>
              </w:rPr>
            </w:pPr>
            <w:r>
              <w:rPr>
                <w:rFonts w:ascii="Times New Roman" w:hAnsi="Times New Roman"/>
                <w:b/>
                <w:bCs/>
                <w:sz w:val="24"/>
              </w:rPr>
              <w:t>3</w:t>
            </w:r>
            <w:r>
              <w:rPr>
                <w:rFonts w:ascii="Times New Roman" w:hAnsi="Times New Roman"/>
                <w:b/>
                <w:bCs/>
                <w:sz w:val="24"/>
              </w:rPr>
              <w:t>、公司分红策略如何？未来会提高分红比例吗？</w:t>
            </w:r>
          </w:p>
          <w:p w14:paraId="51DB4142" w14:textId="77777777" w:rsidR="00580CE6" w:rsidRDefault="00580CE6">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尊敬的投资者，您好。公司</w:t>
            </w:r>
            <w:r>
              <w:rPr>
                <w:rFonts w:ascii="Times New Roman" w:hAnsi="Times New Roman"/>
                <w:sz w:val="24"/>
              </w:rPr>
              <w:t>2025</w:t>
            </w:r>
            <w:r>
              <w:rPr>
                <w:rFonts w:ascii="Times New Roman" w:hAnsi="Times New Roman"/>
                <w:sz w:val="24"/>
              </w:rPr>
              <w:t>年度利润分配方案为每</w:t>
            </w:r>
            <w:r>
              <w:rPr>
                <w:rFonts w:ascii="Times New Roman" w:hAnsi="Times New Roman"/>
                <w:sz w:val="24"/>
              </w:rPr>
              <w:t>10</w:t>
            </w:r>
            <w:r>
              <w:rPr>
                <w:rFonts w:ascii="Times New Roman" w:hAnsi="Times New Roman"/>
                <w:sz w:val="24"/>
              </w:rPr>
              <w:t>股派发现金红利</w:t>
            </w:r>
            <w:r>
              <w:rPr>
                <w:rFonts w:ascii="Times New Roman" w:hAnsi="Times New Roman"/>
                <w:sz w:val="24"/>
              </w:rPr>
              <w:t>0.75</w:t>
            </w:r>
            <w:r>
              <w:rPr>
                <w:rFonts w:ascii="Times New Roman" w:hAnsi="Times New Roman"/>
                <w:sz w:val="24"/>
              </w:rPr>
              <w:t>元（含税），不进行公积金转增股本，不送红股，合计拟派发现金红利</w:t>
            </w:r>
            <w:r>
              <w:rPr>
                <w:rFonts w:ascii="Times New Roman" w:hAnsi="Times New Roman"/>
                <w:sz w:val="24"/>
              </w:rPr>
              <w:t>1,043.61</w:t>
            </w:r>
            <w:r>
              <w:rPr>
                <w:rFonts w:ascii="Times New Roman" w:hAnsi="Times New Roman"/>
                <w:sz w:val="24"/>
              </w:rPr>
              <w:t>万元（含税），分红比例达归属于上市公司股东净利润的</w:t>
            </w:r>
            <w:r>
              <w:rPr>
                <w:rFonts w:ascii="Times New Roman" w:hAnsi="Times New Roman"/>
                <w:sz w:val="24"/>
              </w:rPr>
              <w:t>68.61%</w:t>
            </w:r>
            <w:r>
              <w:rPr>
                <w:rFonts w:ascii="Times New Roman" w:hAnsi="Times New Roman"/>
                <w:sz w:val="24"/>
              </w:rPr>
              <w:t>。该利润分配方案已通过公司</w:t>
            </w:r>
            <w:r>
              <w:rPr>
                <w:rFonts w:ascii="Times New Roman" w:hAnsi="Times New Roman"/>
                <w:sz w:val="24"/>
              </w:rPr>
              <w:t>2025</w:t>
            </w:r>
            <w:r>
              <w:rPr>
                <w:rFonts w:ascii="Times New Roman" w:hAnsi="Times New Roman"/>
                <w:sz w:val="24"/>
              </w:rPr>
              <w:t>年度股东会审议批准，分红落地安排，请以公司后续公告为准。未来公司将继续统筹兼顾长远经营发展与股东投资回报，维持稳健、持续的分红政策。感谢您的关注！</w:t>
            </w:r>
          </w:p>
          <w:p w14:paraId="52636C7E" w14:textId="77777777" w:rsidR="00580CE6" w:rsidRDefault="00580CE6">
            <w:pPr>
              <w:spacing w:before="50" w:afterLines="50" w:after="156" w:line="288" w:lineRule="auto"/>
              <w:ind w:firstLineChars="200" w:firstLine="480"/>
              <w:rPr>
                <w:rFonts w:ascii="Times New Roman" w:hAnsi="Times New Roman"/>
                <w:sz w:val="24"/>
              </w:rPr>
            </w:pPr>
          </w:p>
          <w:p w14:paraId="16140E7B" w14:textId="601BCB51" w:rsidR="00580CE6" w:rsidRDefault="00580CE6">
            <w:pPr>
              <w:spacing w:before="50" w:afterLines="50" w:after="156" w:line="288" w:lineRule="auto"/>
              <w:ind w:firstLineChars="200" w:firstLine="482"/>
              <w:rPr>
                <w:rFonts w:ascii="Times New Roman" w:hAnsi="Times New Roman"/>
                <w:b/>
                <w:bCs/>
                <w:sz w:val="24"/>
              </w:rPr>
            </w:pPr>
            <w:r>
              <w:rPr>
                <w:rFonts w:ascii="Times New Roman" w:hAnsi="Times New Roman"/>
                <w:b/>
                <w:bCs/>
                <w:sz w:val="24"/>
              </w:rPr>
              <w:t>4</w:t>
            </w:r>
            <w:r>
              <w:rPr>
                <w:rFonts w:ascii="Times New Roman" w:hAnsi="Times New Roman"/>
                <w:b/>
                <w:bCs/>
                <w:sz w:val="24"/>
              </w:rPr>
              <w:t>、美伊地缘政治冲突对公司有何影响？</w:t>
            </w:r>
          </w:p>
          <w:p w14:paraId="1A7C3012" w14:textId="77777777" w:rsidR="00580CE6" w:rsidRDefault="00580CE6">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受美伊地缘政治冲突影响，国际石油化工产业链供需及贸易流通波动加剧，公司主要原材料为石油产业链下游衍生品，与国际原油价格高度关联，部分原材料对上游石化产业链依赖度较高，地缘冲突可能导致国际石化产品跨境流通受阻，部分关键原材料存在供应短缺、采购渠道中断的潜在风险；若上游原材料价格大幅上行，将可能推高公司采购成本，对成本连续性形成挑战。同时需要说明的是，公司部分产品定价存在成本传导滞后性，若上游成本压力无法及时、充分向下游传导，可能会导致产品毛利率被压缩。公司将持续密切关注地缘政治及原材料市场变化，积极优化采购渠道、加强成本管控，尽力降低相关不利影响。感谢您的关注！</w:t>
            </w:r>
          </w:p>
          <w:p w14:paraId="556FDCC2" w14:textId="77777777" w:rsidR="00580CE6" w:rsidRDefault="00580CE6">
            <w:pPr>
              <w:spacing w:before="50" w:afterLines="50" w:after="156" w:line="288" w:lineRule="auto"/>
              <w:ind w:firstLineChars="200" w:firstLine="480"/>
              <w:rPr>
                <w:rFonts w:ascii="Times New Roman" w:hAnsi="Times New Roman"/>
                <w:sz w:val="24"/>
              </w:rPr>
            </w:pPr>
          </w:p>
          <w:p w14:paraId="7D201E02" w14:textId="6AE9E31C" w:rsidR="00580CE6" w:rsidRDefault="00580CE6">
            <w:pPr>
              <w:spacing w:before="50" w:afterLines="50" w:after="156" w:line="288" w:lineRule="auto"/>
              <w:ind w:firstLineChars="200" w:firstLine="482"/>
              <w:rPr>
                <w:rFonts w:ascii="Times New Roman" w:hAnsi="Times New Roman"/>
                <w:b/>
                <w:bCs/>
              </w:rPr>
            </w:pPr>
            <w:r>
              <w:rPr>
                <w:rFonts w:ascii="Times New Roman" w:hAnsi="Times New Roman"/>
                <w:b/>
                <w:bCs/>
                <w:sz w:val="24"/>
              </w:rPr>
              <w:t>5</w:t>
            </w:r>
            <w:r>
              <w:rPr>
                <w:rFonts w:ascii="Times New Roman" w:hAnsi="Times New Roman"/>
                <w:b/>
                <w:bCs/>
                <w:sz w:val="24"/>
              </w:rPr>
              <w:t>、</w:t>
            </w:r>
            <w:r>
              <w:rPr>
                <w:rFonts w:ascii="Times New Roman" w:hAnsi="Times New Roman"/>
                <w:b/>
                <w:bCs/>
                <w:sz w:val="24"/>
              </w:rPr>
              <w:t>2026</w:t>
            </w:r>
            <w:r>
              <w:rPr>
                <w:rFonts w:ascii="Times New Roman" w:hAnsi="Times New Roman"/>
                <w:b/>
                <w:bCs/>
                <w:sz w:val="24"/>
              </w:rPr>
              <w:t>年一季度公司盈利水平较</w:t>
            </w:r>
            <w:r>
              <w:rPr>
                <w:rFonts w:ascii="Times New Roman" w:hAnsi="Times New Roman"/>
                <w:b/>
                <w:bCs/>
                <w:sz w:val="24"/>
              </w:rPr>
              <w:t>2025</w:t>
            </w:r>
            <w:r>
              <w:rPr>
                <w:rFonts w:ascii="Times New Roman" w:hAnsi="Times New Roman"/>
                <w:b/>
                <w:bCs/>
                <w:sz w:val="24"/>
              </w:rPr>
              <w:t>年全年显著改善，请问态势能否持续？</w:t>
            </w:r>
          </w:p>
          <w:p w14:paraId="542C3088" w14:textId="77777777" w:rsidR="00580CE6" w:rsidRDefault="00580CE6">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尊敬的投资者，您好。公司一季度业绩优化体现了公司围绕</w:t>
            </w:r>
            <w:r>
              <w:rPr>
                <w:rFonts w:ascii="Times New Roman" w:hAnsi="Times New Roman"/>
                <w:sz w:val="24"/>
              </w:rPr>
              <w:lastRenderedPageBreak/>
              <w:t>“</w:t>
            </w:r>
            <w:r>
              <w:rPr>
                <w:rFonts w:ascii="Times New Roman" w:hAnsi="Times New Roman"/>
                <w:sz w:val="24"/>
              </w:rPr>
              <w:t>让每一个水足迹更有意义</w:t>
            </w:r>
            <w:r>
              <w:rPr>
                <w:rFonts w:ascii="Times New Roman" w:hAnsi="Times New Roman"/>
                <w:sz w:val="24"/>
              </w:rPr>
              <w:t>”</w:t>
            </w:r>
            <w:r>
              <w:rPr>
                <w:rFonts w:ascii="Times New Roman" w:hAnsi="Times New Roman"/>
                <w:sz w:val="24"/>
              </w:rPr>
              <w:t>战略目标，深耕战略转型、优化业务结构、落实降本增效取得的阶段性成果。公司将持续深化</w:t>
            </w:r>
            <w:r>
              <w:rPr>
                <w:rFonts w:ascii="Times New Roman" w:hAnsi="Times New Roman"/>
                <w:sz w:val="24"/>
              </w:rPr>
              <w:t>“</w:t>
            </w:r>
            <w:r>
              <w:rPr>
                <w:rFonts w:ascii="Times New Roman" w:hAnsi="Times New Roman"/>
                <w:sz w:val="24"/>
              </w:rPr>
              <w:t>双轮驱动</w:t>
            </w:r>
            <w:r>
              <w:rPr>
                <w:rFonts w:ascii="Times New Roman" w:hAnsi="Times New Roman"/>
                <w:sz w:val="24"/>
              </w:rPr>
              <w:t>”</w:t>
            </w:r>
            <w:r>
              <w:rPr>
                <w:rFonts w:ascii="Times New Roman" w:hAnsi="Times New Roman"/>
                <w:sz w:val="24"/>
              </w:rPr>
              <w:t>协同发展，巩固经营优势，持续推动盈利水平稳步向好发展。同时，业绩表现仍会受宏观环境、行业竞争等外部因素影响，敬请理性看待。感谢您的关注！</w:t>
            </w:r>
          </w:p>
          <w:p w14:paraId="0386CB7A" w14:textId="77777777" w:rsidR="00580CE6" w:rsidRDefault="00580CE6">
            <w:pPr>
              <w:spacing w:before="50" w:afterLines="50" w:after="156" w:line="288" w:lineRule="auto"/>
              <w:ind w:firstLineChars="200" w:firstLine="480"/>
              <w:rPr>
                <w:rFonts w:ascii="Times New Roman" w:hAnsi="Times New Roman"/>
                <w:sz w:val="24"/>
              </w:rPr>
            </w:pPr>
          </w:p>
          <w:p w14:paraId="294CDC89" w14:textId="482E881B" w:rsidR="00580CE6" w:rsidRDefault="00580CE6">
            <w:pPr>
              <w:spacing w:before="50" w:afterLines="50" w:after="156" w:line="288" w:lineRule="auto"/>
              <w:ind w:firstLineChars="200" w:firstLine="482"/>
              <w:rPr>
                <w:rFonts w:ascii="Times New Roman" w:hAnsi="Times New Roman"/>
                <w:b/>
                <w:bCs/>
                <w:sz w:val="24"/>
              </w:rPr>
            </w:pPr>
            <w:r>
              <w:rPr>
                <w:rFonts w:ascii="Times New Roman" w:hAnsi="Times New Roman"/>
                <w:b/>
                <w:bCs/>
                <w:sz w:val="24"/>
              </w:rPr>
              <w:t>6</w:t>
            </w:r>
            <w:r>
              <w:rPr>
                <w:rFonts w:ascii="Times New Roman" w:hAnsi="Times New Roman"/>
                <w:b/>
                <w:bCs/>
                <w:sz w:val="24"/>
              </w:rPr>
              <w:t>、</w:t>
            </w:r>
            <w:r>
              <w:rPr>
                <w:rFonts w:ascii="Times New Roman" w:hAnsi="Times New Roman"/>
                <w:b/>
                <w:bCs/>
                <w:sz w:val="24"/>
              </w:rPr>
              <w:t>2026</w:t>
            </w:r>
            <w:r>
              <w:rPr>
                <w:rFonts w:ascii="Times New Roman" w:hAnsi="Times New Roman"/>
                <w:b/>
                <w:bCs/>
                <w:sz w:val="24"/>
              </w:rPr>
              <w:t>年一季度末，公司归母所有者权益较年初大幅增长，请问是什么原因？</w:t>
            </w:r>
          </w:p>
          <w:p w14:paraId="2305A5E8" w14:textId="04B53DE1" w:rsidR="00580CE6" w:rsidRDefault="00580CE6">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w:t>
            </w:r>
            <w:r>
              <w:rPr>
                <w:rFonts w:ascii="Times New Roman" w:hAnsi="Times New Roman"/>
                <w:sz w:val="24"/>
              </w:rPr>
              <w:t>2026</w:t>
            </w:r>
            <w:r>
              <w:rPr>
                <w:rFonts w:ascii="Times New Roman" w:hAnsi="Times New Roman"/>
                <w:sz w:val="24"/>
              </w:rPr>
              <w:t>年一季度末，公司归属于上市公司股东的所有者权益较年初增长</w:t>
            </w:r>
            <w:r>
              <w:rPr>
                <w:rFonts w:ascii="Times New Roman" w:hAnsi="Times New Roman"/>
                <w:sz w:val="24"/>
              </w:rPr>
              <w:t>30.65%</w:t>
            </w:r>
            <w:r>
              <w:rPr>
                <w:rFonts w:ascii="Times New Roman" w:hAnsi="Times New Roman"/>
                <w:sz w:val="24"/>
              </w:rPr>
              <w:t>，主要系本期</w:t>
            </w:r>
            <w:r>
              <w:rPr>
                <w:rFonts w:ascii="Times New Roman" w:hAnsi="Times New Roman"/>
                <w:sz w:val="24"/>
              </w:rPr>
              <w:t>“</w:t>
            </w:r>
            <w:r>
              <w:rPr>
                <w:rFonts w:ascii="Times New Roman" w:hAnsi="Times New Roman"/>
                <w:sz w:val="24"/>
              </w:rPr>
              <w:t>富淼转债</w:t>
            </w:r>
            <w:r>
              <w:rPr>
                <w:rFonts w:ascii="Times New Roman" w:hAnsi="Times New Roman"/>
                <w:sz w:val="24"/>
              </w:rPr>
              <w:t>”</w:t>
            </w:r>
            <w:r>
              <w:rPr>
                <w:rFonts w:ascii="Times New Roman" w:hAnsi="Times New Roman"/>
                <w:sz w:val="24"/>
              </w:rPr>
              <w:t>触发强赎集中转股并完成后续赎回，使得公司股本、资本公积相应增加，进而推动所有者权益规模显著提升。有关转债转股具体明细及完整情况，敬请参阅公司已披露的相关公告。感谢您的关注！</w:t>
            </w:r>
          </w:p>
          <w:p w14:paraId="4CB931E7" w14:textId="77777777" w:rsidR="00580CE6" w:rsidRDefault="00580CE6">
            <w:pPr>
              <w:spacing w:before="50" w:afterLines="50" w:after="156" w:line="288" w:lineRule="auto"/>
              <w:ind w:firstLineChars="200" w:firstLine="480"/>
              <w:rPr>
                <w:rFonts w:ascii="Times New Roman" w:hAnsi="Times New Roman"/>
                <w:sz w:val="24"/>
              </w:rPr>
            </w:pPr>
          </w:p>
          <w:p w14:paraId="21DB9AFE" w14:textId="28533ABB" w:rsidR="00580CE6" w:rsidRDefault="00580CE6">
            <w:pPr>
              <w:spacing w:before="50" w:afterLines="50" w:after="156" w:line="288" w:lineRule="auto"/>
              <w:ind w:firstLineChars="200" w:firstLine="482"/>
              <w:rPr>
                <w:rFonts w:ascii="Times New Roman" w:hAnsi="Times New Roman"/>
                <w:b/>
                <w:bCs/>
              </w:rPr>
            </w:pPr>
            <w:r>
              <w:rPr>
                <w:rFonts w:ascii="Times New Roman" w:hAnsi="Times New Roman"/>
                <w:b/>
                <w:bCs/>
                <w:sz w:val="24"/>
              </w:rPr>
              <w:t>7</w:t>
            </w:r>
            <w:r>
              <w:rPr>
                <w:rFonts w:ascii="Times New Roman" w:hAnsi="Times New Roman"/>
                <w:b/>
                <w:bCs/>
                <w:sz w:val="24"/>
              </w:rPr>
              <w:t>、请介绍董事长本次增持的目的，以及为何与永卓控股构成一致行动人？</w:t>
            </w:r>
          </w:p>
          <w:p w14:paraId="00D5CCFB" w14:textId="77777777" w:rsidR="00580CE6" w:rsidRDefault="00580CE6">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公司董事长、总经理钱鑫先生基于对公司长期发展前景信心及内在价值的认同，使用自有资金以大宗交易方式实施本次增持。鉴于钱鑫先生控制的企业与永卓控股存在共同投资，构成法定一致行动关系。本次增持合规合法，不会导致公司控股股东、实际控制人发生变更。感谢您的关注！</w:t>
            </w:r>
          </w:p>
          <w:p w14:paraId="0B4DA7AC" w14:textId="77777777" w:rsidR="00580CE6" w:rsidRDefault="00580CE6">
            <w:pPr>
              <w:spacing w:before="50" w:afterLines="50" w:after="156" w:line="288" w:lineRule="auto"/>
              <w:ind w:firstLineChars="200" w:firstLine="480"/>
              <w:rPr>
                <w:rFonts w:ascii="Times New Roman" w:hAnsi="Times New Roman"/>
                <w:sz w:val="24"/>
              </w:rPr>
            </w:pPr>
          </w:p>
          <w:p w14:paraId="3944B54C" w14:textId="6B6BF8FC" w:rsidR="00580CE6" w:rsidRDefault="00580CE6">
            <w:pPr>
              <w:spacing w:before="50" w:afterLines="50" w:after="156" w:line="288" w:lineRule="auto"/>
              <w:ind w:firstLineChars="200" w:firstLine="482"/>
              <w:rPr>
                <w:rFonts w:ascii="Times New Roman" w:hAnsi="Times New Roman"/>
                <w:b/>
                <w:bCs/>
              </w:rPr>
            </w:pPr>
            <w:r>
              <w:rPr>
                <w:rFonts w:ascii="Times New Roman" w:hAnsi="Times New Roman"/>
                <w:b/>
                <w:bCs/>
                <w:sz w:val="24"/>
              </w:rPr>
              <w:t>8</w:t>
            </w:r>
            <w:r>
              <w:rPr>
                <w:rFonts w:ascii="Times New Roman" w:hAnsi="Times New Roman"/>
                <w:b/>
                <w:bCs/>
                <w:sz w:val="24"/>
              </w:rPr>
              <w:t>、控股股东后续是否有进一步增持计划？</w:t>
            </w:r>
          </w:p>
          <w:p w14:paraId="4B748CC8" w14:textId="5A87C398" w:rsidR="0099075E" w:rsidRDefault="00000000">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控股股东将根据自身战略布局、二级市场情况及对公司长期价值与未来发展的信心等因素综合考虑后续安排。如有相关增持计划，公司将严格按照法律法规及监管要求，及时履行信息披露义务。感谢您的关注！</w:t>
            </w:r>
          </w:p>
          <w:p w14:paraId="7AB84ACC" w14:textId="77777777" w:rsidR="00580CE6" w:rsidRDefault="00580CE6">
            <w:pPr>
              <w:spacing w:before="50" w:afterLines="50" w:after="156" w:line="288" w:lineRule="auto"/>
              <w:ind w:firstLineChars="200" w:firstLine="480"/>
              <w:rPr>
                <w:rFonts w:ascii="Times New Roman" w:hAnsi="Times New Roman"/>
                <w:sz w:val="24"/>
              </w:rPr>
            </w:pPr>
          </w:p>
          <w:p w14:paraId="5149BA8F" w14:textId="1200E41C" w:rsidR="0099075E" w:rsidRDefault="00580CE6">
            <w:pPr>
              <w:spacing w:before="50" w:afterLines="50" w:after="156" w:line="288" w:lineRule="auto"/>
              <w:ind w:firstLineChars="200" w:firstLine="482"/>
              <w:rPr>
                <w:rFonts w:ascii="Times New Roman" w:hAnsi="Times New Roman"/>
                <w:b/>
                <w:bCs/>
              </w:rPr>
            </w:pPr>
            <w:r>
              <w:rPr>
                <w:rFonts w:ascii="Times New Roman" w:hAnsi="Times New Roman"/>
                <w:b/>
                <w:bCs/>
                <w:sz w:val="24"/>
              </w:rPr>
              <w:t>9</w:t>
            </w:r>
            <w:r>
              <w:rPr>
                <w:rFonts w:ascii="Times New Roman" w:hAnsi="Times New Roman"/>
                <w:b/>
                <w:bCs/>
                <w:sz w:val="24"/>
              </w:rPr>
              <w:t>、飞翔股份后续是否有新的减持计划？</w:t>
            </w:r>
          </w:p>
          <w:p w14:paraId="1486DAFD" w14:textId="1B909FEA" w:rsidR="0099075E" w:rsidRDefault="00000000">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尊敬的投资者，您好。截至</w:t>
            </w:r>
            <w:r>
              <w:rPr>
                <w:rFonts w:ascii="Times New Roman" w:hAnsi="Times New Roman"/>
                <w:sz w:val="24"/>
              </w:rPr>
              <w:t>2026</w:t>
            </w:r>
            <w:r>
              <w:rPr>
                <w:rFonts w:ascii="Times New Roman" w:hAnsi="Times New Roman"/>
                <w:sz w:val="24"/>
              </w:rPr>
              <w:t>年</w:t>
            </w:r>
            <w:r>
              <w:rPr>
                <w:rFonts w:ascii="Times New Roman" w:hAnsi="Times New Roman"/>
                <w:sz w:val="24"/>
              </w:rPr>
              <w:t>4</w:t>
            </w:r>
            <w:r>
              <w:rPr>
                <w:rFonts w:ascii="Times New Roman" w:hAnsi="Times New Roman"/>
                <w:sz w:val="24"/>
              </w:rPr>
              <w:t>月</w:t>
            </w:r>
            <w:r>
              <w:rPr>
                <w:rFonts w:ascii="Times New Roman" w:hAnsi="Times New Roman"/>
                <w:sz w:val="24"/>
              </w:rPr>
              <w:t>7</w:t>
            </w:r>
            <w:r>
              <w:rPr>
                <w:rFonts w:ascii="Times New Roman" w:hAnsi="Times New Roman"/>
                <w:sz w:val="24"/>
              </w:rPr>
              <w:t>日，飞翔股份本次减持计划已实施完毕，其目前持有公司股份数为</w:t>
            </w:r>
            <w:r>
              <w:rPr>
                <w:rFonts w:ascii="Times New Roman" w:hAnsi="Times New Roman"/>
                <w:sz w:val="24"/>
              </w:rPr>
              <w:t>13,845,910</w:t>
            </w:r>
            <w:r>
              <w:rPr>
                <w:rFonts w:ascii="Times New Roman" w:hAnsi="Times New Roman"/>
                <w:sz w:val="24"/>
              </w:rPr>
              <w:t>股，持股比例为</w:t>
            </w:r>
            <w:r>
              <w:rPr>
                <w:rFonts w:ascii="Times New Roman" w:hAnsi="Times New Roman"/>
                <w:sz w:val="24"/>
              </w:rPr>
              <w:t>9.67%</w:t>
            </w:r>
            <w:r>
              <w:rPr>
                <w:rFonts w:ascii="Times New Roman" w:hAnsi="Times New Roman"/>
                <w:sz w:val="24"/>
              </w:rPr>
              <w:t>。目前公司未收到飞翔股份是否有下一步减持计</w:t>
            </w:r>
            <w:r>
              <w:rPr>
                <w:rFonts w:ascii="Times New Roman" w:hAnsi="Times New Roman"/>
                <w:sz w:val="24"/>
              </w:rPr>
              <w:lastRenderedPageBreak/>
              <w:t>划的通知，若未来存在相关安排，相关方将严格遵守中国证监会和上交所的规定，并及时履行信息披露义务。感谢您的关注！</w:t>
            </w:r>
          </w:p>
          <w:p w14:paraId="0DAB5851" w14:textId="77777777" w:rsidR="00580CE6" w:rsidRDefault="00580CE6">
            <w:pPr>
              <w:spacing w:before="50" w:afterLines="50" w:after="156" w:line="288" w:lineRule="auto"/>
              <w:ind w:firstLineChars="200" w:firstLine="480"/>
              <w:rPr>
                <w:rFonts w:ascii="Times New Roman" w:hAnsi="Times New Roman"/>
                <w:sz w:val="24"/>
              </w:rPr>
            </w:pPr>
          </w:p>
          <w:p w14:paraId="45384FCA" w14:textId="2FE60110" w:rsidR="0099075E" w:rsidRDefault="00580CE6">
            <w:pPr>
              <w:spacing w:before="50" w:afterLines="50" w:after="156" w:line="288" w:lineRule="auto"/>
              <w:ind w:firstLineChars="200" w:firstLine="482"/>
              <w:rPr>
                <w:rFonts w:ascii="Times New Roman" w:hAnsi="Times New Roman"/>
                <w:b/>
                <w:bCs/>
              </w:rPr>
            </w:pPr>
            <w:r>
              <w:rPr>
                <w:rFonts w:ascii="Times New Roman" w:hAnsi="Times New Roman"/>
                <w:b/>
                <w:bCs/>
                <w:sz w:val="24"/>
              </w:rPr>
              <w:t>10</w:t>
            </w:r>
            <w:r>
              <w:rPr>
                <w:rFonts w:ascii="Times New Roman" w:hAnsi="Times New Roman"/>
                <w:b/>
                <w:bCs/>
                <w:sz w:val="24"/>
              </w:rPr>
              <w:t>、公司对工业水处理未来如何定位？</w:t>
            </w:r>
          </w:p>
          <w:p w14:paraId="1C59D885" w14:textId="3EEB50ED" w:rsidR="0099075E" w:rsidRDefault="00000000">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尊敬的投资者，您好。公司聚焦</w:t>
            </w:r>
            <w:r w:rsidR="00580CE6">
              <w:rPr>
                <w:rFonts w:ascii="宋体" w:hAnsi="宋体"/>
                <w:sz w:val="24"/>
              </w:rPr>
              <w:t>“水基化学品”</w:t>
            </w:r>
            <w:r>
              <w:rPr>
                <w:rFonts w:ascii="宋体" w:hAnsi="宋体"/>
                <w:sz w:val="24"/>
              </w:rPr>
              <w:t>与</w:t>
            </w:r>
            <w:r w:rsidR="00580CE6">
              <w:rPr>
                <w:rFonts w:ascii="宋体" w:hAnsi="宋体"/>
                <w:sz w:val="24"/>
              </w:rPr>
              <w:t>“工业水处理”</w:t>
            </w:r>
            <w:r>
              <w:rPr>
                <w:rFonts w:ascii="宋体" w:hAnsi="宋体"/>
                <w:sz w:val="24"/>
              </w:rPr>
              <w:t>两大业务板块，其中水基化学品业务正向高质量、高附加值方向转型升级；工业水处理业务板块，公司将围绕水处理膜的研发制造与场景化应用，打造集膜产品、水处理药剂、工程建设、托管运维、智能管控于一体的一站式综合服务体系，构建行业</w:t>
            </w:r>
            <w:r w:rsidR="00580CE6">
              <w:rPr>
                <w:rFonts w:ascii="宋体" w:hAnsi="宋体"/>
                <w:sz w:val="24"/>
              </w:rPr>
              <w:t>“膜药双管家”</w:t>
            </w:r>
            <w:r>
              <w:rPr>
                <w:rFonts w:ascii="宋体" w:hAnsi="宋体"/>
                <w:sz w:val="24"/>
              </w:rPr>
              <w:t>一</w:t>
            </w:r>
            <w:r>
              <w:rPr>
                <w:rFonts w:ascii="Times New Roman" w:hAnsi="Times New Roman"/>
                <w:sz w:val="24"/>
              </w:rPr>
              <w:t>体化服务优势。目前，公司工业水处理一站式解决方案已在钢铁、化工、煤化工、市政、电力等多个领域实现突破，客户认可度持续增强。感谢您的关注！</w:t>
            </w:r>
          </w:p>
          <w:p w14:paraId="08539041" w14:textId="77777777" w:rsidR="00580CE6" w:rsidRDefault="00580CE6">
            <w:pPr>
              <w:spacing w:before="50" w:afterLines="50" w:after="156" w:line="288" w:lineRule="auto"/>
              <w:ind w:firstLineChars="200" w:firstLine="480"/>
              <w:rPr>
                <w:rFonts w:ascii="Times New Roman" w:hAnsi="Times New Roman"/>
                <w:sz w:val="24"/>
              </w:rPr>
            </w:pPr>
          </w:p>
          <w:p w14:paraId="3DD41B84" w14:textId="582716FE" w:rsidR="0099075E" w:rsidRDefault="00580CE6">
            <w:pPr>
              <w:spacing w:before="50" w:afterLines="50" w:after="156" w:line="288" w:lineRule="auto"/>
              <w:ind w:firstLineChars="200" w:firstLine="482"/>
              <w:rPr>
                <w:rFonts w:ascii="Times New Roman" w:hAnsi="Times New Roman"/>
                <w:b/>
                <w:bCs/>
              </w:rPr>
            </w:pPr>
            <w:r>
              <w:rPr>
                <w:rFonts w:ascii="Times New Roman" w:hAnsi="Times New Roman"/>
                <w:b/>
                <w:bCs/>
                <w:sz w:val="24"/>
              </w:rPr>
              <w:t>11</w:t>
            </w:r>
            <w:r>
              <w:rPr>
                <w:rFonts w:ascii="Times New Roman" w:hAnsi="Times New Roman"/>
                <w:b/>
                <w:bCs/>
                <w:sz w:val="24"/>
              </w:rPr>
              <w:t>、安庆基地一期何时能投产及业绩贡献？</w:t>
            </w:r>
          </w:p>
          <w:p w14:paraId="0D306F72" w14:textId="2A191221" w:rsidR="0099075E" w:rsidRDefault="00000000">
            <w:pPr>
              <w:spacing w:before="50" w:afterLines="50" w:after="156" w:line="288" w:lineRule="auto"/>
              <w:ind w:firstLineChars="200" w:firstLine="480"/>
              <w:rPr>
                <w:rFonts w:ascii="Times New Roman" w:hAnsi="Times New Roman"/>
                <w:sz w:val="24"/>
              </w:rPr>
            </w:pPr>
            <w:r>
              <w:rPr>
                <w:rFonts w:ascii="Times New Roman" w:hAnsi="Times New Roman"/>
                <w:sz w:val="24"/>
              </w:rPr>
              <w:t>答</w:t>
            </w:r>
            <w:r>
              <w:rPr>
                <w:rFonts w:ascii="Times New Roman" w:hAnsi="Times New Roman"/>
                <w:sz w:val="24"/>
              </w:rPr>
              <w:t>:</w:t>
            </w:r>
            <w:r>
              <w:rPr>
                <w:rFonts w:ascii="Times New Roman" w:hAnsi="Times New Roman"/>
                <w:sz w:val="24"/>
              </w:rPr>
              <w:t>尊敬的投资者，您好。报告期内，公司安庆基地一期项目建设有序推进、进展顺利。截至目前，一期项目已取得政府相关部门各项审核批文，工程建设、生产装置安装及调试工作已基本完成；已取得环保排污许可证，职业病防护设施效果评价工作已完成，项目目前已进入试生产阶段，试产期间各项工作开展顺利，部分核心产品已实现合格产出。公司预计于</w:t>
            </w:r>
            <w:r>
              <w:rPr>
                <w:rFonts w:ascii="Times New Roman" w:hAnsi="Times New Roman"/>
                <w:sz w:val="24"/>
              </w:rPr>
              <w:t>2026</w:t>
            </w:r>
            <w:r>
              <w:rPr>
                <w:rFonts w:ascii="Times New Roman" w:hAnsi="Times New Roman"/>
                <w:sz w:val="24"/>
              </w:rPr>
              <w:t>年第二季度完成安全设施</w:t>
            </w:r>
            <w:r>
              <w:rPr>
                <w:rFonts w:ascii="宋体" w:hAnsi="宋体"/>
                <w:sz w:val="24"/>
              </w:rPr>
              <w:t>“三同时”</w:t>
            </w:r>
            <w:r>
              <w:rPr>
                <w:rFonts w:ascii="Times New Roman" w:hAnsi="Times New Roman"/>
                <w:sz w:val="24"/>
              </w:rPr>
              <w:t>竣工验收，当前正有序开展人员技能培训及试生产工艺优化工作，全力保障项目顺利转入正式运营，进一步提升公司产能规模，丰富产品组合，优化整体产业布局。感谢您的关注！</w:t>
            </w:r>
          </w:p>
          <w:p w14:paraId="4A486E83" w14:textId="654992B0" w:rsidR="0099075E" w:rsidRDefault="0099075E">
            <w:pPr>
              <w:spacing w:before="50" w:afterLines="50" w:after="156" w:line="288" w:lineRule="auto"/>
              <w:ind w:firstLineChars="200" w:firstLine="480"/>
              <w:rPr>
                <w:rFonts w:ascii="Times New Roman" w:hAnsi="Times New Roman"/>
                <w:sz w:val="24"/>
                <w:szCs w:val="24"/>
              </w:rPr>
            </w:pPr>
          </w:p>
        </w:tc>
      </w:tr>
    </w:tbl>
    <w:p w14:paraId="2776CCAB" w14:textId="77777777" w:rsidR="0099075E" w:rsidRDefault="0099075E"/>
    <w:p w14:paraId="13967E70" w14:textId="77777777" w:rsidR="0099075E" w:rsidRDefault="0099075E"/>
    <w:sectPr w:rsidR="0099075E">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5562" w14:textId="77777777" w:rsidR="00E6730B" w:rsidRDefault="00E6730B">
      <w:r>
        <w:separator/>
      </w:r>
    </w:p>
  </w:endnote>
  <w:endnote w:type="continuationSeparator" w:id="0">
    <w:p w14:paraId="15E62DEC" w14:textId="77777777" w:rsidR="00E6730B" w:rsidRDefault="00E6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2F5E" w14:textId="77777777" w:rsidR="00E6730B" w:rsidRDefault="00E6730B">
      <w:r>
        <w:separator/>
      </w:r>
    </w:p>
  </w:footnote>
  <w:footnote w:type="continuationSeparator" w:id="0">
    <w:p w14:paraId="14EFB3C6" w14:textId="77777777" w:rsidR="00E6730B" w:rsidRDefault="00E67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65B6" w14:textId="77777777" w:rsidR="0099075E" w:rsidRDefault="00000000">
    <w:pPr>
      <w:pStyle w:val="a3"/>
      <w:tabs>
        <w:tab w:val="clear" w:pos="4153"/>
      </w:tabs>
      <w:jc w:val="right"/>
    </w:pPr>
    <w:r>
      <w:rPr>
        <w:rFonts w:hint="eastAsia"/>
      </w:rPr>
      <w:t>江苏富淼科技股份有限公司投资者关系活动记录表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99075E"/>
    <w:rsid w:val="00370613"/>
    <w:rsid w:val="003F5CCF"/>
    <w:rsid w:val="00580CE6"/>
    <w:rsid w:val="0099075E"/>
    <w:rsid w:val="00AF4829"/>
    <w:rsid w:val="00C5267F"/>
    <w:rsid w:val="00DA421E"/>
    <w:rsid w:val="00E6730B"/>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676DE"/>
  <w15:docId w15:val="{59D6541F-8EB9-4DE0-AFBF-0DA492B3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顾宇轩</cp:lastModifiedBy>
  <cp:revision>2</cp:revision>
  <dcterms:created xsi:type="dcterms:W3CDTF">2026-04-29T07:26:00Z</dcterms:created>
  <dcterms:modified xsi:type="dcterms:W3CDTF">2026-04-29T07:26:00Z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