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A9DA7">
      <w:pPr>
        <w:rPr>
          <w:rFonts w:ascii="宋体" w:hAnsi="宋体" w:eastAsia="宋体"/>
          <w:b/>
        </w:rPr>
      </w:pPr>
      <w:r>
        <w:rPr>
          <w:rFonts w:hint="eastAsia" w:ascii="宋体" w:hAnsi="宋体" w:eastAsia="宋体"/>
          <w:b/>
        </w:rPr>
        <w:t>证券代码：6</w:t>
      </w:r>
      <w:r>
        <w:rPr>
          <w:rFonts w:ascii="宋体" w:hAnsi="宋体" w:eastAsia="宋体"/>
          <w:b/>
        </w:rPr>
        <w:t xml:space="preserve">05319                                            </w:t>
      </w:r>
      <w:r>
        <w:rPr>
          <w:rFonts w:hint="eastAsia" w:ascii="宋体" w:hAnsi="宋体" w:eastAsia="宋体"/>
          <w:b/>
        </w:rPr>
        <w:t>证券简称：无锡振华</w:t>
      </w:r>
    </w:p>
    <w:p w14:paraId="21241F80">
      <w:pPr>
        <w:rPr>
          <w:rFonts w:ascii="宋体" w:hAnsi="宋体" w:eastAsia="宋体"/>
        </w:rPr>
      </w:pPr>
    </w:p>
    <w:p w14:paraId="06792874">
      <w:pPr>
        <w:rPr>
          <w:rFonts w:ascii="宋体" w:hAnsi="宋体" w:eastAsia="宋体"/>
          <w:b/>
          <w:sz w:val="32"/>
          <w:szCs w:val="36"/>
        </w:rPr>
      </w:pPr>
      <w:r>
        <w:rPr>
          <w:rFonts w:hint="eastAsia" w:ascii="宋体" w:hAnsi="宋体" w:eastAsia="宋体"/>
          <w:b/>
          <w:sz w:val="32"/>
          <w:szCs w:val="36"/>
        </w:rPr>
        <w:t>无锡市振华汽车部件股份有限公司投资者关系活动记录表</w:t>
      </w:r>
    </w:p>
    <w:p w14:paraId="008BB514">
      <w:pPr>
        <w:rPr>
          <w:rFonts w:ascii="宋体" w:hAnsi="宋体" w:eastAsia="宋体"/>
        </w:rPr>
      </w:pPr>
    </w:p>
    <w:p w14:paraId="15E19234">
      <w:pPr>
        <w:rPr>
          <w:rFonts w:ascii="宋体" w:hAnsi="宋体" w:eastAsia="宋体"/>
          <w:sz w:val="22"/>
        </w:rPr>
      </w:pPr>
      <w:r>
        <w:rPr>
          <w:rFonts w:hint="eastAsia" w:ascii="宋体" w:hAnsi="宋体" w:eastAsia="宋体"/>
          <w:sz w:val="22"/>
        </w:rPr>
        <w:t>编号：2</w:t>
      </w:r>
      <w:r>
        <w:rPr>
          <w:rFonts w:ascii="宋体" w:hAnsi="宋体" w:eastAsia="宋体"/>
          <w:sz w:val="22"/>
        </w:rPr>
        <w:t>0</w:t>
      </w:r>
      <w:r>
        <w:rPr>
          <w:rFonts w:hint="eastAsia" w:ascii="宋体" w:hAnsi="宋体" w:eastAsia="宋体"/>
          <w:sz w:val="22"/>
        </w:rPr>
        <w:t>2</w:t>
      </w:r>
      <w:r>
        <w:rPr>
          <w:rFonts w:hint="eastAsia" w:ascii="宋体" w:hAnsi="宋体" w:eastAsia="宋体"/>
          <w:sz w:val="22"/>
          <w:lang w:val="en-US" w:eastAsia="zh-CN"/>
        </w:rPr>
        <w:t>6</w:t>
      </w:r>
      <w:r>
        <w:rPr>
          <w:rFonts w:ascii="宋体" w:hAnsi="宋体" w:eastAsia="宋体"/>
          <w:sz w:val="22"/>
        </w:rPr>
        <w:t>-</w:t>
      </w:r>
      <w:r>
        <w:rPr>
          <w:rFonts w:hint="eastAsia" w:ascii="宋体" w:hAnsi="宋体" w:eastAsia="宋体"/>
          <w:sz w:val="22"/>
        </w:rPr>
        <w:t>0</w:t>
      </w:r>
      <w:r>
        <w:rPr>
          <w:rFonts w:ascii="宋体" w:hAnsi="宋体" w:eastAsia="宋体"/>
          <w:sz w:val="22"/>
        </w:rPr>
        <w:t>01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7034"/>
      </w:tblGrid>
      <w:tr w14:paraId="06D8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ECA2DA2">
            <w:pPr>
              <w:spacing w:before="156" w:beforeLines="50" w:after="156" w:afterLines="50" w:line="360" w:lineRule="auto"/>
              <w:jc w:val="center"/>
              <w:rPr>
                <w:rFonts w:ascii="宋体" w:hAnsi="宋体" w:eastAsia="宋体"/>
                <w:sz w:val="24"/>
              </w:rPr>
            </w:pPr>
            <w:r>
              <w:rPr>
                <w:rFonts w:hint="eastAsia" w:ascii="宋体" w:hAnsi="宋体" w:eastAsia="宋体"/>
                <w:sz w:val="24"/>
              </w:rPr>
              <w:t>投资者关系活动类别</w:t>
            </w:r>
          </w:p>
        </w:tc>
        <w:tc>
          <w:tcPr>
            <w:tcW w:w="11770" w:type="dxa"/>
            <w:vAlign w:val="center"/>
          </w:tcPr>
          <w:p w14:paraId="625B8601">
            <w:pPr>
              <w:spacing w:before="156" w:beforeLines="50" w:after="156" w:afterLines="50" w:line="360" w:lineRule="auto"/>
              <w:rPr>
                <w:rFonts w:ascii="宋体" w:hAnsi="宋体" w:eastAsia="宋体"/>
                <w:color w:val="333333"/>
                <w:sz w:val="24"/>
                <w:szCs w:val="21"/>
                <w:shd w:val="clear" w:color="auto" w:fill="FFFFFF"/>
              </w:rPr>
            </w:pPr>
            <w:r>
              <w:rPr>
                <w:rFonts w:hint="eastAsia" w:ascii="方正舒体" w:hAnsi="宋体" w:eastAsia="方正舒体"/>
                <w:color w:val="333333"/>
                <w:sz w:val="24"/>
                <w:szCs w:val="21"/>
                <w:shd w:val="clear" w:color="auto" w:fill="FFFFFF"/>
              </w:rPr>
              <w:t>■</w:t>
            </w:r>
            <w:r>
              <w:rPr>
                <w:rFonts w:hint="eastAsia" w:ascii="宋体" w:hAnsi="宋体" w:eastAsia="宋体"/>
                <w:color w:val="333333"/>
                <w:sz w:val="24"/>
                <w:szCs w:val="21"/>
                <w:shd w:val="clear" w:color="auto" w:fill="FFFFFF"/>
              </w:rPr>
              <w:t xml:space="preserve">特定对象调研 </w:t>
            </w:r>
            <w:r>
              <w:rPr>
                <w:rFonts w:hint="eastAsia" w:ascii="宋体" w:hAnsi="宋体" w:eastAsia="宋体"/>
                <w:color w:val="333333"/>
                <w:sz w:val="24"/>
                <w:szCs w:val="21"/>
                <w:shd w:val="clear" w:color="auto" w:fill="FFFFFF"/>
                <w:lang w:eastAsia="zh-CN"/>
              </w:rPr>
              <w:t>□</w:t>
            </w:r>
            <w:r>
              <w:rPr>
                <w:rFonts w:hint="eastAsia" w:ascii="宋体" w:hAnsi="宋体" w:eastAsia="宋体"/>
                <w:color w:val="333333"/>
                <w:sz w:val="24"/>
                <w:szCs w:val="21"/>
                <w:shd w:val="clear" w:color="auto" w:fill="FFFFFF"/>
              </w:rPr>
              <w:t>分析师会议</w:t>
            </w:r>
          </w:p>
          <w:p w14:paraId="26103787">
            <w:pPr>
              <w:spacing w:before="156" w:beforeLines="50" w:after="156" w:afterLines="50" w:line="360" w:lineRule="auto"/>
              <w:rPr>
                <w:rFonts w:ascii="宋体" w:hAnsi="宋体" w:eastAsia="宋体"/>
                <w:color w:val="333333"/>
                <w:sz w:val="24"/>
                <w:szCs w:val="21"/>
                <w:shd w:val="clear" w:color="auto" w:fill="FFFFFF"/>
              </w:rPr>
            </w:pPr>
            <w:r>
              <w:rPr>
                <w:rFonts w:hint="eastAsia" w:ascii="宋体" w:hAnsi="宋体" w:eastAsia="宋体"/>
                <w:color w:val="333333"/>
                <w:sz w:val="24"/>
                <w:szCs w:val="21"/>
                <w:shd w:val="clear" w:color="auto" w:fill="FFFFFF"/>
              </w:rPr>
              <w:t xml:space="preserve">□媒体采访 </w:t>
            </w:r>
            <w:r>
              <w:rPr>
                <w:rFonts w:ascii="宋体" w:hAnsi="宋体" w:eastAsia="宋体"/>
                <w:color w:val="333333"/>
                <w:sz w:val="24"/>
                <w:szCs w:val="21"/>
                <w:shd w:val="clear" w:color="auto" w:fill="FFFFFF"/>
              </w:rPr>
              <w:t xml:space="preserve">    </w:t>
            </w:r>
            <w:r>
              <w:rPr>
                <w:rFonts w:hint="eastAsia" w:ascii="宋体" w:hAnsi="宋体" w:eastAsia="宋体"/>
                <w:color w:val="333333"/>
                <w:sz w:val="24"/>
                <w:szCs w:val="21"/>
                <w:shd w:val="clear" w:color="auto" w:fill="FFFFFF"/>
              </w:rPr>
              <w:t>□业绩说明会</w:t>
            </w:r>
          </w:p>
          <w:p w14:paraId="03BDBF4C">
            <w:pPr>
              <w:spacing w:before="156" w:beforeLines="50" w:after="156" w:afterLines="50" w:line="360" w:lineRule="auto"/>
              <w:rPr>
                <w:rFonts w:ascii="宋体" w:hAnsi="宋体" w:eastAsia="宋体"/>
                <w:color w:val="333333"/>
                <w:sz w:val="24"/>
                <w:szCs w:val="21"/>
                <w:shd w:val="clear" w:color="auto" w:fill="FFFFFF"/>
              </w:rPr>
            </w:pPr>
            <w:r>
              <w:rPr>
                <w:rFonts w:hint="eastAsia" w:ascii="宋体" w:hAnsi="宋体" w:eastAsia="宋体"/>
                <w:color w:val="333333"/>
                <w:sz w:val="24"/>
                <w:szCs w:val="21"/>
                <w:shd w:val="clear" w:color="auto" w:fill="FFFFFF"/>
              </w:rPr>
              <w:t xml:space="preserve">□新闻发布会 </w:t>
            </w:r>
            <w:r>
              <w:rPr>
                <w:rFonts w:ascii="宋体" w:hAnsi="宋体" w:eastAsia="宋体"/>
                <w:color w:val="333333"/>
                <w:sz w:val="24"/>
                <w:szCs w:val="21"/>
                <w:shd w:val="clear" w:color="auto" w:fill="FFFFFF"/>
              </w:rPr>
              <w:t xml:space="preserve">  </w:t>
            </w:r>
            <w:r>
              <w:rPr>
                <w:rFonts w:hint="eastAsia" w:ascii="宋体" w:hAnsi="宋体" w:eastAsia="宋体"/>
                <w:color w:val="333333"/>
                <w:sz w:val="24"/>
                <w:szCs w:val="21"/>
                <w:shd w:val="clear" w:color="auto" w:fill="FFFFFF"/>
              </w:rPr>
              <w:t>□路演活动</w:t>
            </w:r>
          </w:p>
          <w:p w14:paraId="3EF32027">
            <w:pPr>
              <w:spacing w:before="156" w:beforeLines="50" w:after="156" w:afterLines="50" w:line="360" w:lineRule="auto"/>
              <w:rPr>
                <w:rFonts w:ascii="宋体" w:hAnsi="宋体" w:eastAsia="宋体"/>
                <w:sz w:val="24"/>
              </w:rPr>
            </w:pPr>
            <w:r>
              <w:rPr>
                <w:rFonts w:hint="eastAsia" w:ascii="宋体" w:hAnsi="宋体" w:eastAsia="宋体"/>
                <w:color w:val="333333"/>
                <w:sz w:val="24"/>
                <w:szCs w:val="21"/>
                <w:shd w:val="clear" w:color="auto" w:fill="FFFFFF"/>
              </w:rPr>
              <w:t xml:space="preserve">□现场参观 </w:t>
            </w:r>
            <w:r>
              <w:rPr>
                <w:rFonts w:ascii="宋体" w:hAnsi="宋体" w:eastAsia="宋体"/>
                <w:color w:val="333333"/>
                <w:sz w:val="24"/>
                <w:szCs w:val="21"/>
                <w:shd w:val="clear" w:color="auto" w:fill="FFFFFF"/>
              </w:rPr>
              <w:t xml:space="preserve">    </w:t>
            </w:r>
            <w:r>
              <w:rPr>
                <w:rFonts w:hint="eastAsia" w:ascii="宋体" w:hAnsi="宋体" w:eastAsia="宋体"/>
                <w:color w:val="333333"/>
                <w:sz w:val="24"/>
                <w:szCs w:val="21"/>
                <w:shd w:val="clear" w:color="auto" w:fill="FFFFFF"/>
              </w:rPr>
              <w:t>□电话会议</w:t>
            </w:r>
          </w:p>
        </w:tc>
      </w:tr>
      <w:tr w14:paraId="052F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2122" w:type="dxa"/>
            <w:vAlign w:val="center"/>
          </w:tcPr>
          <w:p w14:paraId="53873D00">
            <w:pPr>
              <w:spacing w:before="156" w:beforeLines="50" w:after="156" w:afterLines="50" w:line="360" w:lineRule="auto"/>
              <w:jc w:val="center"/>
              <w:rPr>
                <w:rFonts w:ascii="宋体" w:hAnsi="宋体" w:eastAsia="宋体"/>
                <w:sz w:val="24"/>
              </w:rPr>
            </w:pPr>
            <w:r>
              <w:rPr>
                <w:rFonts w:hint="eastAsia" w:ascii="宋体" w:hAnsi="宋体" w:eastAsia="宋体"/>
                <w:color w:val="333333"/>
                <w:sz w:val="24"/>
                <w:szCs w:val="21"/>
                <w:shd w:val="clear" w:color="auto" w:fill="FFFFFF"/>
              </w:rPr>
              <w:t>参与单位名称及人员姓名</w:t>
            </w:r>
          </w:p>
        </w:tc>
        <w:tc>
          <w:tcPr>
            <w:tcW w:w="11770" w:type="dxa"/>
            <w:vAlign w:val="center"/>
          </w:tcPr>
          <w:p w14:paraId="4D697E9B">
            <w:pPr>
              <w:spacing w:before="156" w:beforeLines="50" w:after="156" w:afterLines="50" w:line="360" w:lineRule="auto"/>
              <w:rPr>
                <w:rFonts w:hint="default" w:ascii="宋体" w:hAnsi="宋体" w:eastAsia="宋体"/>
                <w:sz w:val="24"/>
                <w:lang w:val="en-US" w:eastAsia="zh-CN"/>
              </w:rPr>
            </w:pPr>
            <w:r>
              <w:rPr>
                <w:rFonts w:hint="eastAsia" w:ascii="宋体" w:hAnsi="宋体" w:eastAsia="宋体"/>
                <w:sz w:val="24"/>
              </w:rPr>
              <w:t>中泰证券</w:t>
            </w:r>
            <w:r>
              <w:rPr>
                <w:rFonts w:hint="eastAsia" w:ascii="宋体" w:hAnsi="宋体" w:eastAsia="宋体"/>
                <w:sz w:val="24"/>
                <w:lang w:eastAsia="zh-CN"/>
              </w:rPr>
              <w:t>、</w:t>
            </w:r>
            <w:r>
              <w:rPr>
                <w:rFonts w:hint="eastAsia" w:ascii="宋体" w:hAnsi="宋体" w:eastAsia="宋体"/>
                <w:sz w:val="24"/>
              </w:rPr>
              <w:t>国海证券</w:t>
            </w:r>
            <w:r>
              <w:rPr>
                <w:rFonts w:hint="eastAsia" w:ascii="宋体" w:hAnsi="宋体" w:eastAsia="宋体"/>
                <w:sz w:val="24"/>
                <w:lang w:eastAsia="zh-CN"/>
              </w:rPr>
              <w:t>、同泰基金、长城证券、中国国际、国信证券、国泰海通、民生证券、光大证券、华泰证券、中邮证券、泰聚私募、</w:t>
            </w:r>
            <w:r>
              <w:rPr>
                <w:rFonts w:hint="eastAsia" w:ascii="宋体" w:hAnsi="宋体" w:eastAsia="宋体"/>
                <w:sz w:val="24"/>
                <w:lang w:val="en-US" w:eastAsia="zh-CN"/>
              </w:rPr>
              <w:t>华创证券</w:t>
            </w:r>
          </w:p>
        </w:tc>
      </w:tr>
      <w:tr w14:paraId="5CFF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22" w:type="dxa"/>
            <w:vAlign w:val="center"/>
          </w:tcPr>
          <w:p w14:paraId="2232841F">
            <w:pPr>
              <w:spacing w:before="156" w:beforeLines="50" w:after="156" w:afterLines="50" w:line="360" w:lineRule="auto"/>
              <w:jc w:val="center"/>
              <w:rPr>
                <w:rFonts w:ascii="宋体" w:hAnsi="宋体" w:eastAsia="宋体"/>
                <w:sz w:val="24"/>
              </w:rPr>
            </w:pPr>
            <w:r>
              <w:rPr>
                <w:rFonts w:hint="eastAsia" w:ascii="宋体" w:hAnsi="宋体" w:eastAsia="宋体"/>
                <w:color w:val="333333"/>
                <w:sz w:val="24"/>
                <w:szCs w:val="21"/>
                <w:shd w:val="clear" w:color="auto" w:fill="FFFFFF"/>
              </w:rPr>
              <w:t>时间</w:t>
            </w:r>
          </w:p>
        </w:tc>
        <w:tc>
          <w:tcPr>
            <w:tcW w:w="11770" w:type="dxa"/>
            <w:vAlign w:val="center"/>
          </w:tcPr>
          <w:p w14:paraId="3AECB107">
            <w:pPr>
              <w:spacing w:before="156" w:beforeLines="50" w:after="156" w:afterLines="50" w:line="360" w:lineRule="auto"/>
              <w:rPr>
                <w:rFonts w:ascii="宋体" w:hAnsi="宋体" w:eastAsia="宋体"/>
                <w:sz w:val="24"/>
              </w:rPr>
            </w:pPr>
            <w:r>
              <w:rPr>
                <w:rFonts w:hint="eastAsia" w:ascii="宋体" w:hAnsi="宋体" w:eastAsia="宋体"/>
                <w:sz w:val="24"/>
              </w:rPr>
              <w:t>2</w:t>
            </w:r>
            <w:r>
              <w:rPr>
                <w:rFonts w:ascii="宋体" w:hAnsi="宋体" w:eastAsia="宋体"/>
                <w:sz w:val="24"/>
              </w:rPr>
              <w:t>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4</w:t>
            </w:r>
            <w:r>
              <w:rPr>
                <w:rFonts w:hint="eastAsia" w:ascii="宋体" w:hAnsi="宋体" w:eastAsia="宋体"/>
                <w:sz w:val="24"/>
              </w:rPr>
              <w:t>月</w:t>
            </w:r>
            <w:r>
              <w:rPr>
                <w:rFonts w:hint="eastAsia" w:ascii="宋体" w:hAnsi="宋体" w:eastAsia="宋体"/>
                <w:sz w:val="24"/>
                <w:lang w:val="en-US" w:eastAsia="zh-CN"/>
              </w:rPr>
              <w:t>28</w:t>
            </w:r>
            <w:r>
              <w:rPr>
                <w:rFonts w:hint="eastAsia" w:ascii="宋体" w:hAnsi="宋体" w:eastAsia="宋体"/>
                <w:sz w:val="24"/>
              </w:rPr>
              <w:t>日</w:t>
            </w:r>
          </w:p>
        </w:tc>
      </w:tr>
      <w:tr w14:paraId="5A1F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6B1C1BE1">
            <w:pPr>
              <w:spacing w:before="156" w:beforeLines="50" w:after="156" w:afterLines="50" w:line="360" w:lineRule="auto"/>
              <w:jc w:val="center"/>
              <w:rPr>
                <w:rFonts w:ascii="宋体" w:hAnsi="宋体" w:eastAsia="宋体"/>
                <w:sz w:val="24"/>
              </w:rPr>
            </w:pPr>
            <w:r>
              <w:rPr>
                <w:rFonts w:hint="eastAsia" w:ascii="宋体" w:hAnsi="宋体" w:eastAsia="宋体"/>
                <w:color w:val="333333"/>
                <w:sz w:val="24"/>
                <w:szCs w:val="21"/>
                <w:shd w:val="clear" w:color="auto" w:fill="FFFFFF"/>
              </w:rPr>
              <w:t>地点</w:t>
            </w:r>
          </w:p>
        </w:tc>
        <w:tc>
          <w:tcPr>
            <w:tcW w:w="11770" w:type="dxa"/>
            <w:vAlign w:val="center"/>
          </w:tcPr>
          <w:p w14:paraId="4577ADBD">
            <w:pPr>
              <w:spacing w:before="156" w:beforeLines="50" w:after="156" w:afterLines="50" w:line="360" w:lineRule="auto"/>
              <w:rPr>
                <w:rFonts w:ascii="宋体" w:hAnsi="宋体" w:eastAsia="宋体"/>
                <w:sz w:val="24"/>
              </w:rPr>
            </w:pPr>
            <w:r>
              <w:rPr>
                <w:rFonts w:hint="eastAsia" w:ascii="宋体" w:hAnsi="宋体" w:eastAsia="宋体"/>
                <w:sz w:val="24"/>
              </w:rPr>
              <w:t>公司会议室</w:t>
            </w:r>
          </w:p>
        </w:tc>
      </w:tr>
      <w:tr w14:paraId="756E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50BEB6BF">
            <w:pPr>
              <w:spacing w:before="156" w:beforeLines="50" w:after="156" w:afterLines="50" w:line="360" w:lineRule="auto"/>
              <w:jc w:val="center"/>
              <w:rPr>
                <w:rFonts w:ascii="宋体" w:hAnsi="宋体" w:eastAsia="宋体"/>
                <w:sz w:val="24"/>
              </w:rPr>
            </w:pPr>
            <w:r>
              <w:rPr>
                <w:rFonts w:hint="eastAsia" w:ascii="宋体" w:hAnsi="宋体" w:eastAsia="宋体"/>
                <w:color w:val="333333"/>
                <w:sz w:val="24"/>
                <w:szCs w:val="21"/>
                <w:shd w:val="clear" w:color="auto" w:fill="FFFFFF"/>
              </w:rPr>
              <w:t>上市公司接待人员姓名</w:t>
            </w:r>
          </w:p>
        </w:tc>
        <w:tc>
          <w:tcPr>
            <w:tcW w:w="11770" w:type="dxa"/>
            <w:vAlign w:val="center"/>
          </w:tcPr>
          <w:p w14:paraId="59944CB9">
            <w:pPr>
              <w:spacing w:before="156" w:beforeLines="50" w:after="156" w:afterLines="50" w:line="360" w:lineRule="auto"/>
              <w:rPr>
                <w:rFonts w:ascii="宋体" w:hAnsi="宋体" w:eastAsia="宋体"/>
                <w:sz w:val="24"/>
              </w:rPr>
            </w:pPr>
            <w:r>
              <w:rPr>
                <w:rFonts w:hint="eastAsia" w:ascii="宋体" w:hAnsi="宋体" w:eastAsia="宋体"/>
                <w:sz w:val="24"/>
              </w:rPr>
              <w:t>公司董事会秘书、</w:t>
            </w:r>
            <w:r>
              <w:rPr>
                <w:rFonts w:hint="eastAsia" w:ascii="宋体" w:hAnsi="宋体" w:eastAsia="宋体"/>
                <w:sz w:val="24"/>
                <w:lang w:val="en-US" w:eastAsia="zh-CN"/>
              </w:rPr>
              <w:t>财务总监、</w:t>
            </w:r>
            <w:r>
              <w:rPr>
                <w:rFonts w:hint="eastAsia" w:ascii="宋体" w:hAnsi="宋体" w:eastAsia="宋体"/>
                <w:sz w:val="24"/>
              </w:rPr>
              <w:t>证券事务代表</w:t>
            </w:r>
          </w:p>
        </w:tc>
      </w:tr>
      <w:tr w14:paraId="0D49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4FBE2B0A">
            <w:pPr>
              <w:spacing w:before="156" w:beforeLines="50" w:after="156" w:afterLines="50" w:line="360" w:lineRule="auto"/>
              <w:jc w:val="center"/>
              <w:rPr>
                <w:rFonts w:ascii="宋体" w:hAnsi="宋体" w:eastAsia="宋体"/>
                <w:sz w:val="24"/>
                <w:szCs w:val="24"/>
              </w:rPr>
            </w:pPr>
            <w:r>
              <w:rPr>
                <w:rFonts w:hint="eastAsia" w:ascii="宋体" w:hAnsi="宋体" w:eastAsia="宋体"/>
                <w:color w:val="333333"/>
                <w:sz w:val="24"/>
                <w:szCs w:val="24"/>
                <w:shd w:val="clear" w:color="auto" w:fill="FFFFFF"/>
              </w:rPr>
              <w:t>投资者关系活动主要内容介绍</w:t>
            </w:r>
          </w:p>
        </w:tc>
        <w:tc>
          <w:tcPr>
            <w:tcW w:w="11770" w:type="dxa"/>
            <w:vAlign w:val="center"/>
          </w:tcPr>
          <w:p w14:paraId="4B7B66F7">
            <w:pPr>
              <w:spacing w:before="156" w:beforeLines="50" w:after="156" w:afterLines="50" w:line="360" w:lineRule="auto"/>
              <w:rPr>
                <w:rFonts w:ascii="宋体" w:hAnsi="宋体" w:eastAsia="宋体"/>
                <w:color w:val="333333"/>
                <w:sz w:val="24"/>
                <w:szCs w:val="24"/>
                <w:shd w:val="clear" w:color="auto" w:fill="FFFFFF"/>
              </w:rPr>
            </w:pPr>
            <w:r>
              <w:rPr>
                <w:rFonts w:hint="eastAsia" w:ascii="宋体" w:hAnsi="宋体" w:eastAsia="宋体"/>
                <w:color w:val="333333"/>
                <w:sz w:val="24"/>
                <w:szCs w:val="24"/>
                <w:shd w:val="clear" w:color="auto" w:fill="FFFFFF"/>
              </w:rPr>
              <w:t>投资者关系活动主要内容介绍：</w:t>
            </w:r>
          </w:p>
          <w:p w14:paraId="0DF23B78">
            <w:pPr>
              <w:spacing w:before="156" w:beforeLines="50" w:after="156" w:afterLines="50" w:line="360" w:lineRule="auto"/>
              <w:rPr>
                <w:rFonts w:ascii="宋体" w:hAnsi="宋体" w:eastAsia="宋体"/>
                <w:color w:val="333333"/>
                <w:sz w:val="24"/>
                <w:szCs w:val="24"/>
                <w:shd w:val="clear" w:color="auto" w:fill="FFFFFF"/>
              </w:rPr>
            </w:pPr>
            <w:r>
              <w:rPr>
                <w:rFonts w:hint="eastAsia" w:ascii="宋体" w:hAnsi="宋体" w:eastAsia="宋体"/>
                <w:color w:val="333333"/>
                <w:sz w:val="24"/>
                <w:szCs w:val="24"/>
                <w:shd w:val="clear" w:color="auto" w:fill="FFFFFF"/>
              </w:rPr>
              <w:t>一、</w:t>
            </w:r>
            <w:r>
              <w:rPr>
                <w:rFonts w:hint="eastAsia" w:ascii="宋体" w:hAnsi="宋体" w:eastAsia="宋体"/>
                <w:color w:val="333333"/>
                <w:sz w:val="24"/>
                <w:szCs w:val="24"/>
                <w:shd w:val="clear" w:color="auto" w:fill="FFFFFF"/>
                <w:lang w:val="en-US" w:eastAsia="zh-CN"/>
              </w:rPr>
              <w:t>证券事务代表</w:t>
            </w:r>
            <w:r>
              <w:rPr>
                <w:rFonts w:hint="eastAsia" w:ascii="宋体" w:hAnsi="宋体" w:eastAsia="宋体"/>
                <w:color w:val="333333"/>
                <w:sz w:val="24"/>
                <w:szCs w:val="24"/>
                <w:shd w:val="clear" w:color="auto" w:fill="FFFFFF"/>
              </w:rPr>
              <w:t>简单介绍公司的基本情况；</w:t>
            </w:r>
          </w:p>
          <w:p w14:paraId="30E2AF3F">
            <w:pPr>
              <w:spacing w:before="156" w:beforeLines="50" w:after="156" w:afterLines="50" w:line="360" w:lineRule="auto"/>
              <w:rPr>
                <w:rFonts w:ascii="宋体" w:hAnsi="宋体" w:eastAsia="宋体"/>
                <w:color w:val="333333"/>
                <w:sz w:val="24"/>
                <w:szCs w:val="24"/>
                <w:shd w:val="clear" w:color="auto" w:fill="FFFFFF"/>
              </w:rPr>
            </w:pPr>
            <w:r>
              <w:rPr>
                <w:rFonts w:hint="eastAsia" w:ascii="宋体" w:hAnsi="宋体" w:eastAsia="宋体"/>
                <w:color w:val="333333"/>
                <w:sz w:val="24"/>
                <w:szCs w:val="24"/>
                <w:shd w:val="clear" w:color="auto" w:fill="FFFFFF"/>
              </w:rPr>
              <w:t>二、公司领导主要就以下问题和投资者进行了交流：</w:t>
            </w:r>
          </w:p>
          <w:p w14:paraId="0A890DCD">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问题1：</w:t>
            </w:r>
            <w:r>
              <w:rPr>
                <w:rFonts w:hint="eastAsia" w:ascii="宋体" w:hAnsi="宋体" w:eastAsia="宋体" w:cs="宋体"/>
                <w:b/>
                <w:bCs/>
                <w:kern w:val="0"/>
                <w:sz w:val="24"/>
                <w:szCs w:val="24"/>
                <w:lang w:eastAsia="en-US"/>
              </w:rPr>
              <w:t>关于</w:t>
            </w:r>
            <w:r>
              <w:rPr>
                <w:rFonts w:hint="eastAsia" w:ascii="宋体" w:hAnsi="宋体" w:eastAsia="宋体" w:cs="宋体"/>
                <w:b/>
                <w:bCs/>
                <w:kern w:val="0"/>
                <w:sz w:val="24"/>
                <w:szCs w:val="24"/>
                <w:lang w:val="en-US" w:eastAsia="zh-CN"/>
              </w:rPr>
              <w:t>选择性精密</w:t>
            </w:r>
            <w:r>
              <w:rPr>
                <w:rFonts w:hint="eastAsia" w:ascii="宋体" w:hAnsi="宋体" w:eastAsia="宋体" w:cs="宋体"/>
                <w:b/>
                <w:bCs/>
                <w:kern w:val="0"/>
                <w:sz w:val="24"/>
                <w:szCs w:val="24"/>
                <w:lang w:eastAsia="en-US"/>
              </w:rPr>
              <w:t>电镀</w:t>
            </w:r>
            <w:r>
              <w:rPr>
                <w:rFonts w:hint="eastAsia" w:ascii="宋体" w:hAnsi="宋体" w:eastAsia="宋体" w:cs="宋体"/>
                <w:b/>
                <w:bCs/>
                <w:kern w:val="0"/>
                <w:sz w:val="24"/>
                <w:szCs w:val="24"/>
                <w:lang w:val="en-US" w:eastAsia="zh-CN"/>
              </w:rPr>
              <w:t>加工</w:t>
            </w:r>
            <w:r>
              <w:rPr>
                <w:rFonts w:hint="eastAsia" w:ascii="宋体" w:hAnsi="宋体" w:eastAsia="宋体" w:cs="宋体"/>
                <w:b/>
                <w:bCs/>
                <w:kern w:val="0"/>
                <w:sz w:val="24"/>
                <w:szCs w:val="24"/>
                <w:lang w:eastAsia="en-US"/>
              </w:rPr>
              <w:t>业务，根据年报披露，2025年该业务营收约1.8</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lang w:eastAsia="en-US"/>
              </w:rPr>
              <w:t>亿元，同比实现</w:t>
            </w:r>
            <w:r>
              <w:rPr>
                <w:rFonts w:hint="eastAsia" w:ascii="宋体" w:hAnsi="宋体" w:eastAsia="宋体" w:cs="宋体"/>
                <w:b/>
                <w:bCs/>
                <w:kern w:val="0"/>
                <w:sz w:val="24"/>
                <w:szCs w:val="24"/>
                <w:lang w:val="en-US" w:eastAsia="zh-CN"/>
              </w:rPr>
              <w:t>约1</w:t>
            </w:r>
            <w:r>
              <w:rPr>
                <w:rFonts w:hint="eastAsia" w:ascii="宋体" w:hAnsi="宋体" w:eastAsia="宋体" w:cs="宋体"/>
                <w:b/>
                <w:bCs/>
                <w:kern w:val="0"/>
                <w:sz w:val="24"/>
                <w:szCs w:val="24"/>
                <w:lang w:eastAsia="en-US"/>
              </w:rPr>
              <w:t>%的增长。</w:t>
            </w:r>
            <w:r>
              <w:rPr>
                <w:rFonts w:hint="eastAsia" w:ascii="宋体" w:hAnsi="宋体" w:eastAsia="宋体" w:cs="宋体"/>
                <w:b/>
                <w:bCs/>
                <w:kern w:val="0"/>
                <w:sz w:val="24"/>
                <w:szCs w:val="24"/>
                <w:lang w:eastAsia="zh-CN"/>
              </w:rPr>
              <w:t>第一，</w:t>
            </w:r>
            <w:r>
              <w:rPr>
                <w:rFonts w:hint="eastAsia" w:ascii="宋体" w:hAnsi="宋体" w:eastAsia="宋体" w:cs="宋体"/>
                <w:b/>
                <w:bCs/>
                <w:kern w:val="0"/>
                <w:sz w:val="24"/>
                <w:szCs w:val="24"/>
                <w:lang w:eastAsia="en-US"/>
              </w:rPr>
              <w:t>针对2026年及未来两年，公司对</w:t>
            </w:r>
            <w:r>
              <w:rPr>
                <w:rFonts w:hint="eastAsia" w:ascii="宋体" w:hAnsi="宋体" w:eastAsia="宋体" w:cs="宋体"/>
                <w:b/>
                <w:bCs/>
                <w:kern w:val="0"/>
                <w:sz w:val="24"/>
                <w:szCs w:val="24"/>
                <w:lang w:val="en-US" w:eastAsia="zh-CN"/>
              </w:rPr>
              <w:t>相关</w:t>
            </w:r>
            <w:r>
              <w:rPr>
                <w:rFonts w:hint="eastAsia" w:ascii="宋体" w:hAnsi="宋体" w:eastAsia="宋体" w:cs="宋体"/>
                <w:b/>
                <w:bCs/>
                <w:kern w:val="0"/>
                <w:sz w:val="24"/>
                <w:szCs w:val="24"/>
                <w:lang w:eastAsia="en-US"/>
              </w:rPr>
              <w:t>业务是否有相关经营</w:t>
            </w:r>
            <w:r>
              <w:rPr>
                <w:rFonts w:hint="eastAsia" w:ascii="宋体" w:hAnsi="宋体" w:eastAsia="宋体" w:cs="宋体"/>
                <w:b/>
                <w:bCs/>
                <w:kern w:val="0"/>
                <w:sz w:val="24"/>
                <w:szCs w:val="24"/>
                <w:lang w:val="en-US" w:eastAsia="zh-CN"/>
              </w:rPr>
              <w:t>规划</w:t>
            </w:r>
            <w:r>
              <w:rPr>
                <w:rFonts w:hint="eastAsia" w:ascii="宋体" w:hAnsi="宋体" w:eastAsia="宋体" w:cs="宋体"/>
                <w:b/>
                <w:bCs/>
                <w:kern w:val="0"/>
                <w:sz w:val="24"/>
                <w:szCs w:val="24"/>
                <w:lang w:eastAsia="en-US"/>
              </w:rPr>
              <w:t>？第二，</w:t>
            </w:r>
            <w:r>
              <w:rPr>
                <w:rFonts w:hint="eastAsia" w:ascii="宋体" w:hAnsi="宋体" w:eastAsia="宋体" w:cs="宋体"/>
                <w:b/>
                <w:bCs/>
                <w:kern w:val="0"/>
                <w:sz w:val="24"/>
                <w:szCs w:val="24"/>
                <w:lang w:val="en-US" w:eastAsia="zh-CN"/>
              </w:rPr>
              <w:t>选择性精密</w:t>
            </w:r>
            <w:r>
              <w:rPr>
                <w:rFonts w:hint="eastAsia" w:ascii="宋体" w:hAnsi="宋体" w:eastAsia="宋体" w:cs="宋体"/>
                <w:b/>
                <w:bCs/>
                <w:kern w:val="0"/>
                <w:sz w:val="24"/>
                <w:szCs w:val="24"/>
                <w:lang w:eastAsia="en-US"/>
              </w:rPr>
              <w:t>电镀</w:t>
            </w:r>
            <w:r>
              <w:rPr>
                <w:rFonts w:hint="eastAsia" w:ascii="宋体" w:hAnsi="宋体" w:eastAsia="宋体" w:cs="宋体"/>
                <w:b/>
                <w:bCs/>
                <w:kern w:val="0"/>
                <w:sz w:val="24"/>
                <w:szCs w:val="24"/>
                <w:lang w:val="en-US" w:eastAsia="zh-CN"/>
              </w:rPr>
              <w:t>加工</w:t>
            </w:r>
            <w:r>
              <w:rPr>
                <w:rFonts w:hint="eastAsia" w:ascii="宋体" w:hAnsi="宋体" w:eastAsia="宋体" w:cs="宋体"/>
                <w:b/>
                <w:bCs/>
                <w:kern w:val="0"/>
                <w:sz w:val="24"/>
                <w:szCs w:val="24"/>
                <w:lang w:eastAsia="en-US"/>
              </w:rPr>
              <w:t>业务的客户拓展方面，除现有客户外，是否有新增业务布局的规划？同时，公司对该业务的净利率有怎样的展望？</w:t>
            </w:r>
          </w:p>
          <w:p w14:paraId="4E7DF30E">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2025年，选择性精密电镀加工业务毛利率略有下滑，核心原因在于前期为新产</w:t>
            </w:r>
            <w:r>
              <w:rPr>
                <w:rFonts w:hint="eastAsia" w:ascii="宋体" w:hAnsi="宋体" w:eastAsia="宋体" w:cs="宋体"/>
                <w:kern w:val="0"/>
                <w:sz w:val="24"/>
                <w:szCs w:val="24"/>
                <w:lang w:val="en-US" w:eastAsia="zh-CN"/>
              </w:rPr>
              <w:t>品</w:t>
            </w:r>
            <w:r>
              <w:rPr>
                <w:rFonts w:hint="eastAsia" w:ascii="宋体" w:hAnsi="宋体" w:eastAsia="宋体" w:cs="宋体"/>
                <w:kern w:val="0"/>
                <w:sz w:val="24"/>
                <w:szCs w:val="24"/>
                <w:lang w:eastAsia="en-US"/>
              </w:rPr>
              <w:t>布局投入的专用设备完成转固，折旧摊销一定程度上拉低了当期毛利率；同时，当年部分新产品尚处于量产爬坡的前期阶段，规模效应尚未完全释放，也对短期毛利率造成了小幅影响。不过随着后续新产品逐步实现批量交付，规模效应将逐步显现，毛利率也将迎来修复</w:t>
            </w:r>
            <w:r>
              <w:rPr>
                <w:rFonts w:hint="eastAsia" w:ascii="宋体" w:hAnsi="宋体" w:eastAsia="宋体" w:cs="宋体"/>
                <w:kern w:val="0"/>
                <w:sz w:val="24"/>
                <w:szCs w:val="24"/>
                <w:lang w:eastAsia="zh-CN"/>
              </w:rPr>
              <w:t>。</w:t>
            </w:r>
          </w:p>
          <w:p w14:paraId="56123DFE">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从短期经营规划来看，</w:t>
            </w:r>
            <w:r>
              <w:rPr>
                <w:rFonts w:hint="eastAsia" w:ascii="宋体" w:hAnsi="宋体" w:eastAsia="宋体" w:cs="宋体"/>
                <w:kern w:val="0"/>
                <w:sz w:val="24"/>
                <w:szCs w:val="24"/>
                <w:lang w:eastAsia="en-US"/>
              </w:rPr>
              <w:t>我们当前仍</w:t>
            </w:r>
            <w:r>
              <w:rPr>
                <w:rFonts w:hint="eastAsia" w:ascii="宋体" w:hAnsi="宋体" w:eastAsia="宋体" w:cs="宋体"/>
                <w:kern w:val="0"/>
                <w:sz w:val="24"/>
                <w:szCs w:val="24"/>
                <w:lang w:val="en-US" w:eastAsia="zh-CN"/>
              </w:rPr>
              <w:t>将</w:t>
            </w:r>
            <w:r>
              <w:rPr>
                <w:rFonts w:hint="eastAsia" w:ascii="宋体" w:hAnsi="宋体" w:eastAsia="宋体" w:cs="宋体"/>
                <w:kern w:val="0"/>
                <w:sz w:val="24"/>
                <w:szCs w:val="24"/>
                <w:lang w:eastAsia="en-US"/>
              </w:rPr>
              <w:t>聚焦于现有两家核心客户。</w:t>
            </w:r>
            <w:r>
              <w:rPr>
                <w:rFonts w:hint="eastAsia" w:ascii="宋体" w:hAnsi="宋体" w:eastAsia="宋体" w:cs="宋体"/>
                <w:kern w:val="0"/>
                <w:sz w:val="24"/>
                <w:szCs w:val="24"/>
                <w:lang w:val="en-US" w:eastAsia="zh-CN"/>
              </w:rPr>
              <w:t>除了现有电喷系统相关产品，</w:t>
            </w:r>
            <w:r>
              <w:rPr>
                <w:rFonts w:hint="eastAsia" w:ascii="宋体" w:hAnsi="宋体" w:eastAsia="宋体" w:cs="宋体"/>
                <w:kern w:val="0"/>
                <w:sz w:val="24"/>
                <w:szCs w:val="24"/>
                <w:lang w:eastAsia="en-US"/>
              </w:rPr>
              <w:t>目前我们已与</w:t>
            </w:r>
            <w:r>
              <w:rPr>
                <w:rFonts w:hint="eastAsia" w:ascii="宋体" w:hAnsi="宋体" w:eastAsia="宋体" w:cs="宋体"/>
                <w:kern w:val="0"/>
                <w:sz w:val="24"/>
                <w:szCs w:val="24"/>
                <w:lang w:val="en-US" w:eastAsia="zh-CN"/>
              </w:rPr>
              <w:t>两家</w:t>
            </w:r>
            <w:r>
              <w:rPr>
                <w:rFonts w:hint="eastAsia" w:ascii="宋体" w:hAnsi="宋体" w:eastAsia="宋体" w:cs="宋体"/>
                <w:kern w:val="0"/>
                <w:sz w:val="24"/>
                <w:szCs w:val="24"/>
                <w:lang w:eastAsia="en-US"/>
              </w:rPr>
              <w:t>客户开展</w:t>
            </w:r>
            <w:r>
              <w:rPr>
                <w:rFonts w:hint="eastAsia" w:ascii="宋体" w:hAnsi="宋体" w:eastAsia="宋体" w:cs="宋体"/>
                <w:kern w:val="0"/>
                <w:sz w:val="24"/>
                <w:szCs w:val="24"/>
                <w:lang w:val="en-US" w:eastAsia="zh-CN"/>
              </w:rPr>
              <w:t>新业务的</w:t>
            </w:r>
            <w:r>
              <w:rPr>
                <w:rFonts w:hint="eastAsia" w:ascii="宋体" w:hAnsi="宋体" w:eastAsia="宋体" w:cs="宋体"/>
                <w:kern w:val="0"/>
                <w:sz w:val="24"/>
                <w:szCs w:val="24"/>
                <w:lang w:eastAsia="en-US"/>
              </w:rPr>
              <w:t>前期对接，完成</w:t>
            </w:r>
            <w:r>
              <w:rPr>
                <w:rFonts w:hint="eastAsia" w:ascii="宋体" w:hAnsi="宋体" w:eastAsia="宋体" w:cs="宋体"/>
                <w:kern w:val="0"/>
                <w:sz w:val="24"/>
                <w:szCs w:val="24"/>
                <w:lang w:val="en-US" w:eastAsia="zh-CN"/>
              </w:rPr>
              <w:t>阶段</w:t>
            </w:r>
            <w:r>
              <w:rPr>
                <w:rFonts w:hint="eastAsia" w:ascii="宋体" w:hAnsi="宋体" w:eastAsia="宋体" w:cs="宋体"/>
                <w:kern w:val="0"/>
                <w:sz w:val="24"/>
                <w:szCs w:val="24"/>
                <w:lang w:eastAsia="en-US"/>
              </w:rPr>
              <w:t>交样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其余客户目前仅处于意向接触阶段，尚未形成实质性进展，后续我们将随着自身产能与技术能力的进一步验证，逐步推进相关合作的落地。</w:t>
            </w:r>
          </w:p>
          <w:p w14:paraId="4031D72C">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关于未来两年</w:t>
            </w:r>
            <w:r>
              <w:rPr>
                <w:rFonts w:hint="eastAsia" w:ascii="宋体" w:hAnsi="宋体" w:eastAsia="宋体" w:cs="宋体"/>
                <w:kern w:val="0"/>
                <w:sz w:val="24"/>
                <w:szCs w:val="24"/>
                <w:lang w:val="en-US" w:eastAsia="zh-CN"/>
              </w:rPr>
              <w:t>的中长期布局</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公司将继续聚焦车用功率半导体组件相关业务的深度开发。一方面，依托成熟的工艺能力，助力客户实现核心配套环节的国产化替代，解决进口配套的“卡脖子”问题；另一方面，我们也将参与</w:t>
            </w:r>
            <w:r>
              <w:rPr>
                <w:rFonts w:hint="eastAsia" w:ascii="宋体" w:hAnsi="宋体" w:eastAsia="宋体" w:cs="宋体"/>
                <w:kern w:val="0"/>
                <w:sz w:val="24"/>
                <w:szCs w:val="24"/>
                <w:lang w:eastAsia="en-US"/>
              </w:rPr>
              <w:t>客户</w:t>
            </w:r>
            <w:r>
              <w:rPr>
                <w:rFonts w:hint="eastAsia" w:ascii="宋体" w:hAnsi="宋体" w:eastAsia="宋体" w:cs="宋体"/>
                <w:kern w:val="0"/>
                <w:sz w:val="24"/>
                <w:szCs w:val="24"/>
                <w:lang w:val="en-US" w:eastAsia="zh-CN"/>
              </w:rPr>
              <w:t>的全新</w:t>
            </w:r>
            <w:r>
              <w:rPr>
                <w:rFonts w:hint="eastAsia" w:ascii="宋体" w:hAnsi="宋体" w:eastAsia="宋体" w:cs="宋体"/>
                <w:kern w:val="0"/>
                <w:sz w:val="24"/>
                <w:szCs w:val="24"/>
                <w:lang w:eastAsia="en-US"/>
              </w:rPr>
              <w:t>产品</w:t>
            </w:r>
            <w:r>
              <w:rPr>
                <w:rFonts w:hint="eastAsia" w:ascii="宋体" w:hAnsi="宋体" w:eastAsia="宋体" w:cs="宋体"/>
                <w:kern w:val="0"/>
                <w:sz w:val="24"/>
                <w:szCs w:val="24"/>
                <w:lang w:val="en-US" w:eastAsia="zh-CN"/>
              </w:rPr>
              <w:t>开发，同步研发适配更高功率车用半导体组件的下一代电镀工艺，助力客户的产品升级。我们将以逐步完善的产品线作为该</w:t>
            </w:r>
            <w:r>
              <w:rPr>
                <w:rFonts w:hint="eastAsia" w:ascii="宋体" w:hAnsi="宋体" w:eastAsia="宋体" w:cs="宋体"/>
                <w:kern w:val="0"/>
                <w:sz w:val="24"/>
                <w:szCs w:val="24"/>
                <w:lang w:eastAsia="en-US"/>
              </w:rPr>
              <w:t>业务</w:t>
            </w:r>
            <w:r>
              <w:rPr>
                <w:rFonts w:hint="eastAsia" w:ascii="宋体" w:hAnsi="宋体" w:eastAsia="宋体" w:cs="宋体"/>
                <w:kern w:val="0"/>
                <w:sz w:val="24"/>
                <w:szCs w:val="24"/>
                <w:lang w:val="en-US" w:eastAsia="zh-CN"/>
              </w:rPr>
              <w:t>的重要抓手，持续挖掘业务增量，推动该业务实现长期稳健的增长</w:t>
            </w:r>
            <w:r>
              <w:rPr>
                <w:rFonts w:hint="eastAsia" w:ascii="宋体" w:hAnsi="宋体" w:eastAsia="宋体" w:cs="宋体"/>
                <w:kern w:val="0"/>
                <w:sz w:val="24"/>
                <w:szCs w:val="24"/>
                <w:lang w:eastAsia="en-US"/>
              </w:rPr>
              <w:t>。</w:t>
            </w:r>
          </w:p>
          <w:p w14:paraId="4BCE8DBE">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1D507725">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关于</w:t>
            </w:r>
            <w:r>
              <w:rPr>
                <w:rFonts w:hint="eastAsia" w:ascii="宋体" w:hAnsi="宋体" w:eastAsia="宋体" w:cs="宋体"/>
                <w:b/>
                <w:bCs/>
                <w:kern w:val="0"/>
                <w:sz w:val="24"/>
                <w:szCs w:val="24"/>
                <w:lang w:eastAsia="en-US"/>
              </w:rPr>
              <w:t>公司主营业务相关的两个问题：第一，2026年公司针对上汽、小米、特斯拉、理想这几家核心客户，收入端的增长</w:t>
            </w:r>
            <w:r>
              <w:rPr>
                <w:rFonts w:hint="eastAsia" w:ascii="宋体" w:hAnsi="宋体" w:eastAsia="宋体" w:cs="宋体"/>
                <w:b/>
                <w:bCs/>
                <w:kern w:val="0"/>
                <w:sz w:val="24"/>
                <w:szCs w:val="24"/>
                <w:lang w:val="en-US" w:eastAsia="zh-CN"/>
              </w:rPr>
              <w:t>有什么样的展望</w:t>
            </w:r>
            <w:r>
              <w:rPr>
                <w:rFonts w:hint="eastAsia" w:ascii="宋体" w:hAnsi="宋体" w:eastAsia="宋体" w:cs="宋体"/>
                <w:b/>
                <w:bCs/>
                <w:kern w:val="0"/>
                <w:sz w:val="24"/>
                <w:szCs w:val="24"/>
                <w:lang w:eastAsia="en-US"/>
              </w:rPr>
              <w:t>？第二，作为公司核心增量客户，小米今年新车型的投产节奏，以及相关的业务量规划是怎样的？</w:t>
            </w:r>
          </w:p>
          <w:p w14:paraId="41BDDF9E">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上汽集团是公司长期深度绑定的核心战略客户，公司为其配套了多款主力车型的核心零部件，覆盖了其燃油车与新能源车型的核心产品矩阵。</w:t>
            </w:r>
            <w:r>
              <w:rPr>
                <w:rFonts w:hint="eastAsia" w:ascii="宋体" w:hAnsi="宋体" w:eastAsia="宋体" w:cs="宋体"/>
                <w:kern w:val="0"/>
                <w:sz w:val="24"/>
                <w:szCs w:val="24"/>
                <w:lang w:val="en-US" w:eastAsia="zh-CN"/>
              </w:rPr>
              <w:t>根据</w:t>
            </w:r>
            <w:r>
              <w:rPr>
                <w:rFonts w:hint="eastAsia" w:ascii="宋体" w:hAnsi="宋体" w:eastAsia="宋体" w:cs="宋体"/>
                <w:kern w:val="0"/>
                <w:sz w:val="24"/>
                <w:szCs w:val="24"/>
                <w:lang w:eastAsia="en-US"/>
              </w:rPr>
              <w:t>上汽</w:t>
            </w:r>
            <w:r>
              <w:rPr>
                <w:rFonts w:hint="eastAsia" w:ascii="宋体" w:hAnsi="宋体" w:eastAsia="宋体" w:cs="宋体"/>
                <w:kern w:val="0"/>
                <w:sz w:val="24"/>
                <w:szCs w:val="24"/>
                <w:lang w:val="en-US" w:eastAsia="zh-CN"/>
              </w:rPr>
              <w:t>集团发布的《2026年度估值提升计划》，2026年度集团力争实现全年整车销量500万辆，其中自主品牌乘用车将作为销量增长的核心引擎。从一季度的配套交付数据来看，相关业务的复苏态势已经初步显现，我们判断，随着客户经营质量与效益水平的持续提升，公司配套的相关业务也将迎来较为可观的增长。</w:t>
            </w:r>
          </w:p>
          <w:p w14:paraId="0E8234B7">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bookmarkStart w:id="0" w:name="_GoBack"/>
            <w:r>
              <w:rPr>
                <w:rFonts w:hint="eastAsia" w:ascii="宋体" w:hAnsi="宋体" w:eastAsia="宋体" w:cs="宋体"/>
                <w:kern w:val="0"/>
                <w:sz w:val="24"/>
                <w:szCs w:val="24"/>
                <w:lang w:eastAsia="en-US"/>
              </w:rPr>
              <w:t>公司作为</w:t>
            </w:r>
            <w:r>
              <w:rPr>
                <w:rFonts w:hint="eastAsia" w:ascii="宋体" w:hAnsi="宋体" w:eastAsia="宋体" w:cs="宋体"/>
                <w:kern w:val="0"/>
                <w:sz w:val="24"/>
                <w:szCs w:val="24"/>
                <w:lang w:val="en-US" w:eastAsia="zh-CN"/>
              </w:rPr>
              <w:t>新能源汽车企业的</w:t>
            </w:r>
            <w:r>
              <w:rPr>
                <w:rFonts w:hint="eastAsia" w:ascii="宋体" w:hAnsi="宋体" w:eastAsia="宋体" w:cs="宋体"/>
                <w:kern w:val="0"/>
                <w:sz w:val="24"/>
                <w:szCs w:val="24"/>
                <w:lang w:eastAsia="en-US"/>
              </w:rPr>
              <w:t>核心零部件供应商，相关业务的推进均严格按照客户的项目节奏有序开展。由于相关信息涉及客户的保密要求，还请各位投资者以客户对外公开的信息，以及公司后续的</w:t>
            </w:r>
            <w:r>
              <w:rPr>
                <w:rFonts w:hint="eastAsia" w:ascii="宋体" w:hAnsi="宋体" w:eastAsia="宋体" w:cs="宋体"/>
                <w:kern w:val="0"/>
                <w:sz w:val="24"/>
                <w:szCs w:val="24"/>
                <w:lang w:val="en-US" w:eastAsia="zh-CN"/>
              </w:rPr>
              <w:t>公告</w:t>
            </w:r>
            <w:r>
              <w:rPr>
                <w:rFonts w:hint="eastAsia" w:ascii="宋体" w:hAnsi="宋体" w:eastAsia="宋体" w:cs="宋体"/>
                <w:kern w:val="0"/>
                <w:sz w:val="24"/>
                <w:szCs w:val="24"/>
                <w:lang w:eastAsia="en-US"/>
              </w:rPr>
              <w:t>为准，我们也将严格按照监管要求，及时披露相关的业务进展情况。</w:t>
            </w:r>
            <w:bookmarkEnd w:id="0"/>
          </w:p>
          <w:p w14:paraId="59AA8CD9">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06FDB9AF">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问题3</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关于郑州振华三期的建设，新工厂的具体进展如何，后续的具体用途是怎样的？谢谢匡总。</w:t>
            </w:r>
          </w:p>
          <w:p w14:paraId="2D5942AF">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郑州工厂是公司服务中原及华北区域核心客户的重要区域性生产基地，近年来随着区域内新能源汽车产业的快速发展，工厂的配套业务量持续提升，当前工厂的产能利用率已接近满负荷状态，现有生产场地已经无法满足后续新增订单的产能布局需求。同时，随着新业务的逐步拓展，工厂的物流周转、原料及成品仓储的配套场地缺口也逐步显现，现有布局已经无法支撑后续业务的高效运转。因此</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我们规划推进三期项目的建设。</w:t>
            </w:r>
          </w:p>
          <w:p w14:paraId="7971CBCF">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10F64953">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问题4</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请问本次收购的主要原因是什么？</w:t>
            </w:r>
          </w:p>
          <w:p w14:paraId="0C0C2680">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目</w:t>
            </w:r>
            <w:r>
              <w:rPr>
                <w:rFonts w:hint="eastAsia" w:ascii="宋体" w:hAnsi="宋体" w:eastAsia="宋体" w:cs="宋体"/>
                <w:kern w:val="0"/>
                <w:sz w:val="24"/>
                <w:szCs w:val="24"/>
                <w:lang w:eastAsia="en-US"/>
              </w:rPr>
              <w:t>前汽车产业正加速向智能化、电动化深度转型，车载高速信号传输产品是智能座舱、车载感知系统、车联网等智能化功能的核心配套部件。随着车载屏幕、传感器的数量不断提升，以及车载数据传输速率的持续升级，这类产品的市场需求正处于快速增长阶段，行业长期成长空间广阔。</w:t>
            </w:r>
          </w:p>
          <w:p w14:paraId="5A30D244">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基于此，我们希望通过本次收购，</w:t>
            </w:r>
            <w:r>
              <w:rPr>
                <w:rFonts w:hint="eastAsia" w:ascii="宋体" w:hAnsi="宋体" w:eastAsia="宋体" w:cs="宋体"/>
                <w:kern w:val="0"/>
                <w:sz w:val="24"/>
                <w:szCs w:val="24"/>
                <w:lang w:val="en-US" w:eastAsia="zh-CN"/>
              </w:rPr>
              <w:t>一方面，</w:t>
            </w:r>
            <w:r>
              <w:rPr>
                <w:rFonts w:hint="eastAsia" w:ascii="宋体" w:hAnsi="宋体" w:eastAsia="宋体" w:cs="宋体"/>
                <w:kern w:val="0"/>
                <w:sz w:val="24"/>
                <w:szCs w:val="24"/>
                <w:lang w:eastAsia="en-US"/>
              </w:rPr>
              <w:t>为标的公司导入我们的现有客户资源，帮助其快速拓展业务规模；另一方面，也能够丰富我们自身的产品矩阵，为现有客户提供更多元化的配套产品，进一步提升</w:t>
            </w:r>
            <w:r>
              <w:rPr>
                <w:rFonts w:hint="eastAsia" w:ascii="宋体" w:hAnsi="宋体" w:eastAsia="宋体" w:cs="宋体"/>
                <w:kern w:val="0"/>
                <w:sz w:val="24"/>
                <w:szCs w:val="24"/>
                <w:lang w:eastAsia="zh-CN"/>
              </w:rPr>
              <w:t>客户黏性</w:t>
            </w:r>
            <w:r>
              <w:rPr>
                <w:rFonts w:hint="eastAsia" w:ascii="宋体" w:hAnsi="宋体" w:eastAsia="宋体" w:cs="宋体"/>
                <w:kern w:val="0"/>
                <w:sz w:val="24"/>
                <w:szCs w:val="24"/>
                <w:lang w:eastAsia="en-US"/>
              </w:rPr>
              <w:t>，帮助公司打造全新的增长曲线</w:t>
            </w:r>
            <w:r>
              <w:rPr>
                <w:rFonts w:hint="eastAsia" w:ascii="宋体" w:hAnsi="宋体" w:eastAsia="宋体" w:cs="宋体"/>
                <w:kern w:val="0"/>
                <w:sz w:val="24"/>
                <w:szCs w:val="24"/>
                <w:lang w:eastAsia="zh-CN"/>
              </w:rPr>
              <w:t>。</w:t>
            </w:r>
          </w:p>
          <w:p w14:paraId="0E40920F">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val="en-US" w:eastAsia="en-US"/>
              </w:rPr>
            </w:pPr>
            <w:r>
              <w:rPr>
                <w:rFonts w:hint="eastAsia" w:ascii="宋体" w:hAnsi="宋体" w:eastAsia="宋体" w:cs="宋体"/>
                <w:kern w:val="0"/>
                <w:sz w:val="24"/>
                <w:szCs w:val="24"/>
                <w:lang w:eastAsia="en-US"/>
              </w:rPr>
              <w:t>目前我们已与标的方开展意向性对接，相关尽调工作正在推进中，具体情况我们将在</w:t>
            </w:r>
            <w:r>
              <w:rPr>
                <w:rFonts w:hint="eastAsia" w:ascii="宋体" w:hAnsi="宋体" w:eastAsia="宋体" w:cs="宋体"/>
                <w:kern w:val="0"/>
                <w:sz w:val="24"/>
                <w:szCs w:val="24"/>
                <w:lang w:val="en-US" w:eastAsia="zh-CN"/>
              </w:rPr>
              <w:t>后续根据要求及时公告。</w:t>
            </w:r>
          </w:p>
          <w:p w14:paraId="3AD4C8C8">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1BE79F11">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问题5</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想请问目前原材料价格波动对公司的影响是怎样的？</w:t>
            </w:r>
          </w:p>
          <w:p w14:paraId="7B76F391">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首先，公司的</w:t>
            </w:r>
            <w:r>
              <w:rPr>
                <w:rFonts w:hint="eastAsia" w:ascii="宋体" w:hAnsi="宋体" w:eastAsia="宋体" w:cs="宋体"/>
                <w:kern w:val="0"/>
                <w:sz w:val="24"/>
                <w:szCs w:val="24"/>
                <w:lang w:val="en-US" w:eastAsia="zh-CN"/>
              </w:rPr>
              <w:t>分拼总成</w:t>
            </w:r>
            <w:r>
              <w:rPr>
                <w:rFonts w:hint="eastAsia" w:ascii="宋体" w:hAnsi="宋体" w:eastAsia="宋体" w:cs="宋体"/>
                <w:kern w:val="0"/>
                <w:sz w:val="24"/>
                <w:szCs w:val="24"/>
                <w:lang w:eastAsia="en-US"/>
              </w:rPr>
              <w:t>加工业务与选择性精密电镀加工业务，原材料价格波动不会对这两项</w:t>
            </w:r>
            <w:r>
              <w:rPr>
                <w:rFonts w:hint="eastAsia" w:ascii="宋体" w:hAnsi="宋体" w:eastAsia="宋体" w:cs="宋体"/>
                <w:kern w:val="0"/>
                <w:sz w:val="24"/>
                <w:szCs w:val="24"/>
                <w:lang w:val="en-US" w:eastAsia="zh-CN"/>
              </w:rPr>
              <w:t>加工</w:t>
            </w:r>
            <w:r>
              <w:rPr>
                <w:rFonts w:hint="eastAsia" w:ascii="宋体" w:hAnsi="宋体" w:eastAsia="宋体" w:cs="宋体"/>
                <w:kern w:val="0"/>
                <w:sz w:val="24"/>
                <w:szCs w:val="24"/>
                <w:lang w:eastAsia="en-US"/>
              </w:rPr>
              <w:t>业务产生影响。</w:t>
            </w:r>
          </w:p>
          <w:p w14:paraId="6F08BAC6">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其次，</w:t>
            </w:r>
            <w:r>
              <w:rPr>
                <w:rFonts w:hint="eastAsia" w:ascii="宋体" w:hAnsi="宋体" w:eastAsia="宋体" w:cs="宋体"/>
                <w:kern w:val="0"/>
                <w:sz w:val="24"/>
                <w:szCs w:val="24"/>
                <w:lang w:val="en-US" w:eastAsia="zh-CN"/>
              </w:rPr>
              <w:t>冲压</w:t>
            </w:r>
            <w:r>
              <w:rPr>
                <w:rFonts w:hint="eastAsia" w:ascii="宋体" w:hAnsi="宋体" w:eastAsia="宋体" w:cs="宋体"/>
                <w:kern w:val="0"/>
                <w:sz w:val="24"/>
                <w:szCs w:val="24"/>
                <w:lang w:eastAsia="en-US"/>
              </w:rPr>
              <w:t>零部件业务方面，新势力客户定价与原材料价格联动，因此原材料波动也不会对这部分业务造成影响。而传统车企客户，</w:t>
            </w:r>
            <w:r>
              <w:rPr>
                <w:rFonts w:hint="eastAsia" w:ascii="宋体" w:hAnsi="宋体" w:eastAsia="宋体" w:cs="宋体"/>
                <w:kern w:val="0"/>
                <w:sz w:val="24"/>
                <w:szCs w:val="24"/>
                <w:lang w:val="en-US" w:eastAsia="zh-CN"/>
              </w:rPr>
              <w:t>虽然</w:t>
            </w:r>
            <w:r>
              <w:rPr>
                <w:rFonts w:hint="eastAsia" w:ascii="宋体" w:hAnsi="宋体" w:eastAsia="宋体" w:cs="宋体"/>
                <w:kern w:val="0"/>
                <w:sz w:val="24"/>
                <w:szCs w:val="24"/>
                <w:lang w:eastAsia="en-US"/>
              </w:rPr>
              <w:t>相关定价暂未实现与原材料的联动，但</w:t>
            </w:r>
            <w:r>
              <w:rPr>
                <w:rFonts w:hint="eastAsia" w:ascii="宋体" w:hAnsi="宋体" w:eastAsia="宋体" w:cs="宋体"/>
                <w:kern w:val="0"/>
                <w:sz w:val="24"/>
                <w:szCs w:val="24"/>
                <w:lang w:val="en-US" w:eastAsia="zh-CN"/>
              </w:rPr>
              <w:t>随着</w:t>
            </w:r>
            <w:r>
              <w:rPr>
                <w:rFonts w:hint="eastAsia" w:ascii="宋体" w:hAnsi="宋体" w:eastAsia="宋体" w:cs="宋体"/>
                <w:kern w:val="0"/>
                <w:sz w:val="24"/>
                <w:szCs w:val="24"/>
                <w:lang w:eastAsia="en-US"/>
              </w:rPr>
              <w:t>近</w:t>
            </w:r>
            <w:r>
              <w:rPr>
                <w:rFonts w:hint="eastAsia" w:ascii="宋体" w:hAnsi="宋体" w:eastAsia="宋体" w:cs="宋体"/>
                <w:kern w:val="0"/>
                <w:sz w:val="24"/>
                <w:szCs w:val="24"/>
                <w:lang w:eastAsia="zh-CN"/>
              </w:rPr>
              <w:t>年来</w:t>
            </w:r>
            <w:r>
              <w:rPr>
                <w:rFonts w:hint="eastAsia" w:ascii="宋体" w:hAnsi="宋体" w:eastAsia="宋体" w:cs="宋体"/>
                <w:kern w:val="0"/>
                <w:sz w:val="24"/>
                <w:szCs w:val="24"/>
                <w:lang w:val="en-US" w:eastAsia="zh-CN"/>
              </w:rPr>
              <w:t>公司客户结构的调整</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造成的影响将逐年降低</w:t>
            </w:r>
            <w:r>
              <w:rPr>
                <w:rFonts w:hint="eastAsia" w:ascii="宋体" w:hAnsi="宋体" w:eastAsia="宋体" w:cs="宋体"/>
                <w:kern w:val="0"/>
                <w:sz w:val="24"/>
                <w:szCs w:val="24"/>
                <w:lang w:eastAsia="en-US"/>
              </w:rPr>
              <w:t>。</w:t>
            </w:r>
          </w:p>
          <w:p w14:paraId="62E69007">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58B7B9FD">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问题6</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请问公司的年降情况如何？</w:t>
            </w:r>
          </w:p>
          <w:p w14:paraId="49EB3AAD">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在汽车零部件行业，协议约定年降是行业通用的成熟合作模式，目前公司90%以上的业务，均采用协议约定的年降模式，即在项目立项</w:t>
            </w:r>
            <w:r>
              <w:rPr>
                <w:rFonts w:hint="eastAsia" w:ascii="宋体" w:hAnsi="宋体" w:eastAsia="宋体" w:cs="宋体"/>
                <w:kern w:val="0"/>
                <w:sz w:val="24"/>
                <w:szCs w:val="24"/>
                <w:lang w:val="en-US" w:eastAsia="zh-CN"/>
              </w:rPr>
              <w:t>之初</w:t>
            </w:r>
            <w:r>
              <w:rPr>
                <w:rFonts w:hint="eastAsia" w:ascii="宋体" w:hAnsi="宋体" w:eastAsia="宋体" w:cs="宋体"/>
                <w:kern w:val="0"/>
                <w:sz w:val="24"/>
                <w:szCs w:val="24"/>
                <w:lang w:eastAsia="en-US"/>
              </w:rPr>
              <w:t>，便在协议中明确约定年降</w:t>
            </w:r>
            <w:r>
              <w:rPr>
                <w:rFonts w:hint="eastAsia" w:ascii="宋体" w:hAnsi="宋体" w:eastAsia="宋体" w:cs="宋体"/>
                <w:kern w:val="0"/>
                <w:sz w:val="24"/>
                <w:szCs w:val="24"/>
                <w:lang w:val="en-US" w:eastAsia="zh-CN"/>
              </w:rPr>
              <w:t>年限和</w:t>
            </w:r>
            <w:r>
              <w:rPr>
                <w:rFonts w:hint="eastAsia" w:ascii="宋体" w:hAnsi="宋体" w:eastAsia="宋体" w:cs="宋体"/>
                <w:kern w:val="0"/>
                <w:sz w:val="24"/>
                <w:szCs w:val="24"/>
                <w:lang w:eastAsia="en-US"/>
              </w:rPr>
              <w:t>幅度。从2025年</w:t>
            </w:r>
            <w:r>
              <w:rPr>
                <w:rFonts w:hint="eastAsia" w:ascii="宋体" w:hAnsi="宋体" w:eastAsia="宋体" w:cs="宋体"/>
                <w:kern w:val="0"/>
                <w:sz w:val="24"/>
                <w:szCs w:val="24"/>
                <w:lang w:val="en-US" w:eastAsia="zh-CN"/>
              </w:rPr>
              <w:t>的实际情况</w:t>
            </w:r>
            <w:r>
              <w:rPr>
                <w:rFonts w:hint="eastAsia" w:ascii="宋体" w:hAnsi="宋体" w:eastAsia="宋体" w:cs="宋体"/>
                <w:kern w:val="0"/>
                <w:sz w:val="24"/>
                <w:szCs w:val="24"/>
                <w:lang w:eastAsia="en-US"/>
              </w:rPr>
              <w:t>来看，部分客户受行业竞争的影响，提出了协议外的额外年降诉求，但这类诉求的覆盖范围非常有限</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同时，公司也在与客户进行充分的协商，并且通过持续优化生产流程、提升自动化水平、推进降本增效等方式，来消化相关的压力。整体来看，这类额外年降对公司的整体盈利影响非常小，几乎可以忽略不计，公司的盈利稳定性能够得到有效保障。</w:t>
            </w:r>
          </w:p>
          <w:p w14:paraId="48414626">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kern w:val="0"/>
                <w:sz w:val="24"/>
                <w:szCs w:val="24"/>
                <w:lang w:eastAsia="en-US"/>
              </w:rPr>
            </w:pPr>
          </w:p>
          <w:p w14:paraId="49841D04">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left"/>
              <w:textAlignment w:val="auto"/>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问题7</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请教一下去年公司资产减值规模有所提升的原因是什么？</w:t>
            </w:r>
          </w:p>
          <w:p w14:paraId="13BD7DFD">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本期资产减值损失3011万元，上期1126万元，本期损失包含：计提存货跌价损失1148万元，计提固定资产减值损失1375万元，计提在建工程减值损失488万元；上期计提存货跌价损失1126万元。本期资产减值有所增加的主要原因为本期计提了未量产及大幅减产的车型对应的机器设备资产减值所致。具体来看，部分车型受行业</w:t>
            </w:r>
            <w:r>
              <w:rPr>
                <w:rFonts w:hint="eastAsia" w:ascii="宋体" w:hAnsi="宋体" w:eastAsia="宋体" w:cs="宋体"/>
                <w:kern w:val="0"/>
                <w:sz w:val="24"/>
                <w:szCs w:val="24"/>
                <w:lang w:val="en-US" w:eastAsia="zh-CN"/>
              </w:rPr>
              <w:t>或国际环境</w:t>
            </w:r>
            <w:r>
              <w:rPr>
                <w:rFonts w:hint="eastAsia" w:ascii="宋体" w:hAnsi="宋体" w:eastAsia="宋体" w:cs="宋体"/>
                <w:kern w:val="0"/>
                <w:sz w:val="24"/>
                <w:szCs w:val="24"/>
                <w:lang w:eastAsia="en-US"/>
              </w:rPr>
              <w:t>影响，客户调整了整体的产品规划，相关车型未按</w:t>
            </w:r>
            <w:r>
              <w:rPr>
                <w:rFonts w:hint="eastAsia" w:ascii="宋体" w:hAnsi="宋体" w:eastAsia="宋体" w:cs="宋体"/>
                <w:kern w:val="0"/>
                <w:sz w:val="24"/>
                <w:szCs w:val="24"/>
                <w:lang w:val="en-US" w:eastAsia="zh-CN"/>
              </w:rPr>
              <w:t>产量计划实施</w:t>
            </w:r>
            <w:r>
              <w:rPr>
                <w:rFonts w:hint="eastAsia" w:ascii="宋体" w:hAnsi="宋体" w:eastAsia="宋体" w:cs="宋体"/>
                <w:kern w:val="0"/>
                <w:sz w:val="24"/>
                <w:szCs w:val="24"/>
                <w:lang w:eastAsia="en-US"/>
              </w:rPr>
              <w:t>，出现了大幅减产的情况，导致公司为该类项目配套的专用生产设备，无法实现预期的收益。因此，我们按照会计准则的要求，对相关的资产进行了减值测试，并计提了对应的减值准备</w:t>
            </w:r>
            <w:r>
              <w:rPr>
                <w:rFonts w:hint="eastAsia" w:ascii="宋体" w:hAnsi="宋体" w:eastAsia="宋体" w:cs="宋体"/>
                <w:kern w:val="0"/>
                <w:sz w:val="24"/>
                <w:szCs w:val="24"/>
                <w:lang w:eastAsia="zh-CN"/>
              </w:rPr>
              <w:t>。</w:t>
            </w:r>
          </w:p>
          <w:p w14:paraId="75801B98">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cs="宋体"/>
                <w:kern w:val="0"/>
                <w:sz w:val="24"/>
                <w:szCs w:val="24"/>
                <w:lang w:eastAsia="en-US"/>
              </w:rPr>
              <w:t>该部分减值属于一次性的计提，不会对公司后续的正常经营产生持续性的影响，同时也充分体现了公司财务处理的谨慎性原则，能够帮助公司夯实资产质量，为后续的轻装上阵奠定基础。</w:t>
            </w:r>
          </w:p>
        </w:tc>
      </w:tr>
      <w:tr w14:paraId="3791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E6E697C">
            <w:pPr>
              <w:spacing w:before="156" w:beforeLines="50" w:after="156" w:afterLines="50" w:line="360" w:lineRule="auto"/>
              <w:jc w:val="center"/>
              <w:rPr>
                <w:rFonts w:ascii="宋体" w:hAnsi="宋体" w:eastAsia="宋体"/>
                <w:sz w:val="24"/>
              </w:rPr>
            </w:pPr>
            <w:r>
              <w:rPr>
                <w:rFonts w:hint="eastAsia" w:ascii="宋体" w:hAnsi="宋体" w:eastAsia="宋体"/>
                <w:color w:val="333333"/>
                <w:sz w:val="24"/>
                <w:szCs w:val="21"/>
                <w:shd w:val="clear" w:color="auto" w:fill="FFFFFF"/>
              </w:rPr>
              <w:t>附件清单（如有）</w:t>
            </w:r>
          </w:p>
        </w:tc>
        <w:tc>
          <w:tcPr>
            <w:tcW w:w="11770" w:type="dxa"/>
            <w:vAlign w:val="center"/>
          </w:tcPr>
          <w:p w14:paraId="73DA9B2E">
            <w:pPr>
              <w:spacing w:before="156" w:beforeLines="50" w:after="156" w:afterLines="50" w:line="360" w:lineRule="auto"/>
              <w:rPr>
                <w:rFonts w:ascii="宋体" w:hAnsi="宋体" w:eastAsia="宋体"/>
                <w:sz w:val="24"/>
              </w:rPr>
            </w:pPr>
          </w:p>
        </w:tc>
      </w:tr>
    </w:tbl>
    <w:p w14:paraId="27D07313">
      <w:pPr>
        <w:rPr>
          <w:rFonts w:ascii="宋体" w:hAnsi="宋体" w:eastAsia="宋体"/>
        </w:rPr>
      </w:pPr>
    </w:p>
    <w:sectPr>
      <w:headerReference r:id="rId3" w:type="default"/>
      <w:pgSz w:w="11906" w:h="16838"/>
      <w:pgMar w:top="1440" w:right="1800" w:bottom="1440" w:left="1800"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28A6">
    <w:pPr>
      <w:pBdr>
        <w:bottom w:val="single" w:color="auto" w:sz="4" w:space="1"/>
      </w:pBdr>
    </w:pPr>
    <w:r>
      <w:drawing>
        <wp:anchor distT="0" distB="0" distL="114300" distR="114300" simplePos="0" relativeHeight="251659264" behindDoc="0" locked="0" layoutInCell="1" allowOverlap="1">
          <wp:simplePos x="0" y="0"/>
          <wp:positionH relativeFrom="column">
            <wp:posOffset>0</wp:posOffset>
          </wp:positionH>
          <wp:positionV relativeFrom="paragraph">
            <wp:posOffset>-521970</wp:posOffset>
          </wp:positionV>
          <wp:extent cx="1919605" cy="875030"/>
          <wp:effectExtent l="0" t="0" r="0" b="0"/>
          <wp:wrapNone/>
          <wp:docPr id="1" name="图片 1" descr="8fd993626a1c955a0c79e07e754a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d993626a1c955a0c79e07e754af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19605" cy="8750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13"/>
    <w:rsid w:val="000273CA"/>
    <w:rsid w:val="000336DE"/>
    <w:rsid w:val="00047747"/>
    <w:rsid w:val="000903A9"/>
    <w:rsid w:val="000C1DA3"/>
    <w:rsid w:val="000C6940"/>
    <w:rsid w:val="000E45E3"/>
    <w:rsid w:val="00134A3F"/>
    <w:rsid w:val="00154AA6"/>
    <w:rsid w:val="00156D4A"/>
    <w:rsid w:val="00167410"/>
    <w:rsid w:val="00171F0E"/>
    <w:rsid w:val="00183B0A"/>
    <w:rsid w:val="00186666"/>
    <w:rsid w:val="0019458A"/>
    <w:rsid w:val="0021206D"/>
    <w:rsid w:val="00223104"/>
    <w:rsid w:val="00230864"/>
    <w:rsid w:val="002F28F7"/>
    <w:rsid w:val="002F3FF0"/>
    <w:rsid w:val="00315152"/>
    <w:rsid w:val="00366ABF"/>
    <w:rsid w:val="003B77E3"/>
    <w:rsid w:val="00407335"/>
    <w:rsid w:val="004173D8"/>
    <w:rsid w:val="0042604A"/>
    <w:rsid w:val="0042742C"/>
    <w:rsid w:val="00446E24"/>
    <w:rsid w:val="00457EFC"/>
    <w:rsid w:val="004A6D2F"/>
    <w:rsid w:val="004A74DE"/>
    <w:rsid w:val="004B26BF"/>
    <w:rsid w:val="004C4132"/>
    <w:rsid w:val="004E1980"/>
    <w:rsid w:val="00501EE5"/>
    <w:rsid w:val="00537F4E"/>
    <w:rsid w:val="0054491A"/>
    <w:rsid w:val="00596737"/>
    <w:rsid w:val="005E04FB"/>
    <w:rsid w:val="005E4DEA"/>
    <w:rsid w:val="00602ED9"/>
    <w:rsid w:val="006346D6"/>
    <w:rsid w:val="0065612F"/>
    <w:rsid w:val="006F3C51"/>
    <w:rsid w:val="00714450"/>
    <w:rsid w:val="0075293E"/>
    <w:rsid w:val="007F44B3"/>
    <w:rsid w:val="00801E22"/>
    <w:rsid w:val="00814313"/>
    <w:rsid w:val="00830131"/>
    <w:rsid w:val="0084615A"/>
    <w:rsid w:val="00875F2D"/>
    <w:rsid w:val="008A603D"/>
    <w:rsid w:val="00972391"/>
    <w:rsid w:val="009A7FBF"/>
    <w:rsid w:val="00A94248"/>
    <w:rsid w:val="00AA5968"/>
    <w:rsid w:val="00AF2BC8"/>
    <w:rsid w:val="00B14E40"/>
    <w:rsid w:val="00B31305"/>
    <w:rsid w:val="00B96124"/>
    <w:rsid w:val="00C43E67"/>
    <w:rsid w:val="00CB1FC0"/>
    <w:rsid w:val="00CE2D90"/>
    <w:rsid w:val="00CF364A"/>
    <w:rsid w:val="00D7362F"/>
    <w:rsid w:val="00DB0729"/>
    <w:rsid w:val="00DC4660"/>
    <w:rsid w:val="00E02BEC"/>
    <w:rsid w:val="00E03891"/>
    <w:rsid w:val="00E76295"/>
    <w:rsid w:val="00E94ED3"/>
    <w:rsid w:val="00F664A0"/>
    <w:rsid w:val="00F722B0"/>
    <w:rsid w:val="00FA5EA5"/>
    <w:rsid w:val="02D16805"/>
    <w:rsid w:val="256D30C5"/>
    <w:rsid w:val="2A381D24"/>
    <w:rsid w:val="61FC4D7A"/>
    <w:rsid w:val="6E1A5FEC"/>
    <w:rsid w:val="6E51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2677</Words>
  <Characters>2739</Characters>
  <Lines>10</Lines>
  <Paragraphs>2</Paragraphs>
  <TotalTime>3</TotalTime>
  <ScaleCrop>false</ScaleCrop>
  <LinksUpToDate>false</LinksUpToDate>
  <CharactersWithSpaces>2797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2023-02-17T00:44:00Z</dcterms:created>
  <dc:creator>秦宇蒙</dc:creator>
  <cp:lastModifiedBy>Roll</cp:lastModifiedBy>
  <cp:lastPrinted>2025-03-19T06:08:00Z</cp:lastPrinted>
  <dcterms:modified xsi:type="dcterms:W3CDTF">2026-04-29T07:35:36Z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eyJoZGlkIjoiNWQ3YjU5ZjljNWM2M2I2NjlhODc0YWIwZDk0ZjMyZDYiLCJ1c2VySWQiOiI3MjA1ODAxMjgifQ==</vt:lpwstr>
  </property>
  <property fmtid="{D5CDD505-2E9C-101B-9397-08002B2CF9AE}" pid="3" name="KSOProductBuildVer">
    <vt:lpwstr>2052-12.1.0.25865</vt:lpwstr>
  </property>
  <property fmtid="{D5CDD505-2E9C-101B-9397-08002B2CF9AE}" pid="4" name="ICV">
    <vt:lpwstr>60294A255D99438A9BD9D07382626A0F_12</vt:lpwstr>
  </property>
</Properties>
</file>