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96900" w14:textId="210D1E62" w:rsidR="00DC5E46" w:rsidRPr="00880942" w:rsidRDefault="006D0E44" w:rsidP="00DC5E46">
      <w:pPr>
        <w:jc w:val="center"/>
        <w:rPr>
          <w:b/>
          <w:bCs/>
          <w:sz w:val="28"/>
          <w:szCs w:val="28"/>
        </w:rPr>
      </w:pPr>
      <w:r>
        <w:rPr>
          <w:rFonts w:hint="eastAsia"/>
          <w:b/>
          <w:bCs/>
          <w:sz w:val="28"/>
          <w:szCs w:val="28"/>
        </w:rPr>
        <w:t>北京键凯科技</w:t>
      </w:r>
      <w:r w:rsidR="00DC5E46" w:rsidRPr="00880942">
        <w:rPr>
          <w:rFonts w:hint="eastAsia"/>
          <w:b/>
          <w:bCs/>
          <w:sz w:val="28"/>
          <w:szCs w:val="28"/>
        </w:rPr>
        <w:t>股份有限公司</w:t>
      </w:r>
    </w:p>
    <w:p w14:paraId="2ACD5126" w14:textId="0DEB9301" w:rsidR="000E1009" w:rsidRPr="00880942" w:rsidRDefault="00DC5E46" w:rsidP="00DC5E46">
      <w:pPr>
        <w:jc w:val="center"/>
        <w:rPr>
          <w:b/>
          <w:bCs/>
          <w:sz w:val="28"/>
          <w:szCs w:val="28"/>
        </w:rPr>
      </w:pPr>
      <w:r w:rsidRPr="00880942">
        <w:rPr>
          <w:rFonts w:hint="eastAsia"/>
          <w:b/>
          <w:bCs/>
          <w:sz w:val="28"/>
          <w:szCs w:val="28"/>
        </w:rPr>
        <w:t>投资者关系活动记录表</w:t>
      </w:r>
    </w:p>
    <w:p w14:paraId="21734988" w14:textId="7C9B562F" w:rsidR="00DC5E46" w:rsidRPr="00880942" w:rsidRDefault="00E9000F" w:rsidP="00E9000F">
      <w:pPr>
        <w:ind w:firstLineChars="100" w:firstLine="241"/>
        <w:rPr>
          <w:b/>
          <w:bCs/>
          <w:szCs w:val="24"/>
        </w:rPr>
      </w:pPr>
      <w:r>
        <w:rPr>
          <w:rFonts w:hint="eastAsia"/>
          <w:b/>
          <w:bCs/>
          <w:szCs w:val="24"/>
        </w:rPr>
        <w:t>证券简称：</w:t>
      </w:r>
      <w:r w:rsidR="006D0E44">
        <w:rPr>
          <w:rFonts w:hint="eastAsia"/>
          <w:b/>
          <w:bCs/>
          <w:szCs w:val="24"/>
        </w:rPr>
        <w:t>键凯科技</w:t>
      </w:r>
      <w:r>
        <w:rPr>
          <w:rFonts w:hint="eastAsia"/>
          <w:b/>
          <w:bCs/>
          <w:szCs w:val="24"/>
        </w:rPr>
        <w:t xml:space="preserve"> </w:t>
      </w:r>
      <w:r>
        <w:rPr>
          <w:b/>
          <w:bCs/>
          <w:szCs w:val="24"/>
        </w:rPr>
        <w:t xml:space="preserve">    </w:t>
      </w:r>
      <w:r w:rsidR="006D0E44">
        <w:rPr>
          <w:b/>
          <w:bCs/>
          <w:szCs w:val="24"/>
        </w:rPr>
        <w:t xml:space="preserve">  </w:t>
      </w:r>
      <w:r>
        <w:rPr>
          <w:b/>
          <w:bCs/>
          <w:szCs w:val="24"/>
        </w:rPr>
        <w:t xml:space="preserve">    </w:t>
      </w:r>
      <w:r>
        <w:rPr>
          <w:rFonts w:hint="eastAsia"/>
          <w:b/>
          <w:bCs/>
          <w:szCs w:val="24"/>
        </w:rPr>
        <w:t>证券代码：</w:t>
      </w:r>
      <w:r w:rsidR="006D0E44">
        <w:rPr>
          <w:rFonts w:hint="eastAsia"/>
          <w:b/>
          <w:bCs/>
          <w:szCs w:val="24"/>
        </w:rPr>
        <w:t>6</w:t>
      </w:r>
      <w:r w:rsidR="006D0E44">
        <w:rPr>
          <w:b/>
          <w:bCs/>
          <w:szCs w:val="24"/>
        </w:rPr>
        <w:t>88356</w:t>
      </w:r>
      <w:r>
        <w:rPr>
          <w:rFonts w:hint="eastAsia"/>
          <w:b/>
          <w:bCs/>
          <w:szCs w:val="24"/>
        </w:rPr>
        <w:t xml:space="preserve"> </w:t>
      </w:r>
      <w:r>
        <w:rPr>
          <w:b/>
          <w:bCs/>
          <w:szCs w:val="24"/>
        </w:rPr>
        <w:t xml:space="preserve">   </w:t>
      </w:r>
      <w:r w:rsidR="006D0E44">
        <w:rPr>
          <w:b/>
          <w:bCs/>
          <w:szCs w:val="24"/>
        </w:rPr>
        <w:t xml:space="preserve">  </w:t>
      </w:r>
      <w:r>
        <w:rPr>
          <w:b/>
          <w:bCs/>
          <w:szCs w:val="24"/>
        </w:rPr>
        <w:t xml:space="preserve">  </w:t>
      </w:r>
      <w:r w:rsidR="00DC5E46" w:rsidRPr="00880942">
        <w:rPr>
          <w:rFonts w:hint="eastAsia"/>
          <w:b/>
          <w:bCs/>
          <w:szCs w:val="24"/>
        </w:rPr>
        <w:t>编号：</w:t>
      </w:r>
      <w:r w:rsidR="006D0E44">
        <w:rPr>
          <w:rFonts w:hint="eastAsia"/>
          <w:b/>
          <w:bCs/>
          <w:szCs w:val="24"/>
        </w:rPr>
        <w:t>2</w:t>
      </w:r>
      <w:r w:rsidR="006D0E44">
        <w:rPr>
          <w:b/>
          <w:bCs/>
          <w:szCs w:val="24"/>
        </w:rPr>
        <w:t>0</w:t>
      </w:r>
      <w:r w:rsidR="005F114B">
        <w:rPr>
          <w:b/>
          <w:bCs/>
          <w:szCs w:val="24"/>
        </w:rPr>
        <w:t>2</w:t>
      </w:r>
      <w:r w:rsidR="00AE48DC">
        <w:rPr>
          <w:rFonts w:hint="eastAsia"/>
          <w:b/>
          <w:bCs/>
          <w:szCs w:val="24"/>
        </w:rPr>
        <w:t>6</w:t>
      </w:r>
      <w:r w:rsidR="00861139">
        <w:rPr>
          <w:rFonts w:hint="eastAsia"/>
          <w:b/>
          <w:bCs/>
          <w:szCs w:val="24"/>
        </w:rPr>
        <w:t>-0</w:t>
      </w:r>
      <w:r w:rsidR="001273C2">
        <w:rPr>
          <w:rFonts w:hint="eastAsia"/>
          <w:b/>
          <w:bCs/>
          <w:szCs w:val="24"/>
        </w:rPr>
        <w:t>1</w:t>
      </w:r>
    </w:p>
    <w:tbl>
      <w:tblPr>
        <w:tblStyle w:val="a3"/>
        <w:tblW w:w="0" w:type="auto"/>
        <w:tblLook w:val="04A0" w:firstRow="1" w:lastRow="0" w:firstColumn="1" w:lastColumn="0" w:noHBand="0" w:noVBand="1"/>
      </w:tblPr>
      <w:tblGrid>
        <w:gridCol w:w="2405"/>
        <w:gridCol w:w="5891"/>
      </w:tblGrid>
      <w:tr w:rsidR="00DC5E46" w:rsidRPr="009F4679" w14:paraId="425DEA75" w14:textId="77777777" w:rsidTr="009F4679">
        <w:tc>
          <w:tcPr>
            <w:tcW w:w="2405" w:type="dxa"/>
          </w:tcPr>
          <w:p w14:paraId="3ACC6E6D" w14:textId="77777777" w:rsidR="009F4679" w:rsidRPr="009F4679" w:rsidRDefault="009F4679" w:rsidP="009F4679">
            <w:pPr>
              <w:jc w:val="center"/>
              <w:rPr>
                <w:b/>
                <w:bCs/>
                <w:szCs w:val="24"/>
              </w:rPr>
            </w:pPr>
          </w:p>
          <w:p w14:paraId="0C0CBDA3" w14:textId="77777777" w:rsidR="009F4679" w:rsidRPr="009F4679" w:rsidRDefault="009F4679" w:rsidP="009F4679">
            <w:pPr>
              <w:jc w:val="center"/>
              <w:rPr>
                <w:b/>
                <w:bCs/>
                <w:szCs w:val="24"/>
              </w:rPr>
            </w:pPr>
          </w:p>
          <w:p w14:paraId="59CCC54C" w14:textId="6E2B3E95" w:rsidR="009F4679" w:rsidRPr="009F4679" w:rsidRDefault="00DC5E46" w:rsidP="009F4679">
            <w:pPr>
              <w:jc w:val="center"/>
              <w:rPr>
                <w:b/>
                <w:bCs/>
                <w:szCs w:val="24"/>
              </w:rPr>
            </w:pPr>
            <w:r w:rsidRPr="009F4679">
              <w:rPr>
                <w:rFonts w:hint="eastAsia"/>
                <w:b/>
                <w:bCs/>
                <w:szCs w:val="24"/>
              </w:rPr>
              <w:t>投资者关系活动</w:t>
            </w:r>
          </w:p>
          <w:p w14:paraId="6FE21B58" w14:textId="66CCCC76" w:rsidR="00DC5E46" w:rsidRPr="009F4679" w:rsidRDefault="00DC5E46" w:rsidP="009F4679">
            <w:pPr>
              <w:jc w:val="center"/>
              <w:rPr>
                <w:b/>
                <w:bCs/>
                <w:szCs w:val="24"/>
              </w:rPr>
            </w:pPr>
            <w:r w:rsidRPr="009F4679">
              <w:rPr>
                <w:rFonts w:hint="eastAsia"/>
                <w:b/>
                <w:bCs/>
                <w:szCs w:val="24"/>
              </w:rPr>
              <w:t>类别</w:t>
            </w:r>
          </w:p>
        </w:tc>
        <w:tc>
          <w:tcPr>
            <w:tcW w:w="5891" w:type="dxa"/>
          </w:tcPr>
          <w:p w14:paraId="74FDCA8E" w14:textId="5CCC35D6" w:rsidR="003D7850" w:rsidRPr="009F4679" w:rsidRDefault="003D7850" w:rsidP="003D7850">
            <w:pPr>
              <w:spacing w:line="360" w:lineRule="auto"/>
              <w:rPr>
                <w:rFonts w:ascii="宋体" w:hAnsi="宋体" w:hint="eastAsia"/>
                <w:szCs w:val="24"/>
              </w:rPr>
            </w:pPr>
            <w:r w:rsidRPr="009F4679">
              <w:rPr>
                <w:rFonts w:ascii="宋体" w:hAnsi="宋体" w:hint="eastAsia"/>
                <w:szCs w:val="24"/>
              </w:rPr>
              <w:t xml:space="preserve">□特定对象调研 </w:t>
            </w:r>
            <w:r w:rsidRPr="009F4679">
              <w:rPr>
                <w:rFonts w:ascii="宋体" w:hAnsi="宋体"/>
                <w:szCs w:val="24"/>
              </w:rPr>
              <w:t xml:space="preserve"> </w:t>
            </w:r>
            <w:r w:rsidRPr="009F4679">
              <w:rPr>
                <w:rFonts w:ascii="宋体" w:hAnsi="宋体" w:hint="eastAsia"/>
                <w:szCs w:val="24"/>
              </w:rPr>
              <w:t>□分析师会议</w:t>
            </w:r>
          </w:p>
          <w:p w14:paraId="4750AF68" w14:textId="2ADAF84B" w:rsidR="003D7850" w:rsidRPr="009F4679" w:rsidRDefault="003D7850" w:rsidP="003D7850">
            <w:pPr>
              <w:spacing w:line="360" w:lineRule="auto"/>
              <w:rPr>
                <w:rFonts w:ascii="宋体" w:hAnsi="宋体" w:hint="eastAsia"/>
                <w:szCs w:val="24"/>
              </w:rPr>
            </w:pPr>
            <w:r w:rsidRPr="009F4679">
              <w:rPr>
                <w:rFonts w:ascii="宋体" w:hAnsi="宋体" w:hint="eastAsia"/>
                <w:szCs w:val="24"/>
              </w:rPr>
              <w:t xml:space="preserve">□媒体采访 </w:t>
            </w:r>
            <w:r w:rsidRPr="009F4679">
              <w:rPr>
                <w:rFonts w:ascii="宋体" w:hAnsi="宋体"/>
                <w:szCs w:val="24"/>
              </w:rPr>
              <w:t xml:space="preserve">     </w:t>
            </w:r>
            <w:r>
              <w:rPr>
                <w:rFonts w:ascii="宋体" w:hAnsi="宋体" w:hint="eastAsia"/>
                <w:szCs w:val="24"/>
              </w:rPr>
              <w:t>√</w:t>
            </w:r>
            <w:r w:rsidRPr="009F4679">
              <w:rPr>
                <w:rFonts w:ascii="宋体" w:hAnsi="宋体" w:hint="eastAsia"/>
                <w:szCs w:val="24"/>
              </w:rPr>
              <w:t>业绩说明会</w:t>
            </w:r>
          </w:p>
          <w:p w14:paraId="7D661280" w14:textId="25A5F5B0" w:rsidR="003D7850" w:rsidRPr="009F4679" w:rsidRDefault="003D7850" w:rsidP="003D7850">
            <w:pPr>
              <w:spacing w:line="360" w:lineRule="auto"/>
              <w:rPr>
                <w:rFonts w:ascii="宋体" w:hAnsi="宋体" w:hint="eastAsia"/>
                <w:szCs w:val="24"/>
              </w:rPr>
            </w:pPr>
            <w:r w:rsidRPr="009F4679">
              <w:rPr>
                <w:rFonts w:ascii="宋体" w:hAnsi="宋体" w:hint="eastAsia"/>
                <w:szCs w:val="24"/>
              </w:rPr>
              <w:t xml:space="preserve">□新闻发布会 </w:t>
            </w:r>
            <w:r w:rsidRPr="009F4679">
              <w:rPr>
                <w:rFonts w:ascii="宋体" w:hAnsi="宋体"/>
                <w:szCs w:val="24"/>
              </w:rPr>
              <w:t xml:space="preserve">   </w:t>
            </w:r>
            <w:r w:rsidRPr="009F4679">
              <w:rPr>
                <w:rFonts w:ascii="宋体" w:hAnsi="宋体" w:hint="eastAsia"/>
                <w:szCs w:val="24"/>
              </w:rPr>
              <w:t>□路演活动</w:t>
            </w:r>
          </w:p>
          <w:p w14:paraId="50400072" w14:textId="2900FE97" w:rsidR="00DC5E46" w:rsidRPr="009F4679" w:rsidRDefault="003D7850" w:rsidP="003D7850">
            <w:pPr>
              <w:spacing w:line="360" w:lineRule="auto"/>
              <w:rPr>
                <w:szCs w:val="24"/>
              </w:rPr>
            </w:pPr>
            <w:r w:rsidRPr="009F4679">
              <w:rPr>
                <w:rFonts w:ascii="宋体" w:hAnsi="宋体" w:hint="eastAsia"/>
                <w:szCs w:val="24"/>
              </w:rPr>
              <w:t>□现场参观</w:t>
            </w:r>
            <w:r>
              <w:rPr>
                <w:rFonts w:ascii="宋体" w:hAnsi="宋体" w:hint="eastAsia"/>
                <w:szCs w:val="24"/>
              </w:rPr>
              <w:t xml:space="preserve"> </w:t>
            </w:r>
            <w:r>
              <w:rPr>
                <w:rFonts w:ascii="宋体" w:hAnsi="宋体"/>
                <w:szCs w:val="24"/>
              </w:rPr>
              <w:t xml:space="preserve">     </w:t>
            </w:r>
            <w:r w:rsidRPr="009F4679">
              <w:rPr>
                <w:rFonts w:ascii="宋体" w:hAnsi="宋体" w:hint="eastAsia"/>
                <w:szCs w:val="24"/>
              </w:rPr>
              <w:t>□其他（</w:t>
            </w:r>
            <w:r w:rsidRPr="009F4679">
              <w:rPr>
                <w:rFonts w:ascii="宋体" w:hAnsi="宋体" w:hint="eastAsia"/>
                <w:szCs w:val="24"/>
                <w:u w:val="thick"/>
              </w:rPr>
              <w:t>请文字说明其他活动内容</w:t>
            </w:r>
            <w:r w:rsidRPr="009F4679">
              <w:rPr>
                <w:rFonts w:ascii="宋体" w:hAnsi="宋体" w:hint="eastAsia"/>
                <w:szCs w:val="24"/>
              </w:rPr>
              <w:t>）</w:t>
            </w:r>
          </w:p>
        </w:tc>
      </w:tr>
      <w:tr w:rsidR="00DC5E46" w:rsidRPr="009F4679" w14:paraId="706CA2E4" w14:textId="77777777" w:rsidTr="009F4679">
        <w:tc>
          <w:tcPr>
            <w:tcW w:w="2405" w:type="dxa"/>
          </w:tcPr>
          <w:p w14:paraId="73198EFA" w14:textId="61B16EC2" w:rsidR="009F4679" w:rsidRPr="00CA2415" w:rsidRDefault="00DC5E46" w:rsidP="00DC5E46">
            <w:pPr>
              <w:jc w:val="center"/>
              <w:rPr>
                <w:b/>
                <w:bCs/>
                <w:szCs w:val="24"/>
              </w:rPr>
            </w:pPr>
            <w:r w:rsidRPr="00CA2415">
              <w:rPr>
                <w:rFonts w:hint="eastAsia"/>
                <w:b/>
                <w:bCs/>
                <w:szCs w:val="24"/>
              </w:rPr>
              <w:t>参与单位名称</w:t>
            </w:r>
          </w:p>
          <w:p w14:paraId="27F86A90" w14:textId="4FB52357" w:rsidR="00DC5E46" w:rsidRPr="0091228B" w:rsidRDefault="00DC5E46" w:rsidP="00DC5E46">
            <w:pPr>
              <w:jc w:val="center"/>
              <w:rPr>
                <w:b/>
                <w:bCs/>
                <w:szCs w:val="24"/>
                <w:highlight w:val="yellow"/>
              </w:rPr>
            </w:pPr>
            <w:r w:rsidRPr="00CA2415">
              <w:rPr>
                <w:rFonts w:hint="eastAsia"/>
                <w:b/>
                <w:bCs/>
                <w:szCs w:val="24"/>
              </w:rPr>
              <w:t>及人员姓名</w:t>
            </w:r>
          </w:p>
        </w:tc>
        <w:tc>
          <w:tcPr>
            <w:tcW w:w="5891" w:type="dxa"/>
          </w:tcPr>
          <w:p w14:paraId="51D3803B" w14:textId="13906E25" w:rsidR="000E78A3" w:rsidRDefault="000E78A3" w:rsidP="00D01822">
            <w:pPr>
              <w:jc w:val="center"/>
              <w:rPr>
                <w:szCs w:val="24"/>
              </w:rPr>
            </w:pPr>
            <w:r w:rsidRPr="000E78A3">
              <w:rPr>
                <w:szCs w:val="24"/>
              </w:rPr>
              <w:t>上海泾溪投资管理合伙企业</w:t>
            </w:r>
            <w:r w:rsidRPr="000E78A3">
              <w:rPr>
                <w:szCs w:val="24"/>
              </w:rPr>
              <w:t>(</w:t>
            </w:r>
            <w:r w:rsidRPr="000E78A3">
              <w:rPr>
                <w:szCs w:val="24"/>
              </w:rPr>
              <w:t>有限合伙</w:t>
            </w:r>
            <w:r w:rsidRPr="000E78A3">
              <w:rPr>
                <w:szCs w:val="24"/>
              </w:rPr>
              <w:t>)</w:t>
            </w:r>
            <w:r>
              <w:rPr>
                <w:rFonts w:hint="eastAsia"/>
                <w:szCs w:val="24"/>
              </w:rPr>
              <w:t>1</w:t>
            </w:r>
            <w:r>
              <w:rPr>
                <w:rFonts w:hint="eastAsia"/>
                <w:szCs w:val="24"/>
              </w:rPr>
              <w:t>人</w:t>
            </w:r>
          </w:p>
          <w:p w14:paraId="36E2DE8F" w14:textId="6698A67B" w:rsidR="000E78A3" w:rsidRDefault="000E78A3" w:rsidP="00D01822">
            <w:pPr>
              <w:jc w:val="center"/>
              <w:rPr>
                <w:szCs w:val="24"/>
              </w:rPr>
            </w:pPr>
            <w:proofErr w:type="gramStart"/>
            <w:r w:rsidRPr="000E78A3">
              <w:rPr>
                <w:szCs w:val="24"/>
              </w:rPr>
              <w:t>深圳市尚诚资产</w:t>
            </w:r>
            <w:proofErr w:type="gramEnd"/>
            <w:r w:rsidRPr="000E78A3">
              <w:rPr>
                <w:szCs w:val="24"/>
              </w:rPr>
              <w:t>管理有限责任公司</w:t>
            </w:r>
            <w:r>
              <w:rPr>
                <w:rFonts w:hint="eastAsia"/>
                <w:szCs w:val="24"/>
              </w:rPr>
              <w:t>2</w:t>
            </w:r>
            <w:r>
              <w:rPr>
                <w:rFonts w:hint="eastAsia"/>
                <w:szCs w:val="24"/>
              </w:rPr>
              <w:t>人</w:t>
            </w:r>
          </w:p>
          <w:p w14:paraId="22C1EA8E" w14:textId="063A07BE" w:rsidR="000E78A3" w:rsidRDefault="000E78A3" w:rsidP="00D01822">
            <w:pPr>
              <w:jc w:val="center"/>
              <w:rPr>
                <w:szCs w:val="24"/>
              </w:rPr>
            </w:pPr>
            <w:r w:rsidRPr="000E78A3">
              <w:rPr>
                <w:szCs w:val="24"/>
              </w:rPr>
              <w:t>上海东方证券资产管理有限公司</w:t>
            </w:r>
            <w:r>
              <w:rPr>
                <w:rFonts w:hint="eastAsia"/>
                <w:szCs w:val="24"/>
              </w:rPr>
              <w:t>1</w:t>
            </w:r>
            <w:r>
              <w:rPr>
                <w:rFonts w:hint="eastAsia"/>
                <w:szCs w:val="24"/>
              </w:rPr>
              <w:t>人</w:t>
            </w:r>
          </w:p>
          <w:p w14:paraId="0B6B4340" w14:textId="60B44645" w:rsidR="000E78A3" w:rsidRDefault="000E78A3" w:rsidP="00D01822">
            <w:pPr>
              <w:jc w:val="center"/>
              <w:rPr>
                <w:rFonts w:hint="eastAsia"/>
                <w:szCs w:val="24"/>
              </w:rPr>
            </w:pPr>
            <w:r w:rsidRPr="000E78A3">
              <w:rPr>
                <w:szCs w:val="24"/>
              </w:rPr>
              <w:t>华夏</w:t>
            </w:r>
            <w:proofErr w:type="gramStart"/>
            <w:r w:rsidRPr="000E78A3">
              <w:rPr>
                <w:szCs w:val="24"/>
              </w:rPr>
              <w:t>久盈资产</w:t>
            </w:r>
            <w:proofErr w:type="gramEnd"/>
            <w:r w:rsidRPr="000E78A3">
              <w:rPr>
                <w:szCs w:val="24"/>
              </w:rPr>
              <w:t>管理有限责任公司</w:t>
            </w:r>
          </w:p>
          <w:p w14:paraId="04ABDBB2" w14:textId="0BC208F0" w:rsidR="000E78A3" w:rsidRDefault="000E78A3" w:rsidP="000E78A3">
            <w:pPr>
              <w:jc w:val="center"/>
              <w:rPr>
                <w:szCs w:val="24"/>
              </w:rPr>
            </w:pPr>
            <w:r w:rsidRPr="000E78A3">
              <w:rPr>
                <w:szCs w:val="24"/>
              </w:rPr>
              <w:t>海富通基金管理有限公司</w:t>
            </w:r>
            <w:r>
              <w:rPr>
                <w:rFonts w:hint="eastAsia"/>
                <w:szCs w:val="24"/>
              </w:rPr>
              <w:t>1</w:t>
            </w:r>
            <w:r>
              <w:rPr>
                <w:rFonts w:hint="eastAsia"/>
                <w:szCs w:val="24"/>
              </w:rPr>
              <w:t>人</w:t>
            </w:r>
          </w:p>
          <w:p w14:paraId="680B4987" w14:textId="2AC0195E" w:rsidR="000E78A3" w:rsidRDefault="000E78A3" w:rsidP="000E78A3">
            <w:pPr>
              <w:jc w:val="center"/>
              <w:rPr>
                <w:szCs w:val="24"/>
              </w:rPr>
            </w:pPr>
            <w:proofErr w:type="gramStart"/>
            <w:r w:rsidRPr="000E78A3">
              <w:rPr>
                <w:szCs w:val="24"/>
              </w:rPr>
              <w:t>汇升投资</w:t>
            </w:r>
            <w:proofErr w:type="gramEnd"/>
            <w:r>
              <w:rPr>
                <w:rFonts w:hint="eastAsia"/>
                <w:szCs w:val="24"/>
              </w:rPr>
              <w:t>1</w:t>
            </w:r>
            <w:r>
              <w:rPr>
                <w:rFonts w:hint="eastAsia"/>
                <w:szCs w:val="24"/>
              </w:rPr>
              <w:t>人</w:t>
            </w:r>
          </w:p>
          <w:p w14:paraId="7BE3E4EB" w14:textId="6B5B15EB" w:rsidR="000E78A3" w:rsidRDefault="000E78A3" w:rsidP="000E78A3">
            <w:pPr>
              <w:jc w:val="center"/>
              <w:rPr>
                <w:szCs w:val="24"/>
              </w:rPr>
            </w:pPr>
            <w:r w:rsidRPr="000E78A3">
              <w:rPr>
                <w:szCs w:val="24"/>
              </w:rPr>
              <w:t>光大证券权益自营</w:t>
            </w:r>
            <w:r>
              <w:rPr>
                <w:rFonts w:hint="eastAsia"/>
                <w:szCs w:val="24"/>
              </w:rPr>
              <w:t>1</w:t>
            </w:r>
            <w:r>
              <w:rPr>
                <w:rFonts w:hint="eastAsia"/>
                <w:szCs w:val="24"/>
              </w:rPr>
              <w:t>人</w:t>
            </w:r>
          </w:p>
          <w:p w14:paraId="57A4736C" w14:textId="392A580D" w:rsidR="000E78A3" w:rsidRDefault="000E78A3" w:rsidP="000E78A3">
            <w:pPr>
              <w:jc w:val="center"/>
              <w:rPr>
                <w:szCs w:val="24"/>
              </w:rPr>
            </w:pPr>
            <w:r w:rsidRPr="000E78A3">
              <w:rPr>
                <w:szCs w:val="24"/>
              </w:rPr>
              <w:t>银河基金管理有限公司</w:t>
            </w:r>
            <w:r>
              <w:rPr>
                <w:rFonts w:hint="eastAsia"/>
                <w:szCs w:val="24"/>
              </w:rPr>
              <w:t>1</w:t>
            </w:r>
            <w:r>
              <w:rPr>
                <w:rFonts w:hint="eastAsia"/>
                <w:szCs w:val="24"/>
              </w:rPr>
              <w:t>人</w:t>
            </w:r>
          </w:p>
          <w:p w14:paraId="6F15B914" w14:textId="27C843B0" w:rsidR="000E78A3" w:rsidRDefault="000E78A3" w:rsidP="000E78A3">
            <w:pPr>
              <w:jc w:val="center"/>
              <w:rPr>
                <w:szCs w:val="24"/>
              </w:rPr>
            </w:pPr>
            <w:r w:rsidRPr="000E78A3">
              <w:rPr>
                <w:szCs w:val="24"/>
              </w:rPr>
              <w:t>招商基金广深区</w:t>
            </w:r>
            <w:r>
              <w:rPr>
                <w:rFonts w:hint="eastAsia"/>
                <w:szCs w:val="24"/>
              </w:rPr>
              <w:t>1</w:t>
            </w:r>
            <w:r>
              <w:rPr>
                <w:rFonts w:hint="eastAsia"/>
                <w:szCs w:val="24"/>
              </w:rPr>
              <w:t>人</w:t>
            </w:r>
          </w:p>
          <w:p w14:paraId="77D402ED" w14:textId="5824B28F" w:rsidR="000E78A3" w:rsidRDefault="000E78A3" w:rsidP="000E78A3">
            <w:pPr>
              <w:jc w:val="center"/>
              <w:rPr>
                <w:szCs w:val="24"/>
              </w:rPr>
            </w:pPr>
            <w:r w:rsidRPr="000E78A3">
              <w:rPr>
                <w:szCs w:val="24"/>
              </w:rPr>
              <w:t>上海肇万资产管理有限公司</w:t>
            </w:r>
            <w:r>
              <w:rPr>
                <w:rFonts w:hint="eastAsia"/>
                <w:szCs w:val="24"/>
              </w:rPr>
              <w:t>1</w:t>
            </w:r>
            <w:r>
              <w:rPr>
                <w:rFonts w:hint="eastAsia"/>
                <w:szCs w:val="24"/>
              </w:rPr>
              <w:t>人</w:t>
            </w:r>
          </w:p>
          <w:p w14:paraId="51E85B5C" w14:textId="5C604A7C" w:rsidR="000E78A3" w:rsidRDefault="000E78A3" w:rsidP="000E78A3">
            <w:pPr>
              <w:jc w:val="center"/>
              <w:rPr>
                <w:szCs w:val="24"/>
              </w:rPr>
            </w:pPr>
            <w:r w:rsidRPr="000E78A3">
              <w:rPr>
                <w:szCs w:val="24"/>
              </w:rPr>
              <w:t>光大</w:t>
            </w:r>
            <w:proofErr w:type="gramStart"/>
            <w:r w:rsidRPr="000E78A3">
              <w:rPr>
                <w:szCs w:val="24"/>
              </w:rPr>
              <w:t>证券资管</w:t>
            </w:r>
            <w:proofErr w:type="gramEnd"/>
            <w:r>
              <w:rPr>
                <w:rFonts w:hint="eastAsia"/>
                <w:szCs w:val="24"/>
              </w:rPr>
              <w:t>1</w:t>
            </w:r>
            <w:r>
              <w:rPr>
                <w:rFonts w:hint="eastAsia"/>
                <w:szCs w:val="24"/>
              </w:rPr>
              <w:t>人</w:t>
            </w:r>
          </w:p>
          <w:p w14:paraId="7529BAA0" w14:textId="4FE6DF19" w:rsidR="000E78A3" w:rsidRDefault="000E78A3" w:rsidP="000E78A3">
            <w:pPr>
              <w:jc w:val="center"/>
              <w:rPr>
                <w:szCs w:val="24"/>
              </w:rPr>
            </w:pPr>
            <w:r w:rsidRPr="000E78A3">
              <w:rPr>
                <w:szCs w:val="24"/>
              </w:rPr>
              <w:t>中</w:t>
            </w:r>
            <w:proofErr w:type="gramStart"/>
            <w:r w:rsidRPr="000E78A3">
              <w:rPr>
                <w:szCs w:val="24"/>
              </w:rPr>
              <w:t>信建投</w:t>
            </w:r>
            <w:proofErr w:type="gramEnd"/>
            <w:r>
              <w:rPr>
                <w:rFonts w:hint="eastAsia"/>
                <w:szCs w:val="24"/>
              </w:rPr>
              <w:t>1</w:t>
            </w:r>
            <w:r>
              <w:rPr>
                <w:rFonts w:hint="eastAsia"/>
                <w:szCs w:val="24"/>
              </w:rPr>
              <w:t>人</w:t>
            </w:r>
          </w:p>
          <w:p w14:paraId="7A6CB356" w14:textId="1A9F6387" w:rsidR="000E78A3" w:rsidRDefault="000E78A3" w:rsidP="000E78A3">
            <w:pPr>
              <w:jc w:val="center"/>
              <w:rPr>
                <w:szCs w:val="24"/>
              </w:rPr>
            </w:pPr>
            <w:r w:rsidRPr="000E78A3">
              <w:rPr>
                <w:szCs w:val="24"/>
              </w:rPr>
              <w:t>野村东方国际证券有限公司</w:t>
            </w:r>
            <w:r w:rsidRPr="000E78A3">
              <w:rPr>
                <w:szCs w:val="24"/>
              </w:rPr>
              <w:t>-</w:t>
            </w:r>
            <w:proofErr w:type="gramStart"/>
            <w:r w:rsidRPr="000E78A3">
              <w:rPr>
                <w:szCs w:val="24"/>
              </w:rPr>
              <w:t>资管</w:t>
            </w:r>
            <w:proofErr w:type="gramEnd"/>
            <w:r>
              <w:rPr>
                <w:rFonts w:hint="eastAsia"/>
                <w:szCs w:val="24"/>
              </w:rPr>
              <w:t>1</w:t>
            </w:r>
            <w:r>
              <w:rPr>
                <w:rFonts w:hint="eastAsia"/>
                <w:szCs w:val="24"/>
              </w:rPr>
              <w:t>人</w:t>
            </w:r>
          </w:p>
          <w:p w14:paraId="4BA0DA3A" w14:textId="06875CFD" w:rsidR="000E78A3" w:rsidRDefault="0035514C" w:rsidP="000E78A3">
            <w:pPr>
              <w:jc w:val="center"/>
              <w:rPr>
                <w:szCs w:val="24"/>
              </w:rPr>
            </w:pPr>
            <w:r w:rsidRPr="0035514C">
              <w:rPr>
                <w:szCs w:val="24"/>
              </w:rPr>
              <w:t>国联民生</w:t>
            </w:r>
            <w:r>
              <w:rPr>
                <w:rFonts w:hint="eastAsia"/>
                <w:szCs w:val="24"/>
              </w:rPr>
              <w:t>3</w:t>
            </w:r>
            <w:r>
              <w:rPr>
                <w:rFonts w:hint="eastAsia"/>
                <w:szCs w:val="24"/>
              </w:rPr>
              <w:t>人</w:t>
            </w:r>
          </w:p>
          <w:p w14:paraId="3EEC3C0F" w14:textId="207D1957" w:rsidR="0035514C" w:rsidRDefault="0035514C" w:rsidP="000E78A3">
            <w:pPr>
              <w:jc w:val="center"/>
              <w:rPr>
                <w:szCs w:val="24"/>
              </w:rPr>
            </w:pPr>
            <w:r w:rsidRPr="0035514C">
              <w:rPr>
                <w:szCs w:val="24"/>
              </w:rPr>
              <w:t>开源医药</w:t>
            </w:r>
            <w:r>
              <w:rPr>
                <w:rFonts w:hint="eastAsia"/>
                <w:szCs w:val="24"/>
              </w:rPr>
              <w:t>1</w:t>
            </w:r>
            <w:r>
              <w:rPr>
                <w:rFonts w:hint="eastAsia"/>
                <w:szCs w:val="24"/>
              </w:rPr>
              <w:t>人</w:t>
            </w:r>
          </w:p>
          <w:p w14:paraId="4F60C509" w14:textId="3F19F2F3" w:rsidR="0035514C" w:rsidRDefault="0035514C" w:rsidP="000E78A3">
            <w:pPr>
              <w:jc w:val="center"/>
              <w:rPr>
                <w:szCs w:val="24"/>
              </w:rPr>
            </w:pPr>
            <w:proofErr w:type="gramStart"/>
            <w:r w:rsidRPr="0035514C">
              <w:rPr>
                <w:szCs w:val="24"/>
              </w:rPr>
              <w:t>睿远基金</w:t>
            </w:r>
            <w:proofErr w:type="gramEnd"/>
            <w:r w:rsidRPr="0035514C">
              <w:rPr>
                <w:szCs w:val="24"/>
              </w:rPr>
              <w:t>管理有限公司</w:t>
            </w:r>
            <w:r>
              <w:rPr>
                <w:rFonts w:hint="eastAsia"/>
                <w:szCs w:val="24"/>
              </w:rPr>
              <w:t>1</w:t>
            </w:r>
            <w:r>
              <w:rPr>
                <w:rFonts w:hint="eastAsia"/>
                <w:szCs w:val="24"/>
              </w:rPr>
              <w:t>人</w:t>
            </w:r>
          </w:p>
          <w:p w14:paraId="0E207AAD" w14:textId="221B0C22" w:rsidR="0035514C" w:rsidRDefault="0035514C" w:rsidP="000E78A3">
            <w:pPr>
              <w:jc w:val="center"/>
              <w:rPr>
                <w:szCs w:val="24"/>
              </w:rPr>
            </w:pPr>
            <w:r w:rsidRPr="0035514C">
              <w:rPr>
                <w:szCs w:val="24"/>
              </w:rPr>
              <w:t>平安证券</w:t>
            </w:r>
            <w:r>
              <w:rPr>
                <w:rFonts w:hint="eastAsia"/>
                <w:szCs w:val="24"/>
              </w:rPr>
              <w:t>1</w:t>
            </w:r>
            <w:r>
              <w:rPr>
                <w:rFonts w:hint="eastAsia"/>
                <w:szCs w:val="24"/>
              </w:rPr>
              <w:t>人</w:t>
            </w:r>
          </w:p>
          <w:p w14:paraId="4C1C50CD" w14:textId="40BB4102" w:rsidR="0035514C" w:rsidRDefault="0035514C" w:rsidP="000E78A3">
            <w:pPr>
              <w:jc w:val="center"/>
              <w:rPr>
                <w:szCs w:val="24"/>
              </w:rPr>
            </w:pPr>
            <w:r w:rsidRPr="0035514C">
              <w:rPr>
                <w:szCs w:val="24"/>
              </w:rPr>
              <w:t>红杉资本股权投资管理（天津）有限公司</w:t>
            </w:r>
            <w:r>
              <w:rPr>
                <w:rFonts w:hint="eastAsia"/>
                <w:szCs w:val="24"/>
              </w:rPr>
              <w:t>1</w:t>
            </w:r>
            <w:r>
              <w:rPr>
                <w:rFonts w:hint="eastAsia"/>
                <w:szCs w:val="24"/>
              </w:rPr>
              <w:t>人</w:t>
            </w:r>
          </w:p>
          <w:p w14:paraId="727F4FA1" w14:textId="29B5E6F7" w:rsidR="0035514C" w:rsidRDefault="0035514C" w:rsidP="000E78A3">
            <w:pPr>
              <w:jc w:val="center"/>
              <w:rPr>
                <w:szCs w:val="24"/>
              </w:rPr>
            </w:pPr>
            <w:r w:rsidRPr="0035514C">
              <w:rPr>
                <w:szCs w:val="24"/>
              </w:rPr>
              <w:t>方正医药</w:t>
            </w:r>
            <w:r>
              <w:rPr>
                <w:rFonts w:hint="eastAsia"/>
                <w:szCs w:val="24"/>
              </w:rPr>
              <w:t>1</w:t>
            </w:r>
            <w:r>
              <w:rPr>
                <w:rFonts w:hint="eastAsia"/>
                <w:szCs w:val="24"/>
              </w:rPr>
              <w:t>人</w:t>
            </w:r>
          </w:p>
          <w:p w14:paraId="05210F12" w14:textId="707C2385" w:rsidR="0035514C" w:rsidRDefault="0035514C" w:rsidP="000E78A3">
            <w:pPr>
              <w:jc w:val="center"/>
              <w:rPr>
                <w:szCs w:val="24"/>
              </w:rPr>
            </w:pPr>
            <w:r w:rsidRPr="0035514C">
              <w:rPr>
                <w:szCs w:val="24"/>
              </w:rPr>
              <w:t>青</w:t>
            </w:r>
            <w:proofErr w:type="gramStart"/>
            <w:r w:rsidRPr="0035514C">
              <w:rPr>
                <w:szCs w:val="24"/>
              </w:rPr>
              <w:t>榕</w:t>
            </w:r>
            <w:proofErr w:type="gramEnd"/>
            <w:r w:rsidRPr="0035514C">
              <w:rPr>
                <w:szCs w:val="24"/>
              </w:rPr>
              <w:t>资产管理有限公司</w:t>
            </w:r>
            <w:r>
              <w:rPr>
                <w:rFonts w:hint="eastAsia"/>
                <w:szCs w:val="24"/>
              </w:rPr>
              <w:t>1</w:t>
            </w:r>
            <w:r>
              <w:rPr>
                <w:rFonts w:hint="eastAsia"/>
                <w:szCs w:val="24"/>
              </w:rPr>
              <w:t>人</w:t>
            </w:r>
          </w:p>
          <w:p w14:paraId="6BD3E6FE" w14:textId="0BCEC74F" w:rsidR="0035514C" w:rsidRDefault="0035514C" w:rsidP="000E78A3">
            <w:pPr>
              <w:jc w:val="center"/>
              <w:rPr>
                <w:szCs w:val="24"/>
              </w:rPr>
            </w:pPr>
            <w:r w:rsidRPr="0035514C">
              <w:rPr>
                <w:szCs w:val="24"/>
              </w:rPr>
              <w:t>申万宏源</w:t>
            </w:r>
            <w:r>
              <w:rPr>
                <w:rFonts w:hint="eastAsia"/>
                <w:szCs w:val="24"/>
              </w:rPr>
              <w:t>1</w:t>
            </w:r>
            <w:r>
              <w:rPr>
                <w:rFonts w:hint="eastAsia"/>
                <w:szCs w:val="24"/>
              </w:rPr>
              <w:t>人</w:t>
            </w:r>
          </w:p>
          <w:p w14:paraId="7E435694" w14:textId="229A1A10" w:rsidR="0035514C" w:rsidRDefault="0035514C" w:rsidP="000E78A3">
            <w:pPr>
              <w:jc w:val="center"/>
              <w:rPr>
                <w:szCs w:val="24"/>
              </w:rPr>
            </w:pPr>
            <w:r w:rsidRPr="0035514C">
              <w:rPr>
                <w:szCs w:val="24"/>
              </w:rPr>
              <w:t>上海冲积资产管理中心</w:t>
            </w:r>
            <w:r w:rsidRPr="0035514C">
              <w:rPr>
                <w:szCs w:val="24"/>
              </w:rPr>
              <w:t>(</w:t>
            </w:r>
            <w:r w:rsidRPr="0035514C">
              <w:rPr>
                <w:szCs w:val="24"/>
              </w:rPr>
              <w:t>有限合伙</w:t>
            </w:r>
            <w:r w:rsidRPr="0035514C">
              <w:rPr>
                <w:szCs w:val="24"/>
              </w:rPr>
              <w:t>)</w:t>
            </w:r>
            <w:r>
              <w:rPr>
                <w:rFonts w:hint="eastAsia"/>
                <w:szCs w:val="24"/>
              </w:rPr>
              <w:t>1</w:t>
            </w:r>
            <w:r>
              <w:rPr>
                <w:rFonts w:hint="eastAsia"/>
                <w:szCs w:val="24"/>
              </w:rPr>
              <w:t>人</w:t>
            </w:r>
          </w:p>
          <w:p w14:paraId="0499DAA0" w14:textId="60FD8C97" w:rsidR="0035514C" w:rsidRDefault="0035514C" w:rsidP="000E78A3">
            <w:pPr>
              <w:jc w:val="center"/>
              <w:rPr>
                <w:szCs w:val="24"/>
              </w:rPr>
            </w:pPr>
            <w:r w:rsidRPr="0035514C">
              <w:rPr>
                <w:szCs w:val="24"/>
              </w:rPr>
              <w:t>华创医药</w:t>
            </w:r>
            <w:r>
              <w:rPr>
                <w:rFonts w:hint="eastAsia"/>
                <w:szCs w:val="24"/>
              </w:rPr>
              <w:t>2</w:t>
            </w:r>
            <w:r>
              <w:rPr>
                <w:rFonts w:hint="eastAsia"/>
                <w:szCs w:val="24"/>
              </w:rPr>
              <w:t>人</w:t>
            </w:r>
          </w:p>
          <w:p w14:paraId="03130589" w14:textId="7CC76074" w:rsidR="0035514C" w:rsidRDefault="0035514C" w:rsidP="000E78A3">
            <w:pPr>
              <w:jc w:val="center"/>
              <w:rPr>
                <w:szCs w:val="24"/>
              </w:rPr>
            </w:pPr>
            <w:r w:rsidRPr="0035514C">
              <w:rPr>
                <w:szCs w:val="24"/>
              </w:rPr>
              <w:t>上海高恩私募基金管理有限公司</w:t>
            </w:r>
            <w:r>
              <w:rPr>
                <w:rFonts w:hint="eastAsia"/>
                <w:szCs w:val="24"/>
              </w:rPr>
              <w:t>1</w:t>
            </w:r>
            <w:r>
              <w:rPr>
                <w:rFonts w:hint="eastAsia"/>
                <w:szCs w:val="24"/>
              </w:rPr>
              <w:t>人</w:t>
            </w:r>
          </w:p>
          <w:p w14:paraId="41DD9E82" w14:textId="30D5D404" w:rsidR="0035514C" w:rsidRDefault="0035514C" w:rsidP="000E78A3">
            <w:pPr>
              <w:jc w:val="center"/>
              <w:rPr>
                <w:szCs w:val="24"/>
              </w:rPr>
            </w:pPr>
            <w:r w:rsidRPr="0035514C">
              <w:rPr>
                <w:szCs w:val="24"/>
              </w:rPr>
              <w:t>中信证券</w:t>
            </w:r>
            <w:r>
              <w:rPr>
                <w:rFonts w:hint="eastAsia"/>
                <w:szCs w:val="24"/>
              </w:rPr>
              <w:t>1</w:t>
            </w:r>
            <w:r>
              <w:rPr>
                <w:rFonts w:hint="eastAsia"/>
                <w:szCs w:val="24"/>
              </w:rPr>
              <w:t>人</w:t>
            </w:r>
          </w:p>
          <w:p w14:paraId="4B8ED6CB" w14:textId="3CE8826A" w:rsidR="0035514C" w:rsidRDefault="0035514C" w:rsidP="000E78A3">
            <w:pPr>
              <w:jc w:val="center"/>
              <w:rPr>
                <w:szCs w:val="24"/>
              </w:rPr>
            </w:pPr>
            <w:r w:rsidRPr="0035514C">
              <w:rPr>
                <w:szCs w:val="24"/>
              </w:rPr>
              <w:t>荷荷</w:t>
            </w:r>
            <w:r w:rsidRPr="0035514C">
              <w:rPr>
                <w:szCs w:val="24"/>
              </w:rPr>
              <w:t>(</w:t>
            </w:r>
            <w:r w:rsidRPr="0035514C">
              <w:rPr>
                <w:szCs w:val="24"/>
              </w:rPr>
              <w:t>北京</w:t>
            </w:r>
            <w:r w:rsidRPr="0035514C">
              <w:rPr>
                <w:szCs w:val="24"/>
              </w:rPr>
              <w:t>)</w:t>
            </w:r>
            <w:r w:rsidRPr="0035514C">
              <w:rPr>
                <w:szCs w:val="24"/>
              </w:rPr>
              <w:t>私募基金管理有限公司</w:t>
            </w:r>
            <w:r>
              <w:rPr>
                <w:rFonts w:hint="eastAsia"/>
                <w:szCs w:val="24"/>
              </w:rPr>
              <w:t>1</w:t>
            </w:r>
            <w:r>
              <w:rPr>
                <w:rFonts w:hint="eastAsia"/>
                <w:szCs w:val="24"/>
              </w:rPr>
              <w:t>人</w:t>
            </w:r>
          </w:p>
          <w:p w14:paraId="3084AB4F" w14:textId="55D1387B" w:rsidR="0035514C" w:rsidRDefault="0035514C" w:rsidP="000E78A3">
            <w:pPr>
              <w:jc w:val="center"/>
              <w:rPr>
                <w:szCs w:val="24"/>
              </w:rPr>
            </w:pPr>
            <w:r w:rsidRPr="0035514C">
              <w:rPr>
                <w:szCs w:val="24"/>
              </w:rPr>
              <w:t>广东瑞天私募基金管理有限公司</w:t>
            </w:r>
            <w:r>
              <w:rPr>
                <w:rFonts w:hint="eastAsia"/>
                <w:szCs w:val="24"/>
              </w:rPr>
              <w:t>1</w:t>
            </w:r>
            <w:r>
              <w:rPr>
                <w:rFonts w:hint="eastAsia"/>
                <w:szCs w:val="24"/>
              </w:rPr>
              <w:t>人</w:t>
            </w:r>
          </w:p>
          <w:p w14:paraId="3D2F1F4C" w14:textId="3DB6E7B5" w:rsidR="0035514C" w:rsidRDefault="0035514C" w:rsidP="000E78A3">
            <w:pPr>
              <w:jc w:val="center"/>
              <w:rPr>
                <w:szCs w:val="24"/>
              </w:rPr>
            </w:pPr>
            <w:r w:rsidRPr="0035514C">
              <w:rPr>
                <w:szCs w:val="24"/>
              </w:rPr>
              <w:t>天惠投资有限责任公司</w:t>
            </w:r>
            <w:r>
              <w:rPr>
                <w:rFonts w:hint="eastAsia"/>
                <w:szCs w:val="24"/>
              </w:rPr>
              <w:t>1</w:t>
            </w:r>
            <w:r>
              <w:rPr>
                <w:rFonts w:hint="eastAsia"/>
                <w:szCs w:val="24"/>
              </w:rPr>
              <w:t>人</w:t>
            </w:r>
          </w:p>
          <w:p w14:paraId="3D0D752B" w14:textId="19E3934E" w:rsidR="0035514C" w:rsidRDefault="0035514C" w:rsidP="000E78A3">
            <w:pPr>
              <w:jc w:val="center"/>
              <w:rPr>
                <w:szCs w:val="24"/>
              </w:rPr>
            </w:pPr>
            <w:r w:rsidRPr="0035514C">
              <w:rPr>
                <w:szCs w:val="24"/>
              </w:rPr>
              <w:t>开源医药</w:t>
            </w:r>
            <w:r>
              <w:rPr>
                <w:rFonts w:hint="eastAsia"/>
                <w:szCs w:val="24"/>
              </w:rPr>
              <w:t>1</w:t>
            </w:r>
            <w:r>
              <w:rPr>
                <w:rFonts w:hint="eastAsia"/>
                <w:szCs w:val="24"/>
              </w:rPr>
              <w:t>人</w:t>
            </w:r>
          </w:p>
          <w:p w14:paraId="174E0F76" w14:textId="0D54126F" w:rsidR="0035514C" w:rsidRDefault="0035514C" w:rsidP="000E78A3">
            <w:pPr>
              <w:jc w:val="center"/>
              <w:rPr>
                <w:szCs w:val="24"/>
              </w:rPr>
            </w:pPr>
            <w:r w:rsidRPr="0035514C">
              <w:rPr>
                <w:szCs w:val="24"/>
              </w:rPr>
              <w:t>博</w:t>
            </w:r>
            <w:proofErr w:type="gramStart"/>
            <w:r w:rsidRPr="0035514C">
              <w:rPr>
                <w:szCs w:val="24"/>
              </w:rPr>
              <w:t>远基金</w:t>
            </w:r>
            <w:proofErr w:type="gramEnd"/>
            <w:r>
              <w:rPr>
                <w:rFonts w:hint="eastAsia"/>
                <w:szCs w:val="24"/>
              </w:rPr>
              <w:t>1</w:t>
            </w:r>
            <w:r>
              <w:rPr>
                <w:rFonts w:hint="eastAsia"/>
                <w:szCs w:val="24"/>
              </w:rPr>
              <w:t>人</w:t>
            </w:r>
          </w:p>
          <w:p w14:paraId="474D1B2B" w14:textId="39F4973B" w:rsidR="0035514C" w:rsidRDefault="0035514C" w:rsidP="000E78A3">
            <w:pPr>
              <w:jc w:val="center"/>
              <w:rPr>
                <w:szCs w:val="24"/>
              </w:rPr>
            </w:pPr>
            <w:r w:rsidRPr="0035514C">
              <w:rPr>
                <w:szCs w:val="24"/>
              </w:rPr>
              <w:t>宁波莲盛投资管理有限公司</w:t>
            </w:r>
            <w:r>
              <w:rPr>
                <w:rFonts w:hint="eastAsia"/>
                <w:szCs w:val="24"/>
              </w:rPr>
              <w:t>1</w:t>
            </w:r>
            <w:r>
              <w:rPr>
                <w:rFonts w:hint="eastAsia"/>
                <w:szCs w:val="24"/>
              </w:rPr>
              <w:t>人</w:t>
            </w:r>
          </w:p>
          <w:p w14:paraId="63EFF733" w14:textId="0503636C" w:rsidR="0035514C" w:rsidRDefault="0035514C" w:rsidP="000E78A3">
            <w:pPr>
              <w:jc w:val="center"/>
              <w:rPr>
                <w:szCs w:val="24"/>
              </w:rPr>
            </w:pPr>
            <w:r w:rsidRPr="0035514C">
              <w:rPr>
                <w:szCs w:val="24"/>
              </w:rPr>
              <w:t>金信基金管理有限公司</w:t>
            </w:r>
            <w:r>
              <w:rPr>
                <w:rFonts w:hint="eastAsia"/>
                <w:szCs w:val="24"/>
              </w:rPr>
              <w:t>1</w:t>
            </w:r>
            <w:r>
              <w:rPr>
                <w:rFonts w:hint="eastAsia"/>
                <w:szCs w:val="24"/>
              </w:rPr>
              <w:t>人</w:t>
            </w:r>
          </w:p>
          <w:p w14:paraId="08F243D0" w14:textId="513E492C" w:rsidR="0035514C" w:rsidRDefault="0035514C" w:rsidP="000E78A3">
            <w:pPr>
              <w:jc w:val="center"/>
              <w:rPr>
                <w:szCs w:val="24"/>
              </w:rPr>
            </w:pPr>
            <w:r w:rsidRPr="0035514C">
              <w:rPr>
                <w:szCs w:val="24"/>
              </w:rPr>
              <w:t>东方证券</w:t>
            </w:r>
            <w:r>
              <w:rPr>
                <w:rFonts w:hint="eastAsia"/>
                <w:szCs w:val="24"/>
              </w:rPr>
              <w:t>1</w:t>
            </w:r>
            <w:r>
              <w:rPr>
                <w:rFonts w:hint="eastAsia"/>
                <w:szCs w:val="24"/>
              </w:rPr>
              <w:t>人</w:t>
            </w:r>
          </w:p>
          <w:p w14:paraId="1294F9E5" w14:textId="200C0276" w:rsidR="0035514C" w:rsidRDefault="0035514C" w:rsidP="000E78A3">
            <w:pPr>
              <w:jc w:val="center"/>
              <w:rPr>
                <w:szCs w:val="24"/>
              </w:rPr>
            </w:pPr>
            <w:r w:rsidRPr="0035514C">
              <w:rPr>
                <w:szCs w:val="24"/>
              </w:rPr>
              <w:lastRenderedPageBreak/>
              <w:t>招商医药</w:t>
            </w:r>
            <w:r>
              <w:rPr>
                <w:rFonts w:hint="eastAsia"/>
                <w:szCs w:val="24"/>
              </w:rPr>
              <w:t>1</w:t>
            </w:r>
            <w:r>
              <w:rPr>
                <w:rFonts w:hint="eastAsia"/>
                <w:szCs w:val="24"/>
              </w:rPr>
              <w:t>人</w:t>
            </w:r>
          </w:p>
          <w:p w14:paraId="7CB3EC58" w14:textId="46599201" w:rsidR="0035514C" w:rsidRDefault="0035514C" w:rsidP="000E78A3">
            <w:pPr>
              <w:jc w:val="center"/>
              <w:rPr>
                <w:szCs w:val="24"/>
              </w:rPr>
            </w:pPr>
            <w:proofErr w:type="gramStart"/>
            <w:r w:rsidRPr="0035514C">
              <w:rPr>
                <w:szCs w:val="24"/>
              </w:rPr>
              <w:t>太朴生命</w:t>
            </w:r>
            <w:proofErr w:type="gramEnd"/>
            <w:r w:rsidRPr="0035514C">
              <w:rPr>
                <w:szCs w:val="24"/>
              </w:rPr>
              <w:t>科学投资</w:t>
            </w:r>
            <w:r>
              <w:rPr>
                <w:rFonts w:hint="eastAsia"/>
                <w:szCs w:val="24"/>
              </w:rPr>
              <w:t>1</w:t>
            </w:r>
            <w:r>
              <w:rPr>
                <w:rFonts w:hint="eastAsia"/>
                <w:szCs w:val="24"/>
              </w:rPr>
              <w:t>人</w:t>
            </w:r>
          </w:p>
          <w:p w14:paraId="001CEAE9" w14:textId="32765173" w:rsidR="00F565AE" w:rsidRPr="00A93C18" w:rsidRDefault="0035514C" w:rsidP="00A93C18">
            <w:pPr>
              <w:jc w:val="center"/>
              <w:rPr>
                <w:rFonts w:hint="eastAsia"/>
                <w:szCs w:val="24"/>
              </w:rPr>
            </w:pPr>
            <w:r w:rsidRPr="0035514C">
              <w:rPr>
                <w:szCs w:val="24"/>
              </w:rPr>
              <w:t>光大证券</w:t>
            </w:r>
            <w:r>
              <w:rPr>
                <w:rFonts w:hint="eastAsia"/>
                <w:szCs w:val="24"/>
              </w:rPr>
              <w:t>1</w:t>
            </w:r>
            <w:r>
              <w:rPr>
                <w:rFonts w:hint="eastAsia"/>
                <w:szCs w:val="24"/>
              </w:rPr>
              <w:t>人</w:t>
            </w:r>
          </w:p>
        </w:tc>
      </w:tr>
      <w:tr w:rsidR="00DC5E46" w:rsidRPr="009F4679" w14:paraId="4F23F2BF" w14:textId="77777777" w:rsidTr="009E3226">
        <w:trPr>
          <w:trHeight w:val="417"/>
        </w:trPr>
        <w:tc>
          <w:tcPr>
            <w:tcW w:w="2405" w:type="dxa"/>
          </w:tcPr>
          <w:p w14:paraId="12B1F227" w14:textId="5E374A71" w:rsidR="00DC5E46" w:rsidRPr="009F4679" w:rsidRDefault="00DC5E46" w:rsidP="00DC5E46">
            <w:pPr>
              <w:jc w:val="center"/>
              <w:rPr>
                <w:b/>
                <w:bCs/>
                <w:szCs w:val="24"/>
              </w:rPr>
            </w:pPr>
            <w:r w:rsidRPr="009F4679">
              <w:rPr>
                <w:rFonts w:hint="eastAsia"/>
                <w:b/>
                <w:bCs/>
                <w:szCs w:val="24"/>
              </w:rPr>
              <w:lastRenderedPageBreak/>
              <w:t>时间</w:t>
            </w:r>
          </w:p>
        </w:tc>
        <w:tc>
          <w:tcPr>
            <w:tcW w:w="5891" w:type="dxa"/>
            <w:vAlign w:val="center"/>
          </w:tcPr>
          <w:p w14:paraId="4FA384A1" w14:textId="5CBF5F91" w:rsidR="009E4EB5" w:rsidRPr="009F4679" w:rsidRDefault="00A84C98" w:rsidP="009E3226">
            <w:pPr>
              <w:jc w:val="center"/>
              <w:rPr>
                <w:szCs w:val="24"/>
              </w:rPr>
            </w:pPr>
            <w:r w:rsidRPr="004F615E">
              <w:rPr>
                <w:rFonts w:hint="eastAsia"/>
                <w:szCs w:val="24"/>
              </w:rPr>
              <w:t>202</w:t>
            </w:r>
            <w:r w:rsidR="00E8003B" w:rsidRPr="004F615E">
              <w:rPr>
                <w:rFonts w:hint="eastAsia"/>
                <w:szCs w:val="24"/>
              </w:rPr>
              <w:t>6</w:t>
            </w:r>
            <w:r w:rsidRPr="004F615E">
              <w:rPr>
                <w:rFonts w:hint="eastAsia"/>
                <w:szCs w:val="24"/>
              </w:rPr>
              <w:t>年</w:t>
            </w:r>
            <w:r w:rsidR="004F615E" w:rsidRPr="004F615E">
              <w:rPr>
                <w:rFonts w:hint="eastAsia"/>
                <w:szCs w:val="24"/>
              </w:rPr>
              <w:t>4</w:t>
            </w:r>
            <w:r w:rsidRPr="004F615E">
              <w:rPr>
                <w:rFonts w:hint="eastAsia"/>
                <w:szCs w:val="24"/>
              </w:rPr>
              <w:t>月</w:t>
            </w:r>
            <w:r w:rsidR="004F615E" w:rsidRPr="004F615E">
              <w:rPr>
                <w:rFonts w:hint="eastAsia"/>
                <w:szCs w:val="24"/>
              </w:rPr>
              <w:t>29</w:t>
            </w:r>
            <w:r w:rsidRPr="004F615E">
              <w:rPr>
                <w:rFonts w:hint="eastAsia"/>
                <w:szCs w:val="24"/>
              </w:rPr>
              <w:t>日</w:t>
            </w:r>
          </w:p>
        </w:tc>
      </w:tr>
      <w:tr w:rsidR="00DC5E46" w:rsidRPr="009F4679" w14:paraId="15E4FF35" w14:textId="77777777" w:rsidTr="009E3226">
        <w:trPr>
          <w:trHeight w:val="423"/>
        </w:trPr>
        <w:tc>
          <w:tcPr>
            <w:tcW w:w="2405" w:type="dxa"/>
            <w:vAlign w:val="center"/>
          </w:tcPr>
          <w:p w14:paraId="3124768F" w14:textId="1FBA5ECA" w:rsidR="00DC5E46" w:rsidRPr="009F4679" w:rsidRDefault="00DC5E46" w:rsidP="006D0E44">
            <w:pPr>
              <w:jc w:val="center"/>
              <w:rPr>
                <w:b/>
                <w:bCs/>
                <w:szCs w:val="24"/>
              </w:rPr>
            </w:pPr>
            <w:r w:rsidRPr="009F4679">
              <w:rPr>
                <w:rFonts w:hint="eastAsia"/>
                <w:b/>
                <w:bCs/>
                <w:szCs w:val="24"/>
              </w:rPr>
              <w:t>地点</w:t>
            </w:r>
          </w:p>
        </w:tc>
        <w:tc>
          <w:tcPr>
            <w:tcW w:w="5891" w:type="dxa"/>
            <w:vAlign w:val="center"/>
          </w:tcPr>
          <w:p w14:paraId="5EE51860" w14:textId="495EE0A6" w:rsidR="00BC167A" w:rsidRPr="00BC167A" w:rsidRDefault="00454692" w:rsidP="00DF2AC4">
            <w:pPr>
              <w:jc w:val="center"/>
              <w:rPr>
                <w:szCs w:val="24"/>
              </w:rPr>
            </w:pPr>
            <w:r w:rsidRPr="00454692">
              <w:rPr>
                <w:szCs w:val="24"/>
              </w:rPr>
              <w:t>全时会议</w:t>
            </w:r>
            <w:r w:rsidR="00323A58">
              <w:rPr>
                <w:rFonts w:hint="eastAsia"/>
                <w:szCs w:val="24"/>
              </w:rPr>
              <w:t>/</w:t>
            </w:r>
            <w:r w:rsidR="00BC167A" w:rsidRPr="00454692">
              <w:rPr>
                <w:rFonts w:hint="eastAsia"/>
                <w:szCs w:val="24"/>
              </w:rPr>
              <w:t>进门财经电话会议</w:t>
            </w:r>
          </w:p>
        </w:tc>
      </w:tr>
      <w:tr w:rsidR="00DC5E46" w:rsidRPr="009F4679" w14:paraId="3765D790" w14:textId="77777777" w:rsidTr="009E3226">
        <w:tc>
          <w:tcPr>
            <w:tcW w:w="2405" w:type="dxa"/>
            <w:vAlign w:val="center"/>
          </w:tcPr>
          <w:p w14:paraId="0BE2A0E8" w14:textId="023B749A" w:rsidR="009F4679" w:rsidRPr="009F4679" w:rsidRDefault="00DC5E46" w:rsidP="009E3226">
            <w:pPr>
              <w:jc w:val="center"/>
              <w:rPr>
                <w:b/>
                <w:bCs/>
                <w:szCs w:val="24"/>
              </w:rPr>
            </w:pPr>
            <w:r w:rsidRPr="009F4679">
              <w:rPr>
                <w:rFonts w:hint="eastAsia"/>
                <w:b/>
                <w:bCs/>
                <w:szCs w:val="24"/>
              </w:rPr>
              <w:t>上市公司接待人员</w:t>
            </w:r>
          </w:p>
          <w:p w14:paraId="0D1F500D" w14:textId="014D41D1" w:rsidR="00DC5E46" w:rsidRPr="009F4679" w:rsidRDefault="009F4679" w:rsidP="009E3226">
            <w:pPr>
              <w:jc w:val="center"/>
              <w:rPr>
                <w:b/>
                <w:bCs/>
                <w:szCs w:val="24"/>
              </w:rPr>
            </w:pPr>
            <w:r w:rsidRPr="009F4679">
              <w:rPr>
                <w:rFonts w:hint="eastAsia"/>
                <w:b/>
                <w:bCs/>
                <w:szCs w:val="24"/>
              </w:rPr>
              <w:t>姓名</w:t>
            </w:r>
          </w:p>
        </w:tc>
        <w:tc>
          <w:tcPr>
            <w:tcW w:w="5891" w:type="dxa"/>
          </w:tcPr>
          <w:p w14:paraId="0913C313" w14:textId="77777777" w:rsidR="00066FC9" w:rsidRDefault="00066FC9" w:rsidP="00066FC9">
            <w:pPr>
              <w:jc w:val="center"/>
              <w:rPr>
                <w:szCs w:val="24"/>
              </w:rPr>
            </w:pPr>
            <w:r>
              <w:rPr>
                <w:rFonts w:hint="eastAsia"/>
                <w:szCs w:val="24"/>
              </w:rPr>
              <w:t>董事长</w:t>
            </w:r>
            <w:r>
              <w:rPr>
                <w:rFonts w:hint="eastAsia"/>
                <w:szCs w:val="24"/>
              </w:rPr>
              <w:t xml:space="preserve"> </w:t>
            </w:r>
            <w:r>
              <w:rPr>
                <w:rFonts w:hint="eastAsia"/>
                <w:szCs w:val="24"/>
              </w:rPr>
              <w:t>赵宣</w:t>
            </w:r>
          </w:p>
          <w:p w14:paraId="562F6C85" w14:textId="77777777" w:rsidR="00066FC9" w:rsidRDefault="00066FC9" w:rsidP="00066FC9">
            <w:pPr>
              <w:jc w:val="center"/>
              <w:rPr>
                <w:szCs w:val="24"/>
              </w:rPr>
            </w:pPr>
            <w:r>
              <w:rPr>
                <w:rFonts w:hint="eastAsia"/>
                <w:szCs w:val="24"/>
              </w:rPr>
              <w:t>董事会秘书</w:t>
            </w:r>
            <w:r>
              <w:rPr>
                <w:rFonts w:hint="eastAsia"/>
                <w:szCs w:val="24"/>
              </w:rPr>
              <w:t xml:space="preserve"> </w:t>
            </w:r>
            <w:r>
              <w:rPr>
                <w:rFonts w:hint="eastAsia"/>
                <w:szCs w:val="24"/>
              </w:rPr>
              <w:t>陈斌</w:t>
            </w:r>
          </w:p>
          <w:p w14:paraId="74630221" w14:textId="77777777" w:rsidR="00066FC9" w:rsidRDefault="00066FC9" w:rsidP="00066FC9">
            <w:pPr>
              <w:jc w:val="center"/>
              <w:rPr>
                <w:szCs w:val="24"/>
              </w:rPr>
            </w:pPr>
            <w:r>
              <w:rPr>
                <w:rFonts w:hint="eastAsia"/>
                <w:szCs w:val="24"/>
              </w:rPr>
              <w:t>财务总监</w:t>
            </w:r>
            <w:r>
              <w:rPr>
                <w:rFonts w:hint="eastAsia"/>
                <w:szCs w:val="24"/>
              </w:rPr>
              <w:t xml:space="preserve"> </w:t>
            </w:r>
            <w:r>
              <w:rPr>
                <w:rFonts w:hint="eastAsia"/>
                <w:szCs w:val="24"/>
              </w:rPr>
              <w:t>韩磊</w:t>
            </w:r>
          </w:p>
          <w:p w14:paraId="054EB441" w14:textId="1555A7B3" w:rsidR="00495392" w:rsidRPr="009F4679" w:rsidRDefault="00066FC9" w:rsidP="00066FC9">
            <w:pPr>
              <w:jc w:val="center"/>
              <w:rPr>
                <w:szCs w:val="24"/>
              </w:rPr>
            </w:pPr>
            <w:r>
              <w:rPr>
                <w:rFonts w:hint="eastAsia"/>
                <w:szCs w:val="24"/>
              </w:rPr>
              <w:t>证券事务代表</w:t>
            </w:r>
            <w:r>
              <w:rPr>
                <w:rFonts w:hint="eastAsia"/>
                <w:szCs w:val="24"/>
              </w:rPr>
              <w:t xml:space="preserve"> </w:t>
            </w:r>
            <w:r>
              <w:rPr>
                <w:rFonts w:hint="eastAsia"/>
                <w:szCs w:val="24"/>
              </w:rPr>
              <w:t>常逸群</w:t>
            </w:r>
          </w:p>
        </w:tc>
      </w:tr>
      <w:tr w:rsidR="00DC5E46" w:rsidRPr="009F4679" w14:paraId="1C6FB3BE" w14:textId="77777777" w:rsidTr="009F4679">
        <w:tc>
          <w:tcPr>
            <w:tcW w:w="2405" w:type="dxa"/>
          </w:tcPr>
          <w:p w14:paraId="590B80C2" w14:textId="0931D361" w:rsidR="00DC5E46" w:rsidRPr="009F4679" w:rsidRDefault="00DC5E46" w:rsidP="00D83A4D">
            <w:pPr>
              <w:jc w:val="center"/>
              <w:rPr>
                <w:b/>
                <w:bCs/>
                <w:szCs w:val="24"/>
              </w:rPr>
            </w:pPr>
            <w:r w:rsidRPr="009F4679">
              <w:rPr>
                <w:rFonts w:hint="eastAsia"/>
                <w:b/>
                <w:bCs/>
                <w:szCs w:val="24"/>
              </w:rPr>
              <w:t>投资者关系活动主要内容介绍</w:t>
            </w:r>
          </w:p>
        </w:tc>
        <w:tc>
          <w:tcPr>
            <w:tcW w:w="5891" w:type="dxa"/>
          </w:tcPr>
          <w:p w14:paraId="22A09054" w14:textId="327DC44C" w:rsidR="00F232CD" w:rsidRPr="006813B7" w:rsidRDefault="00F004B2" w:rsidP="00782E83">
            <w:pPr>
              <w:rPr>
                <w:szCs w:val="24"/>
              </w:rPr>
            </w:pPr>
            <w:bookmarkStart w:id="0" w:name="2260-1619658689666"/>
            <w:bookmarkStart w:id="1" w:name="5541-1619658977839"/>
            <w:bookmarkEnd w:id="0"/>
            <w:bookmarkEnd w:id="1"/>
            <w:r w:rsidRPr="006813B7">
              <w:rPr>
                <w:rFonts w:hint="eastAsia"/>
                <w:szCs w:val="24"/>
              </w:rPr>
              <w:t>一、</w:t>
            </w:r>
            <w:r w:rsidR="00A908F2" w:rsidRPr="006813B7">
              <w:rPr>
                <w:rFonts w:hint="eastAsia"/>
                <w:szCs w:val="24"/>
              </w:rPr>
              <w:t>公司</w:t>
            </w:r>
            <w:r w:rsidR="0078519A" w:rsidRPr="006813B7">
              <w:rPr>
                <w:rFonts w:hint="eastAsia"/>
                <w:szCs w:val="24"/>
              </w:rPr>
              <w:t>介绍</w:t>
            </w:r>
            <w:r w:rsidR="00A908F2" w:rsidRPr="006813B7">
              <w:rPr>
                <w:rFonts w:hint="eastAsia"/>
                <w:szCs w:val="24"/>
              </w:rPr>
              <w:t>202</w:t>
            </w:r>
            <w:r w:rsidR="00062B84" w:rsidRPr="006813B7">
              <w:rPr>
                <w:rFonts w:hint="eastAsia"/>
                <w:szCs w:val="24"/>
              </w:rPr>
              <w:t>5</w:t>
            </w:r>
            <w:r w:rsidR="004F615E">
              <w:rPr>
                <w:rFonts w:hint="eastAsia"/>
                <w:szCs w:val="24"/>
              </w:rPr>
              <w:t>年度</w:t>
            </w:r>
            <w:r w:rsidR="00062B84" w:rsidRPr="006813B7">
              <w:rPr>
                <w:rFonts w:hint="eastAsia"/>
                <w:szCs w:val="24"/>
              </w:rPr>
              <w:t>及</w:t>
            </w:r>
            <w:r w:rsidR="00062B84" w:rsidRPr="006813B7">
              <w:rPr>
                <w:rFonts w:hint="eastAsia"/>
                <w:szCs w:val="24"/>
              </w:rPr>
              <w:t>2026</w:t>
            </w:r>
            <w:r w:rsidR="00062B84" w:rsidRPr="006813B7">
              <w:rPr>
                <w:rFonts w:hint="eastAsia"/>
                <w:szCs w:val="24"/>
              </w:rPr>
              <w:t>年</w:t>
            </w:r>
            <w:r w:rsidR="00A908F2" w:rsidRPr="006813B7">
              <w:rPr>
                <w:rFonts w:hint="eastAsia"/>
                <w:szCs w:val="24"/>
              </w:rPr>
              <w:t>Q</w:t>
            </w:r>
            <w:r w:rsidR="00062B84" w:rsidRPr="006813B7">
              <w:rPr>
                <w:rFonts w:hint="eastAsia"/>
                <w:szCs w:val="24"/>
              </w:rPr>
              <w:t>1</w:t>
            </w:r>
            <w:r w:rsidR="00A908F2" w:rsidRPr="006813B7">
              <w:rPr>
                <w:rFonts w:hint="eastAsia"/>
                <w:szCs w:val="24"/>
              </w:rPr>
              <w:t>主要情况</w:t>
            </w:r>
          </w:p>
          <w:p w14:paraId="4CCD1853" w14:textId="77777777" w:rsidR="006813B7" w:rsidRDefault="006813B7" w:rsidP="006813B7">
            <w:pPr>
              <w:ind w:firstLineChars="200" w:firstLine="480"/>
            </w:pPr>
            <w:r>
              <w:rPr>
                <w:rFonts w:hint="eastAsia"/>
              </w:rPr>
              <w:t>首先，感谢中信、申万、国联民生、华创、东吴、开源、中信建投、中邮、方正、招商、平安的分析师朋友组织本次键凯科技</w:t>
            </w:r>
            <w:r>
              <w:rPr>
                <w:rFonts w:hint="eastAsia"/>
              </w:rPr>
              <w:t>2025</w:t>
            </w:r>
            <w:r>
              <w:rPr>
                <w:rFonts w:hint="eastAsia"/>
              </w:rPr>
              <w:t>年年报暨</w:t>
            </w:r>
            <w:r>
              <w:rPr>
                <w:rFonts w:hint="eastAsia"/>
              </w:rPr>
              <w:t>2026</w:t>
            </w:r>
            <w:r>
              <w:rPr>
                <w:rFonts w:hint="eastAsia"/>
              </w:rPr>
              <w:t>年一季报业绩说明会。</w:t>
            </w:r>
          </w:p>
          <w:p w14:paraId="732B1791" w14:textId="5C4FB126" w:rsidR="006813B7" w:rsidRDefault="006813B7" w:rsidP="006813B7">
            <w:pPr>
              <w:ind w:firstLineChars="200" w:firstLine="480"/>
            </w:pPr>
            <w:r>
              <w:rPr>
                <w:rFonts w:hint="eastAsia"/>
              </w:rPr>
              <w:t>公司于</w:t>
            </w:r>
            <w:r>
              <w:rPr>
                <w:rFonts w:hint="eastAsia"/>
              </w:rPr>
              <w:t>2026</w:t>
            </w:r>
            <w:r>
              <w:rPr>
                <w:rFonts w:hint="eastAsia"/>
              </w:rPr>
              <w:t>年</w:t>
            </w:r>
            <w:r>
              <w:rPr>
                <w:rFonts w:hint="eastAsia"/>
              </w:rPr>
              <w:t>4</w:t>
            </w:r>
            <w:r>
              <w:rPr>
                <w:rFonts w:hint="eastAsia"/>
              </w:rPr>
              <w:t>月</w:t>
            </w:r>
            <w:r>
              <w:rPr>
                <w:rFonts w:hint="eastAsia"/>
              </w:rPr>
              <w:t>29</w:t>
            </w:r>
            <w:r>
              <w:rPr>
                <w:rFonts w:hint="eastAsia"/>
              </w:rPr>
              <w:t>日正式披露了</w:t>
            </w:r>
            <w:r>
              <w:rPr>
                <w:rFonts w:hint="eastAsia"/>
              </w:rPr>
              <w:t>2025</w:t>
            </w:r>
            <w:r>
              <w:rPr>
                <w:rFonts w:hint="eastAsia"/>
              </w:rPr>
              <w:t>年的年报和</w:t>
            </w:r>
            <w:r>
              <w:rPr>
                <w:rFonts w:hint="eastAsia"/>
              </w:rPr>
              <w:t>2026</w:t>
            </w:r>
            <w:r>
              <w:rPr>
                <w:rFonts w:hint="eastAsia"/>
              </w:rPr>
              <w:t>年的一季报。</w:t>
            </w:r>
            <w:r>
              <w:rPr>
                <w:rFonts w:hint="eastAsia"/>
              </w:rPr>
              <w:t>2025</w:t>
            </w:r>
            <w:r>
              <w:rPr>
                <w:rFonts w:hint="eastAsia"/>
              </w:rPr>
              <w:t>年全年，公司营业收入</w:t>
            </w:r>
            <w:r>
              <w:rPr>
                <w:rFonts w:hint="eastAsia"/>
              </w:rPr>
              <w:t>3.18</w:t>
            </w:r>
            <w:r>
              <w:rPr>
                <w:rFonts w:hint="eastAsia"/>
              </w:rPr>
              <w:t>亿元，较上年同比增长</w:t>
            </w:r>
            <w:r>
              <w:rPr>
                <w:rFonts w:hint="eastAsia"/>
              </w:rPr>
              <w:t>40.13%</w:t>
            </w:r>
            <w:r>
              <w:rPr>
                <w:rFonts w:hint="eastAsia"/>
              </w:rPr>
              <w:t>；归母净利润</w:t>
            </w:r>
            <w:r>
              <w:rPr>
                <w:rFonts w:hint="eastAsia"/>
              </w:rPr>
              <w:t>6169.98</w:t>
            </w:r>
            <w:r>
              <w:rPr>
                <w:rFonts w:hint="eastAsia"/>
              </w:rPr>
              <w:t>万元，较上年同比增长</w:t>
            </w:r>
            <w:r>
              <w:rPr>
                <w:rFonts w:hint="eastAsia"/>
              </w:rPr>
              <w:t>106.78%</w:t>
            </w:r>
            <w:r>
              <w:rPr>
                <w:rFonts w:hint="eastAsia"/>
              </w:rPr>
              <w:t>。依托于收入结构的逐步调整，报告期内，公司整体经营情况从收入端和净利润端均有所好转。</w:t>
            </w:r>
            <w:r>
              <w:rPr>
                <w:rFonts w:hint="eastAsia"/>
              </w:rPr>
              <w:t>2025</w:t>
            </w:r>
            <w:r>
              <w:rPr>
                <w:rFonts w:hint="eastAsia"/>
              </w:rPr>
              <w:t>年，营业总收入与利润实现同步增长，主要得益于公司海外产品销售业务的显著增长。一方面，海外新药客户产品上市后销售持续放量，相关订单收入实现显著增长；另一方面，海外医疗器械大客户的订单量较上年同期明显提升，带动公司海外医疗器械端销售收入稳步增长。在海外新药与医疗器械两大板块的共同推动下，公司营业总收入与净利润在</w:t>
            </w:r>
            <w:r>
              <w:rPr>
                <w:rFonts w:hint="eastAsia"/>
              </w:rPr>
              <w:t>2025</w:t>
            </w:r>
            <w:r>
              <w:rPr>
                <w:rFonts w:hint="eastAsia"/>
              </w:rPr>
              <w:t>年均实现良好增长。国内销售方面，历史主要大客户的高基数在</w:t>
            </w:r>
            <w:r>
              <w:rPr>
                <w:rFonts w:hint="eastAsia"/>
              </w:rPr>
              <w:t>2025</w:t>
            </w:r>
            <w:r>
              <w:rPr>
                <w:rFonts w:hint="eastAsia"/>
              </w:rPr>
              <w:t>年上半年彻底出清，下半年开始，随着特宝生物新药获批，来自相关产品的订单和技术服务费同步提升，同时国内新增</w:t>
            </w:r>
            <w:r>
              <w:rPr>
                <w:rFonts w:hint="eastAsia"/>
              </w:rPr>
              <w:t>IND</w:t>
            </w:r>
            <w:r>
              <w:rPr>
                <w:rFonts w:hint="eastAsia"/>
              </w:rPr>
              <w:t>阶段客户订单有一定放量，国内销售情况在下半年明显回升。</w:t>
            </w:r>
          </w:p>
          <w:p w14:paraId="573419B3" w14:textId="77777777" w:rsidR="006813B7" w:rsidRDefault="006813B7" w:rsidP="006813B7">
            <w:pPr>
              <w:ind w:firstLineChars="200" w:firstLine="480"/>
            </w:pPr>
            <w:r>
              <w:rPr>
                <w:rFonts w:hint="eastAsia"/>
              </w:rPr>
              <w:t>2026</w:t>
            </w:r>
            <w:r>
              <w:rPr>
                <w:rFonts w:hint="eastAsia"/>
              </w:rPr>
              <w:t>年一季度，公司营业收入</w:t>
            </w:r>
            <w:r>
              <w:rPr>
                <w:rFonts w:hint="eastAsia"/>
              </w:rPr>
              <w:t>7914.31</w:t>
            </w:r>
            <w:r>
              <w:rPr>
                <w:rFonts w:hint="eastAsia"/>
              </w:rPr>
              <w:t>万元，较上年同比增长</w:t>
            </w:r>
            <w:r>
              <w:rPr>
                <w:rFonts w:hint="eastAsia"/>
              </w:rPr>
              <w:t>14.53%</w:t>
            </w:r>
            <w:r>
              <w:rPr>
                <w:rFonts w:hint="eastAsia"/>
              </w:rPr>
              <w:t>；归母净利润</w:t>
            </w:r>
            <w:r>
              <w:rPr>
                <w:rFonts w:hint="eastAsia"/>
              </w:rPr>
              <w:t>2241.53</w:t>
            </w:r>
            <w:r>
              <w:rPr>
                <w:rFonts w:hint="eastAsia"/>
              </w:rPr>
              <w:t>万元，较上年同比增长</w:t>
            </w:r>
            <w:r>
              <w:rPr>
                <w:rFonts w:hint="eastAsia"/>
              </w:rPr>
              <w:t>88.67%</w:t>
            </w:r>
            <w:r>
              <w:rPr>
                <w:rFonts w:hint="eastAsia"/>
              </w:rPr>
              <w:t>。</w:t>
            </w:r>
            <w:r>
              <w:rPr>
                <w:rFonts w:hint="eastAsia"/>
              </w:rPr>
              <w:t>2026</w:t>
            </w:r>
            <w:r>
              <w:rPr>
                <w:rFonts w:hint="eastAsia"/>
              </w:rPr>
              <w:t>年一季度收入增长，主要来自国内下游药品端客户获批上市的新产品销售放量带来的订单收入和技术服务收入增长，同时，今年一季度，国内其他主要客户订单交付数量也较去年同期大幅增长。一季度国外产品销售收入较上年同期下降</w:t>
            </w:r>
            <w:r>
              <w:rPr>
                <w:rFonts w:hint="eastAsia"/>
              </w:rPr>
              <w:t>14.80%</w:t>
            </w:r>
            <w:r>
              <w:rPr>
                <w:rFonts w:hint="eastAsia"/>
              </w:rPr>
              <w:t>，主要受海外新药大客户备货节奏变动，导致报告期内的订单交付数量较上年同期下降幅度较大的影响。一季度来自海外医疗器械端客户的产品销售收入较上年同期仍有较为稳健的增长。</w:t>
            </w:r>
          </w:p>
          <w:p w14:paraId="04CAC3F8" w14:textId="77777777" w:rsidR="006813B7" w:rsidRDefault="006813B7" w:rsidP="006813B7">
            <w:pPr>
              <w:ind w:firstLineChars="200" w:firstLine="480"/>
            </w:pPr>
            <w:r>
              <w:rPr>
                <w:rFonts w:hint="eastAsia"/>
              </w:rPr>
              <w:t>毛利率方面，</w:t>
            </w:r>
            <w:r>
              <w:rPr>
                <w:rFonts w:hint="eastAsia"/>
              </w:rPr>
              <w:t>2025</w:t>
            </w:r>
            <w:r>
              <w:rPr>
                <w:rFonts w:hint="eastAsia"/>
              </w:rPr>
              <w:t>年度综合毛利率</w:t>
            </w:r>
            <w:r>
              <w:rPr>
                <w:rFonts w:hint="eastAsia"/>
              </w:rPr>
              <w:t>63.35%</w:t>
            </w:r>
            <w:r>
              <w:rPr>
                <w:rFonts w:hint="eastAsia"/>
              </w:rPr>
              <w:t>，较上</w:t>
            </w:r>
            <w:r>
              <w:rPr>
                <w:rFonts w:hint="eastAsia"/>
              </w:rPr>
              <w:lastRenderedPageBreak/>
              <w:t>年同期下降</w:t>
            </w:r>
            <w:r>
              <w:rPr>
                <w:rFonts w:hint="eastAsia"/>
              </w:rPr>
              <w:t>5.86</w:t>
            </w:r>
            <w:r>
              <w:rPr>
                <w:rFonts w:hint="eastAsia"/>
              </w:rPr>
              <w:t>个百分点。主要受产品销售量增加导致营业成本金额增加、国内产品销售价格下降及销售的存货受当时产量及折旧分摊等因素影响归集的成本较高所致。</w:t>
            </w:r>
            <w:r>
              <w:rPr>
                <w:rFonts w:hint="eastAsia"/>
              </w:rPr>
              <w:t>2026</w:t>
            </w:r>
            <w:r>
              <w:rPr>
                <w:rFonts w:hint="eastAsia"/>
              </w:rPr>
              <w:t>年第一季度，公司综合毛利率为</w:t>
            </w:r>
            <w:r>
              <w:rPr>
                <w:rFonts w:hint="eastAsia"/>
              </w:rPr>
              <w:t>70.22%</w:t>
            </w:r>
            <w:r>
              <w:rPr>
                <w:rFonts w:hint="eastAsia"/>
              </w:rPr>
              <w:t>，较上年同期增加</w:t>
            </w:r>
            <w:r>
              <w:rPr>
                <w:rFonts w:hint="eastAsia"/>
              </w:rPr>
              <w:t>13.73</w:t>
            </w:r>
            <w:r>
              <w:rPr>
                <w:rFonts w:hint="eastAsia"/>
              </w:rPr>
              <w:t>个百分点，主要为规模效应导致成本摊薄及历史上的高成本存影响消除所致。此外，技术服务收入的同比增长也对本期毛利率的提升产生了一定积极影响。</w:t>
            </w:r>
          </w:p>
          <w:p w14:paraId="71CCAFB2" w14:textId="432F453A" w:rsidR="006813B7" w:rsidRDefault="006813B7" w:rsidP="006813B7">
            <w:pPr>
              <w:ind w:firstLineChars="200" w:firstLine="480"/>
            </w:pPr>
            <w:r>
              <w:rPr>
                <w:rFonts w:hint="eastAsia"/>
              </w:rPr>
              <w:t>研发费用方面，</w:t>
            </w:r>
            <w:r>
              <w:rPr>
                <w:rFonts w:hint="eastAsia"/>
              </w:rPr>
              <w:t>2025</w:t>
            </w:r>
            <w:r>
              <w:rPr>
                <w:rFonts w:hint="eastAsia"/>
              </w:rPr>
              <w:t>年全年公司累计研发投入</w:t>
            </w:r>
            <w:r>
              <w:rPr>
                <w:rFonts w:hint="eastAsia"/>
              </w:rPr>
              <w:t>9,824.94</w:t>
            </w:r>
            <w:r>
              <w:rPr>
                <w:rFonts w:hint="eastAsia"/>
              </w:rPr>
              <w:t>万元，同比增加</w:t>
            </w:r>
            <w:r>
              <w:rPr>
                <w:rFonts w:hint="eastAsia"/>
              </w:rPr>
              <w:t>22.89%</w:t>
            </w:r>
            <w:r>
              <w:rPr>
                <w:rFonts w:hint="eastAsia"/>
              </w:rPr>
              <w:t>，研发投入占营业收入的比重达到</w:t>
            </w:r>
            <w:r>
              <w:rPr>
                <w:rFonts w:hint="eastAsia"/>
              </w:rPr>
              <w:t>30.87%</w:t>
            </w:r>
            <w:r>
              <w:rPr>
                <w:rFonts w:hint="eastAsia"/>
              </w:rPr>
              <w:t>。其中资本化研发投入金额</w:t>
            </w:r>
            <w:r>
              <w:rPr>
                <w:rFonts w:hint="eastAsia"/>
              </w:rPr>
              <w:t>4,353.02</w:t>
            </w:r>
            <w:r>
              <w:rPr>
                <w:rFonts w:hint="eastAsia"/>
              </w:rPr>
              <w:t>万元，主要</w:t>
            </w:r>
            <w:proofErr w:type="gramStart"/>
            <w:r>
              <w:rPr>
                <w:rFonts w:hint="eastAsia"/>
              </w:rPr>
              <w:t>系报告</w:t>
            </w:r>
            <w:proofErr w:type="gramEnd"/>
            <w:r>
              <w:rPr>
                <w:rFonts w:hint="eastAsia"/>
              </w:rPr>
              <w:t>期内研发项目</w:t>
            </w:r>
            <w:r>
              <w:rPr>
                <w:rFonts w:hint="eastAsia"/>
              </w:rPr>
              <w:t>JK-1201I</w:t>
            </w:r>
            <w:r>
              <w:rPr>
                <w:rFonts w:hint="eastAsia"/>
              </w:rPr>
              <w:t>小细胞肺癌适应症Ⅲ期临床试验根据临床试验进度归集的开发支出投</w:t>
            </w:r>
            <w:r w:rsidR="00A64DDE">
              <w:rPr>
                <w:rFonts w:hint="eastAsia"/>
              </w:rPr>
              <w:t>入</w:t>
            </w:r>
            <w:r>
              <w:rPr>
                <w:rFonts w:hint="eastAsia"/>
              </w:rPr>
              <w:t>；费用化研发投入金额</w:t>
            </w:r>
            <w:r>
              <w:rPr>
                <w:rFonts w:hint="eastAsia"/>
              </w:rPr>
              <w:t>5,471.91</w:t>
            </w:r>
            <w:r>
              <w:rPr>
                <w:rFonts w:hint="eastAsia"/>
              </w:rPr>
              <w:t>万元，主要系</w:t>
            </w:r>
            <w:r w:rsidR="004B3F17" w:rsidRPr="004B3F17">
              <w:t>JK-1201I</w:t>
            </w:r>
            <w:r>
              <w:rPr>
                <w:rFonts w:hint="eastAsia"/>
              </w:rPr>
              <w:t>脑胶质瘤适应症及</w:t>
            </w:r>
            <w:r>
              <w:rPr>
                <w:rFonts w:hint="eastAsia"/>
              </w:rPr>
              <w:t>HER2</w:t>
            </w:r>
            <w:r>
              <w:rPr>
                <w:rFonts w:hint="eastAsia"/>
              </w:rPr>
              <w:t>阴性乳腺癌伴脑转移适应症的Ⅱ期临床入组相关研发投入，以及三类医疗器械项目的研发投入。</w:t>
            </w:r>
            <w:r>
              <w:rPr>
                <w:rFonts w:hint="eastAsia"/>
              </w:rPr>
              <w:t>2026</w:t>
            </w:r>
            <w:r>
              <w:rPr>
                <w:rFonts w:hint="eastAsia"/>
              </w:rPr>
              <w:t>年第一季度，公司研发投入合计</w:t>
            </w:r>
            <w:r>
              <w:rPr>
                <w:rFonts w:hint="eastAsia"/>
              </w:rPr>
              <w:t>1424.63</w:t>
            </w:r>
            <w:r>
              <w:rPr>
                <w:rFonts w:hint="eastAsia"/>
              </w:rPr>
              <w:t>万元。其中，费用化研发投入金额为</w:t>
            </w:r>
            <w:r>
              <w:rPr>
                <w:rFonts w:hint="eastAsia"/>
              </w:rPr>
              <w:t>1,223.65</w:t>
            </w:r>
            <w:r>
              <w:rPr>
                <w:rFonts w:hint="eastAsia"/>
              </w:rPr>
              <w:t>万元，主要为</w:t>
            </w:r>
            <w:r>
              <w:rPr>
                <w:rFonts w:hint="eastAsia"/>
              </w:rPr>
              <w:t>JK1201I</w:t>
            </w:r>
            <w:r>
              <w:rPr>
                <w:rFonts w:hint="eastAsia"/>
              </w:rPr>
              <w:t>研发项目Ⅱ期临床试验相关的人员、材料和临床费用，</w:t>
            </w:r>
            <w:r>
              <w:rPr>
                <w:rFonts w:hint="eastAsia"/>
              </w:rPr>
              <w:t>mRNA</w:t>
            </w:r>
            <w:r>
              <w:rPr>
                <w:rFonts w:hint="eastAsia"/>
              </w:rPr>
              <w:t>肿瘤疫苗项目的临床前研究投入以及其他在研项目及</w:t>
            </w:r>
            <w:r w:rsidR="00405D03">
              <w:rPr>
                <w:rFonts w:hint="eastAsia"/>
              </w:rPr>
              <w:t>分析</w:t>
            </w:r>
            <w:r>
              <w:rPr>
                <w:rFonts w:hint="eastAsia"/>
              </w:rPr>
              <w:t>方法开发</w:t>
            </w:r>
            <w:r w:rsidR="00405D03">
              <w:rPr>
                <w:rFonts w:hint="eastAsia"/>
              </w:rPr>
              <w:t>的研发</w:t>
            </w:r>
            <w:r>
              <w:rPr>
                <w:rFonts w:hint="eastAsia"/>
              </w:rPr>
              <w:t>支出；资本化研发投入</w:t>
            </w:r>
            <w:r>
              <w:rPr>
                <w:rFonts w:hint="eastAsia"/>
              </w:rPr>
              <w:t>200.98</w:t>
            </w:r>
            <w:r>
              <w:rPr>
                <w:rFonts w:hint="eastAsia"/>
              </w:rPr>
              <w:t>万元，系</w:t>
            </w:r>
            <w:r>
              <w:rPr>
                <w:rFonts w:hint="eastAsia"/>
              </w:rPr>
              <w:t>JK1201I</w:t>
            </w:r>
            <w:r>
              <w:rPr>
                <w:rFonts w:hint="eastAsia"/>
              </w:rPr>
              <w:t>研发项目小细胞肺癌适应症Ⅲ期临床试验项目归集的研发支出。其余在研管线均结合公司全年的预算调整情况，按计划稳步推进。</w:t>
            </w:r>
          </w:p>
          <w:p w14:paraId="547D3F1E" w14:textId="77777777" w:rsidR="006813B7" w:rsidRDefault="006813B7" w:rsidP="006813B7">
            <w:pPr>
              <w:ind w:firstLineChars="200" w:firstLine="480"/>
            </w:pPr>
            <w:r>
              <w:rPr>
                <w:rFonts w:hint="eastAsia"/>
              </w:rPr>
              <w:t>2025</w:t>
            </w:r>
            <w:r>
              <w:rPr>
                <w:rFonts w:hint="eastAsia"/>
              </w:rPr>
              <w:t>年，生物医药行业正进入深度整合的理性调整期。在面临地缘政治紧张、行业内卷、成本上升等内外部压力的同时，年政府工作报告明确提出</w:t>
            </w:r>
            <w:r>
              <w:rPr>
                <w:rFonts w:hint="eastAsia"/>
              </w:rPr>
              <w:t>"</w:t>
            </w:r>
            <w:r>
              <w:rPr>
                <w:rFonts w:hint="eastAsia"/>
              </w:rPr>
              <w:t>打造生物医药等新兴支柱产业</w:t>
            </w:r>
            <w:r>
              <w:rPr>
                <w:rFonts w:hint="eastAsia"/>
              </w:rPr>
              <w:t>"</w:t>
            </w:r>
            <w:r>
              <w:rPr>
                <w:rFonts w:hint="eastAsia"/>
              </w:rPr>
              <w:t>，首次将生物医药与集成电路、航空航天并列，凸显了国家战略层面对生物医药产业的高度重视。作为深耕医用药用聚乙二醇材料二十余年的高新技术企业，我们将紧抓</w:t>
            </w:r>
            <w:r>
              <w:rPr>
                <w:rFonts w:hint="eastAsia"/>
              </w:rPr>
              <w:t>"</w:t>
            </w:r>
            <w:r>
              <w:rPr>
                <w:rFonts w:hint="eastAsia"/>
              </w:rPr>
              <w:t>新兴支柱产业</w:t>
            </w:r>
            <w:r>
              <w:rPr>
                <w:rFonts w:hint="eastAsia"/>
              </w:rPr>
              <w:t>"</w:t>
            </w:r>
            <w:r>
              <w:rPr>
                <w:rFonts w:hint="eastAsia"/>
              </w:rPr>
              <w:t>政策机遇，坚持</w:t>
            </w:r>
            <w:r>
              <w:rPr>
                <w:rFonts w:hint="eastAsia"/>
              </w:rPr>
              <w:t>"</w:t>
            </w:r>
            <w:r>
              <w:rPr>
                <w:rFonts w:hint="eastAsia"/>
              </w:rPr>
              <w:t>材料创新</w:t>
            </w:r>
            <w:r>
              <w:rPr>
                <w:rFonts w:hint="eastAsia"/>
              </w:rPr>
              <w:t>+</w:t>
            </w:r>
            <w:r>
              <w:rPr>
                <w:rFonts w:hint="eastAsia"/>
              </w:rPr>
              <w:t>应用生态</w:t>
            </w:r>
            <w:r>
              <w:rPr>
                <w:rFonts w:hint="eastAsia"/>
              </w:rPr>
              <w:t>"</w:t>
            </w:r>
            <w:r>
              <w:rPr>
                <w:rFonts w:hint="eastAsia"/>
              </w:rPr>
              <w:t>的双螺旋发展模式，在挑战中把握机遇，在变革中实现突破，为持续巩固市场领先地位奠定坚实基础。未来，我们将把工作重点集中在材料研制平台技术迭代、下游应用方向拓展、企业经营效率优化三个主要方面，筑牢企业核心壁垒，锚定差异化市场，从客户的单一供应商升级为兼具全套解决方案伙伴与产业赋能伙伴角色的深度绑定关系，用“平台化”叙事重塑市场认知，促进企业价值的更好实现。</w:t>
            </w:r>
          </w:p>
          <w:p w14:paraId="3C0FDA05" w14:textId="63EB3AB0" w:rsidR="006813B7" w:rsidRDefault="006813B7" w:rsidP="006813B7">
            <w:pPr>
              <w:ind w:firstLineChars="200" w:firstLine="480"/>
              <w:rPr>
                <w:highlight w:val="yellow"/>
              </w:rPr>
            </w:pPr>
            <w:r>
              <w:rPr>
                <w:rFonts w:hint="eastAsia"/>
              </w:rPr>
              <w:t>最后，感谢所有投资人和合作伙伴长期以来对键凯科技的支持。接下来我们将就细节问题为大家进行解答。</w:t>
            </w:r>
          </w:p>
          <w:p w14:paraId="416B3F79" w14:textId="2586B664" w:rsidR="00B31C95" w:rsidRPr="00A64DDE" w:rsidRDefault="00F004B2" w:rsidP="00782E83">
            <w:pPr>
              <w:rPr>
                <w:szCs w:val="24"/>
              </w:rPr>
            </w:pPr>
            <w:r w:rsidRPr="00A64DDE">
              <w:rPr>
                <w:rFonts w:hint="eastAsia"/>
                <w:szCs w:val="24"/>
              </w:rPr>
              <w:t>二、</w:t>
            </w:r>
            <w:r w:rsidR="00B31C95" w:rsidRPr="00A64DDE">
              <w:rPr>
                <w:rFonts w:hint="eastAsia"/>
                <w:szCs w:val="24"/>
              </w:rPr>
              <w:t>投资者问答：</w:t>
            </w:r>
          </w:p>
          <w:p w14:paraId="54301DDC" w14:textId="4A7837B8" w:rsidR="006B3E10" w:rsidRPr="00062B84" w:rsidRDefault="006B3E10" w:rsidP="006B3E10">
            <w:pPr>
              <w:rPr>
                <w:szCs w:val="24"/>
                <w:highlight w:val="yellow"/>
              </w:rPr>
            </w:pPr>
            <w:r w:rsidRPr="00A64DDE">
              <w:rPr>
                <w:rFonts w:hint="eastAsia"/>
                <w:szCs w:val="24"/>
              </w:rPr>
              <w:lastRenderedPageBreak/>
              <w:t xml:space="preserve">Q: </w:t>
            </w:r>
            <w:r w:rsidR="00A64DDE" w:rsidRPr="00A64DDE">
              <w:rPr>
                <w:szCs w:val="24"/>
              </w:rPr>
              <w:t>公司国内外前几大主要客户目前订单情况，</w:t>
            </w:r>
            <w:r w:rsidR="00A64DDE">
              <w:rPr>
                <w:rFonts w:hint="eastAsia"/>
              </w:rPr>
              <w:t>2026</w:t>
            </w:r>
            <w:r w:rsidR="00A64DDE">
              <w:rPr>
                <w:rFonts w:hint="eastAsia"/>
              </w:rPr>
              <w:t>年经营趋势展望</w:t>
            </w:r>
            <w:r w:rsidR="008457D7">
              <w:rPr>
                <w:rFonts w:hint="eastAsia"/>
              </w:rPr>
              <w:t>？</w:t>
            </w:r>
          </w:p>
          <w:p w14:paraId="63532210" w14:textId="463B0A6A" w:rsidR="00A64DDE" w:rsidRPr="00A64DDE" w:rsidRDefault="006B3E10" w:rsidP="00A64DDE">
            <w:pPr>
              <w:rPr>
                <w:szCs w:val="24"/>
              </w:rPr>
            </w:pPr>
            <w:r w:rsidRPr="00A64DDE">
              <w:rPr>
                <w:rFonts w:hint="eastAsia"/>
                <w:szCs w:val="24"/>
              </w:rPr>
              <w:t>A</w:t>
            </w:r>
            <w:r w:rsidR="005205FA">
              <w:rPr>
                <w:rFonts w:hint="eastAsia"/>
                <w:szCs w:val="24"/>
              </w:rPr>
              <w:t>:</w:t>
            </w:r>
            <w:r w:rsidR="00C754ED">
              <w:rPr>
                <w:rFonts w:hint="eastAsia"/>
                <w:szCs w:val="24"/>
              </w:rPr>
              <w:t xml:space="preserve"> </w:t>
            </w:r>
            <w:r w:rsidR="00A64DDE" w:rsidRPr="00A64DDE">
              <w:rPr>
                <w:szCs w:val="24"/>
              </w:rPr>
              <w:t>截至</w:t>
            </w:r>
            <w:r w:rsidR="00A64DDE" w:rsidRPr="00A64DDE">
              <w:rPr>
                <w:szCs w:val="24"/>
              </w:rPr>
              <w:t>2025</w:t>
            </w:r>
            <w:r w:rsidR="00A64DDE" w:rsidRPr="00A64DDE">
              <w:rPr>
                <w:szCs w:val="24"/>
              </w:rPr>
              <w:t>年末的在手订单金额为</w:t>
            </w:r>
            <w:r w:rsidR="00A64DDE" w:rsidRPr="00A64DDE">
              <w:rPr>
                <w:szCs w:val="24"/>
              </w:rPr>
              <w:t>1.67</w:t>
            </w:r>
            <w:r w:rsidR="00A64DDE" w:rsidRPr="00A64DDE">
              <w:rPr>
                <w:szCs w:val="24"/>
              </w:rPr>
              <w:t>亿元。预计全部在</w:t>
            </w:r>
            <w:r w:rsidR="00A64DDE" w:rsidRPr="00A64DDE">
              <w:rPr>
                <w:szCs w:val="24"/>
              </w:rPr>
              <w:t>2026</w:t>
            </w:r>
            <w:r w:rsidR="00A64DDE" w:rsidRPr="00A64DDE">
              <w:rPr>
                <w:szCs w:val="24"/>
              </w:rPr>
              <w:t>年度确认收入。</w:t>
            </w:r>
          </w:p>
          <w:p w14:paraId="1F962689" w14:textId="460DC552" w:rsidR="00A64DDE" w:rsidRDefault="00A64DDE" w:rsidP="00A64DDE">
            <w:pPr>
              <w:rPr>
                <w:szCs w:val="24"/>
              </w:rPr>
            </w:pPr>
            <w:r w:rsidRPr="00A64DDE">
              <w:rPr>
                <w:rFonts w:hint="eastAsia"/>
                <w:szCs w:val="24"/>
              </w:rPr>
              <w:t>（</w:t>
            </w:r>
            <w:r w:rsidRPr="00A64DDE">
              <w:rPr>
                <w:rFonts w:hint="eastAsia"/>
                <w:szCs w:val="24"/>
              </w:rPr>
              <w:t>1</w:t>
            </w:r>
            <w:r w:rsidRPr="00A64DDE">
              <w:rPr>
                <w:rFonts w:hint="eastAsia"/>
                <w:szCs w:val="24"/>
              </w:rPr>
              <w:t>）国内方面：国内前两大客户的订单量预计均比</w:t>
            </w:r>
            <w:r w:rsidRPr="00A64DDE">
              <w:rPr>
                <w:rFonts w:hint="eastAsia"/>
                <w:szCs w:val="24"/>
              </w:rPr>
              <w:t>2025</w:t>
            </w:r>
            <w:r w:rsidRPr="00A64DDE">
              <w:rPr>
                <w:rFonts w:hint="eastAsia"/>
                <w:szCs w:val="24"/>
              </w:rPr>
              <w:t>年有显著提升</w:t>
            </w:r>
            <w:r w:rsidR="00255BA4">
              <w:rPr>
                <w:rFonts w:hint="eastAsia"/>
                <w:szCs w:val="24"/>
              </w:rPr>
              <w:t>，但是</w:t>
            </w:r>
            <w:r w:rsidRPr="00A64DDE">
              <w:rPr>
                <w:rFonts w:hint="eastAsia"/>
                <w:szCs w:val="24"/>
              </w:rPr>
              <w:t>存在订单量的增幅大于收入的增幅的情况。</w:t>
            </w:r>
            <w:r w:rsidR="00323A58" w:rsidRPr="00A64DDE">
              <w:rPr>
                <w:rFonts w:hint="eastAsia"/>
                <w:szCs w:val="24"/>
              </w:rPr>
              <w:t>国内下游医疗器械客户预计订单量较</w:t>
            </w:r>
            <w:r w:rsidR="00323A58" w:rsidRPr="00A64DDE">
              <w:rPr>
                <w:rFonts w:hint="eastAsia"/>
                <w:szCs w:val="24"/>
              </w:rPr>
              <w:t>2025</w:t>
            </w:r>
            <w:r w:rsidR="00323A58" w:rsidRPr="00A64DDE">
              <w:rPr>
                <w:rFonts w:hint="eastAsia"/>
                <w:szCs w:val="24"/>
              </w:rPr>
              <w:t>年度有所增长</w:t>
            </w:r>
            <w:r w:rsidR="00323A58">
              <w:rPr>
                <w:rFonts w:hint="eastAsia"/>
                <w:szCs w:val="24"/>
              </w:rPr>
              <w:t>。国际今年可能获批的新药由国内客户代工，如今年年内获批，则可能收到来自国内客户的订单。</w:t>
            </w:r>
          </w:p>
          <w:p w14:paraId="4168D0EC" w14:textId="44BF0B33" w:rsidR="00A64DDE" w:rsidRDefault="00A64DDE" w:rsidP="00A64DDE">
            <w:pPr>
              <w:rPr>
                <w:szCs w:val="24"/>
              </w:rPr>
            </w:pPr>
            <w:r w:rsidRPr="00A64DDE">
              <w:rPr>
                <w:szCs w:val="24"/>
              </w:rPr>
              <w:t>（</w:t>
            </w:r>
            <w:r w:rsidRPr="00A64DDE">
              <w:rPr>
                <w:szCs w:val="24"/>
              </w:rPr>
              <w:t>2</w:t>
            </w:r>
            <w:r w:rsidRPr="00A64DDE">
              <w:rPr>
                <w:szCs w:val="24"/>
              </w:rPr>
              <w:t>）国际方面：根据目前与客户确认的在手订单，国际新药客户预计</w:t>
            </w:r>
            <w:r w:rsidRPr="00A64DDE">
              <w:rPr>
                <w:szCs w:val="24"/>
              </w:rPr>
              <w:t>2026</w:t>
            </w:r>
            <w:r w:rsidRPr="00A64DDE">
              <w:rPr>
                <w:szCs w:val="24"/>
              </w:rPr>
              <w:t>年与</w:t>
            </w:r>
            <w:r w:rsidRPr="00A64DDE">
              <w:rPr>
                <w:szCs w:val="24"/>
              </w:rPr>
              <w:t>2025</w:t>
            </w:r>
            <w:r w:rsidRPr="00A64DDE">
              <w:rPr>
                <w:szCs w:val="24"/>
              </w:rPr>
              <w:t>年基本持平，但还需要看年中客户新订单的情况；国际医疗器械端客户预计较</w:t>
            </w:r>
            <w:r w:rsidRPr="00A64DDE">
              <w:rPr>
                <w:szCs w:val="24"/>
              </w:rPr>
              <w:t>2025</w:t>
            </w:r>
            <w:r w:rsidRPr="00A64DDE">
              <w:rPr>
                <w:szCs w:val="24"/>
              </w:rPr>
              <w:t>年变动不大。</w:t>
            </w:r>
          </w:p>
          <w:p w14:paraId="1FD45F1A" w14:textId="5C360B3F" w:rsidR="00A64DDE" w:rsidRPr="00062B84" w:rsidRDefault="00323A58" w:rsidP="00A64DDE">
            <w:pPr>
              <w:rPr>
                <w:szCs w:val="24"/>
                <w:highlight w:val="yellow"/>
              </w:rPr>
            </w:pPr>
            <w:r>
              <w:rPr>
                <w:rFonts w:hint="eastAsia"/>
                <w:szCs w:val="24"/>
              </w:rPr>
              <w:t>基于目前的订单情况，</w:t>
            </w:r>
            <w:r w:rsidR="00A64DDE" w:rsidRPr="00A64DDE">
              <w:rPr>
                <w:szCs w:val="24"/>
              </w:rPr>
              <w:t>公司</w:t>
            </w:r>
            <w:r w:rsidR="00A64DDE" w:rsidRPr="00A64DDE">
              <w:rPr>
                <w:szCs w:val="24"/>
              </w:rPr>
              <w:t>2026</w:t>
            </w:r>
            <w:r w:rsidR="00A64DDE" w:rsidRPr="00A64DDE">
              <w:rPr>
                <w:szCs w:val="24"/>
              </w:rPr>
              <w:t>年的收入情况</w:t>
            </w:r>
            <w:r>
              <w:rPr>
                <w:rFonts w:hint="eastAsia"/>
                <w:szCs w:val="24"/>
              </w:rPr>
              <w:t>可能</w:t>
            </w:r>
            <w:r w:rsidR="00A64DDE" w:rsidRPr="00A64DDE">
              <w:rPr>
                <w:szCs w:val="24"/>
              </w:rPr>
              <w:t>比</w:t>
            </w:r>
            <w:r w:rsidR="00A64DDE" w:rsidRPr="00A64DDE">
              <w:rPr>
                <w:szCs w:val="24"/>
              </w:rPr>
              <w:t>2025</w:t>
            </w:r>
            <w:r w:rsidR="00A64DDE" w:rsidRPr="00A64DDE">
              <w:rPr>
                <w:szCs w:val="24"/>
              </w:rPr>
              <w:t>年略有增长，</w:t>
            </w:r>
            <w:r>
              <w:rPr>
                <w:rFonts w:hint="eastAsia"/>
                <w:szCs w:val="24"/>
              </w:rPr>
              <w:t>实际的收入情况取决于</w:t>
            </w:r>
            <w:r w:rsidR="00A64DDE" w:rsidRPr="00A64DDE">
              <w:rPr>
                <w:szCs w:val="24"/>
              </w:rPr>
              <w:t>客户订单的交付节奏以及对应的收入确认时间。</w:t>
            </w:r>
          </w:p>
          <w:p w14:paraId="300AE886" w14:textId="77777777" w:rsidR="00D100A9" w:rsidRPr="00323A58" w:rsidRDefault="00D100A9" w:rsidP="006B3E10">
            <w:pPr>
              <w:rPr>
                <w:szCs w:val="24"/>
              </w:rPr>
            </w:pPr>
          </w:p>
          <w:p w14:paraId="0A0A7C42" w14:textId="75509902" w:rsidR="006B3E10" w:rsidRPr="00A64DDE" w:rsidRDefault="006B3E10" w:rsidP="006B3E10">
            <w:pPr>
              <w:rPr>
                <w:szCs w:val="24"/>
              </w:rPr>
            </w:pPr>
            <w:r w:rsidRPr="00A64DDE">
              <w:rPr>
                <w:rFonts w:hint="eastAsia"/>
                <w:szCs w:val="24"/>
              </w:rPr>
              <w:t xml:space="preserve">Q: </w:t>
            </w:r>
            <w:r w:rsidR="00A64DDE" w:rsidRPr="00A64DDE">
              <w:rPr>
                <w:szCs w:val="24"/>
              </w:rPr>
              <w:t>盘锦的项目引入情况</w:t>
            </w:r>
            <w:r w:rsidR="00A64DDE" w:rsidRPr="00A64DDE">
              <w:rPr>
                <w:rFonts w:hint="eastAsia"/>
                <w:szCs w:val="24"/>
              </w:rPr>
              <w:t>以及</w:t>
            </w:r>
            <w:r w:rsidR="00A64DDE" w:rsidRPr="00A64DDE">
              <w:rPr>
                <w:szCs w:val="24"/>
              </w:rPr>
              <w:t>医美业务</w:t>
            </w:r>
            <w:r w:rsidR="00A64DDE" w:rsidRPr="00A64DDE">
              <w:rPr>
                <w:rFonts w:hint="eastAsia"/>
                <w:szCs w:val="24"/>
              </w:rPr>
              <w:t>的</w:t>
            </w:r>
            <w:r w:rsidR="00A64DDE" w:rsidRPr="00A64DDE">
              <w:rPr>
                <w:szCs w:val="24"/>
              </w:rPr>
              <w:t>开拓进展？</w:t>
            </w:r>
          </w:p>
          <w:p w14:paraId="4F4D9AC3" w14:textId="634ADBE6" w:rsidR="006B3E10" w:rsidRPr="00D100A9" w:rsidRDefault="006B3E10" w:rsidP="00A64DDE">
            <w:pPr>
              <w:rPr>
                <w:szCs w:val="24"/>
              </w:rPr>
            </w:pPr>
            <w:r w:rsidRPr="00A64DDE">
              <w:rPr>
                <w:rFonts w:hint="eastAsia"/>
                <w:szCs w:val="24"/>
              </w:rPr>
              <w:t xml:space="preserve">A: </w:t>
            </w:r>
            <w:r w:rsidR="00A64DDE" w:rsidRPr="00A64DDE">
              <w:rPr>
                <w:rFonts w:hint="eastAsia"/>
                <w:szCs w:val="24"/>
              </w:rPr>
              <w:t>由于天津键凯的产能情况比较饱和，目前新增的</w:t>
            </w:r>
            <w:r w:rsidR="00A64DDE" w:rsidRPr="00A64DDE">
              <w:rPr>
                <w:rFonts w:hint="eastAsia"/>
                <w:szCs w:val="24"/>
              </w:rPr>
              <w:t>GMP</w:t>
            </w:r>
            <w:r w:rsidR="00A64DDE" w:rsidRPr="00A64DDE">
              <w:rPr>
                <w:rFonts w:hint="eastAsia"/>
                <w:szCs w:val="24"/>
              </w:rPr>
              <w:t>级别项目大多会转移到盘锦厂区，部分大客户的重要中间体也是在盘锦厂区进行大规模生产。从</w:t>
            </w:r>
            <w:r w:rsidR="00A64DDE" w:rsidRPr="00A64DDE">
              <w:rPr>
                <w:rFonts w:hint="eastAsia"/>
                <w:szCs w:val="24"/>
              </w:rPr>
              <w:t>2025</w:t>
            </w:r>
            <w:r w:rsidR="00A64DDE" w:rsidRPr="00A64DDE">
              <w:rPr>
                <w:rFonts w:hint="eastAsia"/>
                <w:szCs w:val="24"/>
              </w:rPr>
              <w:t>年下半年开始，公司毛利率的回升即主要得益于辽宁键凯生产规模的扩大。目前医美业务的重心仍在市场推广和用户教育，已进驻</w:t>
            </w:r>
            <w:r w:rsidR="00A64DDE" w:rsidRPr="00A64DDE">
              <w:rPr>
                <w:rFonts w:hint="eastAsia"/>
                <w:szCs w:val="24"/>
              </w:rPr>
              <w:t>8</w:t>
            </w:r>
            <w:r w:rsidR="00A64DDE" w:rsidRPr="00A64DDE">
              <w:rPr>
                <w:rFonts w:hint="eastAsia"/>
                <w:szCs w:val="24"/>
              </w:rPr>
              <w:t>家公立医院及</w:t>
            </w:r>
            <w:r w:rsidR="00A64DDE" w:rsidRPr="00A64DDE">
              <w:rPr>
                <w:rFonts w:hint="eastAsia"/>
                <w:szCs w:val="24"/>
              </w:rPr>
              <w:t>40</w:t>
            </w:r>
            <w:r w:rsidR="00A64DDE" w:rsidRPr="00A64DDE">
              <w:rPr>
                <w:rFonts w:hint="eastAsia"/>
                <w:szCs w:val="24"/>
              </w:rPr>
              <w:t>家民营机构。</w:t>
            </w:r>
          </w:p>
          <w:p w14:paraId="35F5ECFE" w14:textId="77777777" w:rsidR="00D100A9" w:rsidRDefault="00D100A9" w:rsidP="006B3E10">
            <w:pPr>
              <w:rPr>
                <w:szCs w:val="24"/>
              </w:rPr>
            </w:pPr>
          </w:p>
          <w:p w14:paraId="2B1A8BA3" w14:textId="2D872DD4" w:rsidR="006B3E10" w:rsidRPr="00213863" w:rsidRDefault="006B3E10" w:rsidP="006B3E10">
            <w:pPr>
              <w:rPr>
                <w:szCs w:val="24"/>
              </w:rPr>
            </w:pPr>
            <w:r w:rsidRPr="00213863">
              <w:rPr>
                <w:rFonts w:hint="eastAsia"/>
                <w:szCs w:val="24"/>
              </w:rPr>
              <w:t xml:space="preserve">Q: </w:t>
            </w:r>
            <w:r w:rsidR="00A40126">
              <w:rPr>
                <w:rFonts w:hint="eastAsia"/>
                <w:szCs w:val="24"/>
              </w:rPr>
              <w:t>20</w:t>
            </w:r>
            <w:r w:rsidR="00213863" w:rsidRPr="00213863">
              <w:rPr>
                <w:szCs w:val="24"/>
              </w:rPr>
              <w:t>26</w:t>
            </w:r>
            <w:r w:rsidR="00213863" w:rsidRPr="00213863">
              <w:rPr>
                <w:szCs w:val="24"/>
              </w:rPr>
              <w:t>年研发投入规划如何？</w:t>
            </w:r>
          </w:p>
          <w:p w14:paraId="231BB578" w14:textId="5515EC4F" w:rsidR="006B3E10" w:rsidRPr="00D100A9" w:rsidRDefault="006B3E10" w:rsidP="00213863">
            <w:pPr>
              <w:rPr>
                <w:szCs w:val="24"/>
              </w:rPr>
            </w:pPr>
            <w:r w:rsidRPr="00213863">
              <w:rPr>
                <w:rFonts w:hint="eastAsia"/>
                <w:szCs w:val="24"/>
              </w:rPr>
              <w:t xml:space="preserve">A: </w:t>
            </w:r>
            <w:r w:rsidR="00D100A9">
              <w:rPr>
                <w:rFonts w:hint="eastAsia"/>
                <w:szCs w:val="24"/>
              </w:rPr>
              <w:t>20</w:t>
            </w:r>
            <w:r w:rsidR="00213863" w:rsidRPr="00213863">
              <w:rPr>
                <w:rFonts w:hint="eastAsia"/>
                <w:szCs w:val="24"/>
              </w:rPr>
              <w:t>26</w:t>
            </w:r>
            <w:r w:rsidR="00213863" w:rsidRPr="00213863">
              <w:rPr>
                <w:rFonts w:hint="eastAsia"/>
                <w:szCs w:val="24"/>
              </w:rPr>
              <w:t>年将继续开展伊立替康的临床，除此以外我们与康希诺合作的</w:t>
            </w:r>
            <w:r w:rsidR="00213863" w:rsidRPr="00213863">
              <w:rPr>
                <w:rFonts w:hint="eastAsia"/>
                <w:szCs w:val="24"/>
              </w:rPr>
              <w:t>mRNA</w:t>
            </w:r>
            <w:r w:rsidR="00213863" w:rsidRPr="00213863">
              <w:rPr>
                <w:rFonts w:hint="eastAsia"/>
                <w:szCs w:val="24"/>
              </w:rPr>
              <w:t>肿瘤疫苗项目计划今年开展</w:t>
            </w:r>
            <w:r w:rsidR="00213863" w:rsidRPr="00213863">
              <w:rPr>
                <w:rFonts w:hint="eastAsia"/>
                <w:szCs w:val="24"/>
              </w:rPr>
              <w:t>IIT</w:t>
            </w:r>
            <w:r w:rsidR="00213863" w:rsidRPr="00213863">
              <w:rPr>
                <w:rFonts w:hint="eastAsia"/>
                <w:szCs w:val="24"/>
              </w:rPr>
              <w:t>，同时，我们自主研发的</w:t>
            </w:r>
            <w:r w:rsidR="00213863" w:rsidRPr="00213863">
              <w:rPr>
                <w:rFonts w:hint="eastAsia"/>
                <w:szCs w:val="24"/>
              </w:rPr>
              <w:t>mRNA</w:t>
            </w:r>
            <w:r w:rsidR="00213863" w:rsidRPr="00213863">
              <w:rPr>
                <w:rFonts w:hint="eastAsia"/>
                <w:szCs w:val="24"/>
              </w:rPr>
              <w:t>肿瘤疫苗项目也计划在今年年底或明年年初进入</w:t>
            </w:r>
            <w:r w:rsidR="00213863" w:rsidRPr="00213863">
              <w:rPr>
                <w:rFonts w:hint="eastAsia"/>
                <w:szCs w:val="24"/>
              </w:rPr>
              <w:t>IIT</w:t>
            </w:r>
            <w:r w:rsidR="00213863" w:rsidRPr="00213863">
              <w:rPr>
                <w:rFonts w:hint="eastAsia"/>
                <w:szCs w:val="24"/>
              </w:rPr>
              <w:t>。根据目前的预算，</w:t>
            </w:r>
            <w:r w:rsidR="00A40126">
              <w:rPr>
                <w:rFonts w:hint="eastAsia"/>
                <w:szCs w:val="24"/>
              </w:rPr>
              <w:t>20</w:t>
            </w:r>
            <w:r w:rsidR="00213863" w:rsidRPr="00213863">
              <w:rPr>
                <w:rFonts w:hint="eastAsia"/>
                <w:szCs w:val="24"/>
              </w:rPr>
              <w:t>26</w:t>
            </w:r>
            <w:r w:rsidR="00213863" w:rsidRPr="00213863">
              <w:rPr>
                <w:rFonts w:hint="eastAsia"/>
                <w:szCs w:val="24"/>
              </w:rPr>
              <w:t>年的研发投入较</w:t>
            </w:r>
            <w:r w:rsidR="00A40126">
              <w:rPr>
                <w:rFonts w:hint="eastAsia"/>
                <w:szCs w:val="24"/>
              </w:rPr>
              <w:t>20</w:t>
            </w:r>
            <w:r w:rsidR="00213863" w:rsidRPr="00213863">
              <w:rPr>
                <w:rFonts w:hint="eastAsia"/>
                <w:szCs w:val="24"/>
              </w:rPr>
              <w:t>25</w:t>
            </w:r>
            <w:r w:rsidR="00213863" w:rsidRPr="00213863">
              <w:rPr>
                <w:rFonts w:hint="eastAsia"/>
                <w:szCs w:val="24"/>
              </w:rPr>
              <w:t>年略有增加。</w:t>
            </w:r>
          </w:p>
          <w:p w14:paraId="2374DB83" w14:textId="77777777" w:rsidR="00D100A9" w:rsidRDefault="00D100A9" w:rsidP="006B3E10">
            <w:pPr>
              <w:rPr>
                <w:szCs w:val="24"/>
              </w:rPr>
            </w:pPr>
          </w:p>
          <w:p w14:paraId="790D9023" w14:textId="1173C783" w:rsidR="006B3E10" w:rsidRPr="00D40764" w:rsidRDefault="00AB7C2E" w:rsidP="006B3E10">
            <w:pPr>
              <w:rPr>
                <w:szCs w:val="24"/>
              </w:rPr>
            </w:pPr>
            <w:r w:rsidRPr="00D40764">
              <w:rPr>
                <w:rFonts w:hint="eastAsia"/>
                <w:szCs w:val="24"/>
              </w:rPr>
              <w:t xml:space="preserve">Q: </w:t>
            </w:r>
            <w:r w:rsidR="006B3E10" w:rsidRPr="00D40764">
              <w:rPr>
                <w:rFonts w:hint="eastAsia"/>
                <w:szCs w:val="24"/>
              </w:rPr>
              <w:t>医美产品上市后市场拓展情况，以及</w:t>
            </w:r>
            <w:r w:rsidR="00D40764" w:rsidRPr="00D40764">
              <w:rPr>
                <w:rFonts w:hint="eastAsia"/>
                <w:szCs w:val="24"/>
              </w:rPr>
              <w:t>全年</w:t>
            </w:r>
            <w:r w:rsidR="006B3E10" w:rsidRPr="00D40764">
              <w:rPr>
                <w:rFonts w:hint="eastAsia"/>
                <w:szCs w:val="24"/>
              </w:rPr>
              <w:t>预期</w:t>
            </w:r>
            <w:r w:rsidR="0078706C">
              <w:rPr>
                <w:rFonts w:hint="eastAsia"/>
                <w:szCs w:val="24"/>
              </w:rPr>
              <w:t>？</w:t>
            </w:r>
          </w:p>
          <w:p w14:paraId="185F7CDD" w14:textId="696B80A2" w:rsidR="006B3E10" w:rsidRPr="00062B84" w:rsidRDefault="00AB7C2E" w:rsidP="006B3E10">
            <w:pPr>
              <w:rPr>
                <w:szCs w:val="24"/>
                <w:highlight w:val="yellow"/>
              </w:rPr>
            </w:pPr>
            <w:r w:rsidRPr="00D40764">
              <w:rPr>
                <w:rFonts w:hint="eastAsia"/>
                <w:szCs w:val="24"/>
              </w:rPr>
              <w:t xml:space="preserve">A: </w:t>
            </w:r>
            <w:r w:rsidR="00D40764" w:rsidRPr="00D40764">
              <w:rPr>
                <w:szCs w:val="24"/>
              </w:rPr>
              <w:t>目前医美业务的重心仍在市场推广和用户教育，已进驻</w:t>
            </w:r>
            <w:r w:rsidR="00D40764" w:rsidRPr="00D40764">
              <w:rPr>
                <w:szCs w:val="24"/>
              </w:rPr>
              <w:t>8</w:t>
            </w:r>
            <w:r w:rsidR="00D40764" w:rsidRPr="00D40764">
              <w:rPr>
                <w:szCs w:val="24"/>
              </w:rPr>
              <w:t>家公立医院及</w:t>
            </w:r>
            <w:r w:rsidR="00D40764" w:rsidRPr="00D40764">
              <w:rPr>
                <w:szCs w:val="24"/>
              </w:rPr>
              <w:t>40</w:t>
            </w:r>
            <w:r w:rsidR="00D40764" w:rsidRPr="00D40764">
              <w:rPr>
                <w:szCs w:val="24"/>
              </w:rPr>
              <w:t>家民营机构。我们希望今年可以进入</w:t>
            </w:r>
            <w:r w:rsidR="00D40764" w:rsidRPr="00D40764">
              <w:rPr>
                <w:szCs w:val="24"/>
              </w:rPr>
              <w:t>200</w:t>
            </w:r>
            <w:r w:rsidR="00D40764" w:rsidRPr="00D40764">
              <w:rPr>
                <w:szCs w:val="24"/>
              </w:rPr>
              <w:t>家民营机构，并将持续关注医美市场对于新技术的接受度。</w:t>
            </w:r>
          </w:p>
          <w:p w14:paraId="6C497ACC" w14:textId="77777777" w:rsidR="0078706C" w:rsidRDefault="0078706C" w:rsidP="006B3E10">
            <w:pPr>
              <w:rPr>
                <w:szCs w:val="24"/>
              </w:rPr>
            </w:pPr>
          </w:p>
          <w:p w14:paraId="6D70527A" w14:textId="46640CDB" w:rsidR="006B3E10" w:rsidRPr="00062B84" w:rsidRDefault="00AB7C2E" w:rsidP="006B3E10">
            <w:pPr>
              <w:rPr>
                <w:szCs w:val="24"/>
                <w:highlight w:val="yellow"/>
              </w:rPr>
            </w:pPr>
            <w:r w:rsidRPr="00C70078">
              <w:rPr>
                <w:rFonts w:hint="eastAsia"/>
                <w:szCs w:val="24"/>
              </w:rPr>
              <w:t xml:space="preserve">Q: </w:t>
            </w:r>
            <w:r w:rsidR="009546C5">
              <w:rPr>
                <w:rFonts w:hint="eastAsia"/>
                <w:szCs w:val="24"/>
              </w:rPr>
              <w:t>20</w:t>
            </w:r>
            <w:r w:rsidR="00C70078" w:rsidRPr="00C70078">
              <w:rPr>
                <w:szCs w:val="24"/>
              </w:rPr>
              <w:t>26</w:t>
            </w:r>
            <w:r w:rsidR="00C70078" w:rsidRPr="00C70078">
              <w:rPr>
                <w:szCs w:val="24"/>
              </w:rPr>
              <w:t>年有望获批的商业化品种，对公司的业绩贡献预期？展望未来三年，哪些新项目值得期待？</w:t>
            </w:r>
          </w:p>
          <w:p w14:paraId="0918F11C" w14:textId="18BA407B" w:rsidR="006B3E10" w:rsidRPr="00062B84" w:rsidRDefault="00AB7C2E" w:rsidP="006B3E10">
            <w:pPr>
              <w:rPr>
                <w:szCs w:val="24"/>
                <w:highlight w:val="yellow"/>
              </w:rPr>
            </w:pPr>
            <w:r w:rsidRPr="00C70078">
              <w:rPr>
                <w:rFonts w:hint="eastAsia"/>
                <w:szCs w:val="24"/>
              </w:rPr>
              <w:t xml:space="preserve">A: </w:t>
            </w:r>
            <w:r w:rsidR="00C70078" w:rsidRPr="00C70078">
              <w:rPr>
                <w:szCs w:val="24"/>
              </w:rPr>
              <w:t>目前已有两个聚乙二醇化酶类药物已经进入</w:t>
            </w:r>
            <w:r w:rsidR="00C70078" w:rsidRPr="00C70078">
              <w:rPr>
                <w:szCs w:val="24"/>
              </w:rPr>
              <w:t>FDA</w:t>
            </w:r>
            <w:r w:rsidR="00C70078" w:rsidRPr="00C70078">
              <w:rPr>
                <w:szCs w:val="24"/>
              </w:rPr>
              <w:t>的实质审评阶段，我们希望今年年内至少可以获批一个产品。如果有新的商业化产品能顺利获批</w:t>
            </w:r>
            <w:r w:rsidR="00323A58">
              <w:rPr>
                <w:rFonts w:hint="eastAsia"/>
                <w:szCs w:val="24"/>
              </w:rPr>
              <w:t>，则</w:t>
            </w:r>
            <w:r w:rsidR="00C70078" w:rsidRPr="00C70078">
              <w:rPr>
                <w:szCs w:val="24"/>
              </w:rPr>
              <w:t>会对今年的产品销售收入产生比较有益的影响。除此以外，去年</w:t>
            </w:r>
            <w:r w:rsidR="00C70078" w:rsidRPr="00C70078">
              <w:rPr>
                <w:szCs w:val="24"/>
              </w:rPr>
              <w:lastRenderedPageBreak/>
              <w:t>年底，国内新增一个</w:t>
            </w:r>
            <w:r w:rsidR="00C70078" w:rsidRPr="00C70078">
              <w:rPr>
                <w:szCs w:val="24"/>
              </w:rPr>
              <w:t>NDA</w:t>
            </w:r>
            <w:r w:rsidR="00C70078" w:rsidRPr="00C70078">
              <w:rPr>
                <w:szCs w:val="24"/>
              </w:rPr>
              <w:t>阶段的项目，我们期待客户的产品能够顺利获批上市。其他接近上市阶段的项目多为凝胶类医疗器械，对公司的业绩贡献情况取决于客户终端的销售情况。三年内</w:t>
            </w:r>
            <w:r w:rsidR="00323A58">
              <w:rPr>
                <w:rFonts w:hint="eastAsia"/>
                <w:szCs w:val="24"/>
              </w:rPr>
              <w:t>，</w:t>
            </w:r>
            <w:r w:rsidR="00C70078" w:rsidRPr="00C70078">
              <w:rPr>
                <w:szCs w:val="24"/>
              </w:rPr>
              <w:t>我们认为两个在</w:t>
            </w:r>
            <w:r w:rsidR="00C70078" w:rsidRPr="00C70078">
              <w:rPr>
                <w:szCs w:val="24"/>
              </w:rPr>
              <w:t>FDA</w:t>
            </w:r>
            <w:r w:rsidR="00C70078" w:rsidRPr="00C70078">
              <w:rPr>
                <w:szCs w:val="24"/>
              </w:rPr>
              <w:t>审评的项目都可以获批上市，国内可能也会增加几个项目。</w:t>
            </w:r>
          </w:p>
          <w:p w14:paraId="66152B9E" w14:textId="77777777" w:rsidR="00665D57" w:rsidRPr="00323A58" w:rsidRDefault="00665D57" w:rsidP="006B3E10">
            <w:pPr>
              <w:rPr>
                <w:szCs w:val="24"/>
              </w:rPr>
            </w:pPr>
          </w:p>
          <w:p w14:paraId="3F1571BA" w14:textId="17B3C18E" w:rsidR="006B3E10" w:rsidRPr="00157C2B" w:rsidRDefault="00AB7C2E" w:rsidP="006B3E10">
            <w:pPr>
              <w:rPr>
                <w:szCs w:val="24"/>
              </w:rPr>
            </w:pPr>
            <w:r w:rsidRPr="00157C2B">
              <w:rPr>
                <w:rFonts w:hint="eastAsia"/>
                <w:szCs w:val="24"/>
              </w:rPr>
              <w:t xml:space="preserve">Q: </w:t>
            </w:r>
            <w:r w:rsidR="00157C2B" w:rsidRPr="00157C2B">
              <w:rPr>
                <w:szCs w:val="24"/>
              </w:rPr>
              <w:t>未来稳态的毛利率、净利率预计维持在什么水平，主要受什么因素影响？</w:t>
            </w:r>
          </w:p>
          <w:p w14:paraId="06EF6FC9" w14:textId="7E5EE77B" w:rsidR="00157C2B" w:rsidRPr="00157C2B" w:rsidRDefault="00AB7C2E" w:rsidP="00323A58">
            <w:pPr>
              <w:rPr>
                <w:szCs w:val="24"/>
              </w:rPr>
            </w:pPr>
            <w:r w:rsidRPr="00157C2B">
              <w:rPr>
                <w:rFonts w:hint="eastAsia"/>
                <w:szCs w:val="24"/>
              </w:rPr>
              <w:t xml:space="preserve">A: </w:t>
            </w:r>
            <w:r w:rsidR="00157C2B" w:rsidRPr="00157C2B">
              <w:rPr>
                <w:rFonts w:hint="eastAsia"/>
                <w:szCs w:val="24"/>
              </w:rPr>
              <w:t>未来产品毛利率主要受全年产量和销售产品结构的影响：（</w:t>
            </w:r>
            <w:r w:rsidR="00157C2B" w:rsidRPr="00157C2B">
              <w:rPr>
                <w:rFonts w:hint="eastAsia"/>
                <w:szCs w:val="24"/>
              </w:rPr>
              <w:t>1</w:t>
            </w:r>
            <w:r w:rsidR="00157C2B" w:rsidRPr="00157C2B">
              <w:rPr>
                <w:rFonts w:hint="eastAsia"/>
                <w:szCs w:val="24"/>
              </w:rPr>
              <w:t>）产量影响因素：随着产量的提高，产品分摊的单位固定成本就会降低。（</w:t>
            </w:r>
            <w:r w:rsidR="00157C2B" w:rsidRPr="00157C2B">
              <w:rPr>
                <w:rFonts w:hint="eastAsia"/>
                <w:szCs w:val="24"/>
              </w:rPr>
              <w:t>2</w:t>
            </w:r>
            <w:r w:rsidR="00157C2B" w:rsidRPr="00157C2B">
              <w:rPr>
                <w:rFonts w:hint="eastAsia"/>
                <w:szCs w:val="24"/>
              </w:rPr>
              <w:t>）销售的产品结构影响因素，海外产品由于定价较高，因此销售毛利率会高于国内产品的毛利率；国内产品销售中，不同客户不同产品的定价以及工艺难易程度，毛利率差异也较大。每年技术服务的收入的波动也会对毛利率产生影响。</w:t>
            </w:r>
          </w:p>
          <w:p w14:paraId="096ED7CA" w14:textId="77777777" w:rsidR="00323A58" w:rsidRDefault="00157C2B" w:rsidP="00323A58">
            <w:pPr>
              <w:ind w:firstLineChars="200" w:firstLine="480"/>
              <w:rPr>
                <w:szCs w:val="24"/>
              </w:rPr>
            </w:pPr>
            <w:r w:rsidRPr="00157C2B">
              <w:rPr>
                <w:rFonts w:hint="eastAsia"/>
                <w:szCs w:val="24"/>
              </w:rPr>
              <w:t>结合以上因素，随着订单量的提高，公司的毛利率会逐渐恢复至合理水平或更高，具体取决于当年的产品销售结构（定价、成本）以及技术服务收入的金额。</w:t>
            </w:r>
          </w:p>
          <w:p w14:paraId="34B8CA28" w14:textId="0C8FF320" w:rsidR="006B3E10" w:rsidRPr="00323A58" w:rsidRDefault="00157C2B" w:rsidP="00323A58">
            <w:pPr>
              <w:ind w:firstLineChars="200" w:firstLine="480"/>
              <w:rPr>
                <w:szCs w:val="24"/>
              </w:rPr>
            </w:pPr>
            <w:r w:rsidRPr="00157C2B">
              <w:rPr>
                <w:rFonts w:hint="eastAsia"/>
                <w:szCs w:val="24"/>
              </w:rPr>
              <w:t>净利率，除受上述毛利率的影响外，还与公司销售费用、研发费用投入密切相关，公司会结合发展战略合理控制费用支出投入，确保合理的净利润水平。</w:t>
            </w:r>
          </w:p>
          <w:p w14:paraId="3F2ABC41" w14:textId="77777777" w:rsidR="00665D57" w:rsidRDefault="00665D57" w:rsidP="006B3E10">
            <w:pPr>
              <w:rPr>
                <w:szCs w:val="24"/>
              </w:rPr>
            </w:pPr>
          </w:p>
          <w:p w14:paraId="447B88D9" w14:textId="728A4FF7" w:rsidR="006B3E10" w:rsidRPr="00157C2B" w:rsidRDefault="00AB7C2E" w:rsidP="006B3E10">
            <w:pPr>
              <w:rPr>
                <w:szCs w:val="24"/>
              </w:rPr>
            </w:pPr>
            <w:r w:rsidRPr="00157C2B">
              <w:rPr>
                <w:rFonts w:hint="eastAsia"/>
                <w:szCs w:val="24"/>
              </w:rPr>
              <w:t xml:space="preserve">Q: </w:t>
            </w:r>
            <w:r w:rsidR="00157C2B" w:rsidRPr="00157C2B">
              <w:rPr>
                <w:szCs w:val="24"/>
              </w:rPr>
              <w:t>全年海外收入预期？</w:t>
            </w:r>
          </w:p>
          <w:p w14:paraId="523DCDCA" w14:textId="06793308" w:rsidR="006B3E10" w:rsidRPr="00062B84" w:rsidRDefault="00AB7C2E" w:rsidP="006B3E10">
            <w:pPr>
              <w:rPr>
                <w:szCs w:val="24"/>
                <w:highlight w:val="yellow"/>
              </w:rPr>
            </w:pPr>
            <w:r w:rsidRPr="00157C2B">
              <w:rPr>
                <w:rFonts w:hint="eastAsia"/>
                <w:szCs w:val="24"/>
              </w:rPr>
              <w:t xml:space="preserve">A: </w:t>
            </w:r>
            <w:r w:rsidR="00157C2B" w:rsidRPr="00157C2B">
              <w:rPr>
                <w:szCs w:val="24"/>
              </w:rPr>
              <w:t>2026</w:t>
            </w:r>
            <w:r w:rsidR="00157C2B" w:rsidRPr="00157C2B">
              <w:rPr>
                <w:szCs w:val="24"/>
              </w:rPr>
              <w:t>全年海外收入我们预计比</w:t>
            </w:r>
            <w:r w:rsidR="00157C2B" w:rsidRPr="00157C2B">
              <w:rPr>
                <w:szCs w:val="24"/>
              </w:rPr>
              <w:t>2025</w:t>
            </w:r>
            <w:r w:rsidR="00157C2B" w:rsidRPr="00157C2B">
              <w:rPr>
                <w:szCs w:val="24"/>
              </w:rPr>
              <w:t>年略有增长。公司的产品销售收入以客户确认收货作为收入确认的时点。作为上游企业，我们虽然可以根据客户的采购预期安排生产，但需要按照客户发货指令安排发货。目前与客户确认的在手订单总量对比</w:t>
            </w:r>
            <w:r w:rsidR="00157C2B" w:rsidRPr="00157C2B">
              <w:rPr>
                <w:szCs w:val="24"/>
              </w:rPr>
              <w:t>2025</w:t>
            </w:r>
            <w:r w:rsidR="00157C2B" w:rsidRPr="00157C2B">
              <w:rPr>
                <w:szCs w:val="24"/>
              </w:rPr>
              <w:t>年同期略有增长，但实际确认收入的情况还需要看客户订单的交付节奏、对应的收入确认时间以及汇率的波动情况。</w:t>
            </w:r>
          </w:p>
          <w:p w14:paraId="344ABF81" w14:textId="77777777" w:rsidR="00665D57" w:rsidRDefault="00665D57" w:rsidP="006B3E10">
            <w:pPr>
              <w:rPr>
                <w:szCs w:val="24"/>
              </w:rPr>
            </w:pPr>
          </w:p>
          <w:p w14:paraId="7C21BC86" w14:textId="6584D776" w:rsidR="00D756EF" w:rsidRPr="00F96863" w:rsidRDefault="00D756EF" w:rsidP="006B3E10">
            <w:pPr>
              <w:rPr>
                <w:szCs w:val="24"/>
              </w:rPr>
            </w:pPr>
            <w:r w:rsidRPr="00F96863">
              <w:rPr>
                <w:rFonts w:hint="eastAsia"/>
                <w:szCs w:val="24"/>
              </w:rPr>
              <w:t>Q:</w:t>
            </w:r>
            <w:r w:rsidRPr="00F96863">
              <w:rPr>
                <w:szCs w:val="24"/>
              </w:rPr>
              <w:t>mRNA</w:t>
            </w:r>
            <w:r w:rsidRPr="00F96863">
              <w:rPr>
                <w:szCs w:val="24"/>
              </w:rPr>
              <w:t>疫苗领域需求情况如何，公司在这一块的布局？</w:t>
            </w:r>
          </w:p>
          <w:p w14:paraId="370400F6" w14:textId="6741AA15" w:rsidR="00D756EF" w:rsidRDefault="00D756EF" w:rsidP="00D756EF">
            <w:r w:rsidRPr="00F96863">
              <w:rPr>
                <w:rFonts w:hint="eastAsia"/>
                <w:szCs w:val="24"/>
              </w:rPr>
              <w:t>A:</w:t>
            </w:r>
            <w:r>
              <w:t>以</w:t>
            </w:r>
            <w:r>
              <w:t>LNP</w:t>
            </w:r>
            <w:r>
              <w:t>递送技术为代表的核酸药物递送技术目前正处于技术快速迭代期，也是未来高端辅料领域的重要潜在增长空间之一。公司已在</w:t>
            </w:r>
            <w:r>
              <w:t>LNP</w:t>
            </w:r>
            <w:r>
              <w:t>递送系统的主要组分（可电离脂质，</w:t>
            </w:r>
            <w:r>
              <w:t>PEG</w:t>
            </w:r>
            <w:r>
              <w:t>脂，中性脂）上建立了从关键中间体到终产品的自主生产能力，</w:t>
            </w:r>
            <w:r>
              <w:rPr>
                <w:rFonts w:hint="eastAsia"/>
              </w:rPr>
              <w:t>实现了</w:t>
            </w:r>
            <w:r>
              <w:rPr>
                <w:rFonts w:hint="eastAsia"/>
              </w:rPr>
              <w:t>16</w:t>
            </w:r>
            <w:r>
              <w:rPr>
                <w:rFonts w:hint="eastAsia"/>
              </w:rPr>
              <w:t>种关键辅料的规模化自主制备，并获得国家药监局药品审评中心（</w:t>
            </w:r>
            <w:r>
              <w:rPr>
                <w:rFonts w:hint="eastAsia"/>
              </w:rPr>
              <w:t>CDE</w:t>
            </w:r>
            <w:r>
              <w:rPr>
                <w:rFonts w:hint="eastAsia"/>
              </w:rPr>
              <w:t>）的</w:t>
            </w:r>
            <w:r>
              <w:rPr>
                <w:rFonts w:hint="eastAsia"/>
              </w:rPr>
              <w:t>6</w:t>
            </w:r>
            <w:r>
              <w:rPr>
                <w:rFonts w:hint="eastAsia"/>
              </w:rPr>
              <w:t>项辅料备案和美国</w:t>
            </w:r>
            <w:r>
              <w:rPr>
                <w:rFonts w:hint="eastAsia"/>
              </w:rPr>
              <w:t>FDA</w:t>
            </w:r>
            <w:r>
              <w:rPr>
                <w:rFonts w:hint="eastAsia"/>
              </w:rPr>
              <w:t>的</w:t>
            </w:r>
            <w:r>
              <w:rPr>
                <w:rFonts w:hint="eastAsia"/>
              </w:rPr>
              <w:t>12</w:t>
            </w:r>
            <w:r>
              <w:rPr>
                <w:rFonts w:hint="eastAsia"/>
              </w:rPr>
              <w:t>项原料药主文件（</w:t>
            </w:r>
            <w:r>
              <w:rPr>
                <w:rFonts w:hint="eastAsia"/>
              </w:rPr>
              <w:t>DMF</w:t>
            </w:r>
            <w:r>
              <w:rPr>
                <w:rFonts w:hint="eastAsia"/>
              </w:rPr>
              <w:t>）备案；此外，键凯科技已同步构建了包含数十种创新结构的脂质化合物库，形成了具有自主知识产权的技术矩阵。键凯已经为</w:t>
            </w:r>
            <w:r>
              <w:rPr>
                <w:rFonts w:hint="eastAsia"/>
              </w:rPr>
              <w:t>150</w:t>
            </w:r>
            <w:r>
              <w:t>家国内核酸类企业</w:t>
            </w:r>
            <w:r>
              <w:rPr>
                <w:rFonts w:hint="eastAsia"/>
              </w:rPr>
              <w:t>提供</w:t>
            </w:r>
            <w:r>
              <w:rPr>
                <w:rFonts w:hint="eastAsia"/>
              </w:rPr>
              <w:t>LNP</w:t>
            </w:r>
            <w:r>
              <w:rPr>
                <w:rFonts w:hint="eastAsia"/>
              </w:rPr>
              <w:t>相关产品</w:t>
            </w:r>
            <w:r>
              <w:t>，并支持了十余个处于</w:t>
            </w:r>
            <w:r>
              <w:t>IND/IIT</w:t>
            </w:r>
            <w:r>
              <w:t>以后</w:t>
            </w:r>
            <w:r>
              <w:lastRenderedPageBreak/>
              <w:t>临床阶段的核酸类药物研发项目。</w:t>
            </w:r>
            <w:r>
              <w:rPr>
                <w:rFonts w:hint="eastAsia"/>
              </w:rPr>
              <w:t>此外，我们基于自主研发的</w:t>
            </w:r>
            <w:r>
              <w:rPr>
                <w:rFonts w:hint="eastAsia"/>
              </w:rPr>
              <w:t>LNP</w:t>
            </w:r>
            <w:r>
              <w:rPr>
                <w:rFonts w:hint="eastAsia"/>
              </w:rPr>
              <w:t>递送系统平台，与康希诺合作了一款治疗脑胶质瘤的肿瘤疫苗，并自主研发了一款针对实体瘤的肿瘤疫苗。</w:t>
            </w:r>
          </w:p>
          <w:p w14:paraId="5785AB57" w14:textId="77777777" w:rsidR="009546C5" w:rsidRDefault="009546C5" w:rsidP="006B3E10">
            <w:pPr>
              <w:rPr>
                <w:szCs w:val="24"/>
                <w:highlight w:val="yellow"/>
              </w:rPr>
            </w:pPr>
          </w:p>
          <w:p w14:paraId="280C99DF" w14:textId="44CD12B9" w:rsidR="006B3E10" w:rsidRPr="00124786" w:rsidRDefault="00AB7C2E" w:rsidP="006B3E10">
            <w:pPr>
              <w:rPr>
                <w:szCs w:val="24"/>
              </w:rPr>
            </w:pPr>
            <w:r w:rsidRPr="00124786">
              <w:rPr>
                <w:rFonts w:hint="eastAsia"/>
                <w:szCs w:val="24"/>
              </w:rPr>
              <w:t xml:space="preserve">Q: </w:t>
            </w:r>
            <w:r w:rsidR="007256BE" w:rsidRPr="00124786">
              <w:rPr>
                <w:rFonts w:hint="eastAsia"/>
                <w:szCs w:val="24"/>
              </w:rPr>
              <w:t>盘锦</w:t>
            </w:r>
            <w:r w:rsidR="009546C5" w:rsidRPr="00124786">
              <w:rPr>
                <w:rFonts w:hint="eastAsia"/>
                <w:szCs w:val="24"/>
              </w:rPr>
              <w:t>和天津产能利用率情况</w:t>
            </w:r>
            <w:r w:rsidR="00455863" w:rsidRPr="00124786">
              <w:rPr>
                <w:rFonts w:hint="eastAsia"/>
                <w:szCs w:val="24"/>
              </w:rPr>
              <w:t>及</w:t>
            </w:r>
            <w:r w:rsidR="009546C5" w:rsidRPr="00124786">
              <w:rPr>
                <w:rFonts w:hint="eastAsia"/>
                <w:szCs w:val="24"/>
              </w:rPr>
              <w:t>后续未来两年</w:t>
            </w:r>
            <w:r w:rsidR="00517E05" w:rsidRPr="00124786">
              <w:rPr>
                <w:rFonts w:hint="eastAsia"/>
                <w:szCs w:val="24"/>
              </w:rPr>
              <w:t>产能</w:t>
            </w:r>
            <w:r w:rsidR="009546C5" w:rsidRPr="00124786">
              <w:rPr>
                <w:rFonts w:hint="eastAsia"/>
                <w:szCs w:val="24"/>
              </w:rPr>
              <w:t>利用率爬坡的预期？</w:t>
            </w:r>
          </w:p>
          <w:p w14:paraId="3F267098" w14:textId="211F528A" w:rsidR="007256BE" w:rsidRPr="00572692" w:rsidRDefault="00FB1303" w:rsidP="006B3E10">
            <w:pPr>
              <w:rPr>
                <w:szCs w:val="24"/>
              </w:rPr>
            </w:pPr>
            <w:r w:rsidRPr="00124786">
              <w:rPr>
                <w:rFonts w:hint="eastAsia"/>
                <w:szCs w:val="24"/>
              </w:rPr>
              <w:t>A:</w:t>
            </w:r>
            <w:r w:rsidR="00572692" w:rsidRPr="00124786">
              <w:rPr>
                <w:rFonts w:hint="eastAsia"/>
              </w:rPr>
              <w:t xml:space="preserve"> </w:t>
            </w:r>
            <w:r w:rsidR="00572692" w:rsidRPr="00124786">
              <w:rPr>
                <w:szCs w:val="24"/>
              </w:rPr>
              <w:t>由于天津键凯的产能情况比较饱和，目前新增的</w:t>
            </w:r>
            <w:r w:rsidR="00572692" w:rsidRPr="00124786">
              <w:rPr>
                <w:szCs w:val="24"/>
              </w:rPr>
              <w:t>GMP</w:t>
            </w:r>
            <w:r w:rsidR="00572692" w:rsidRPr="00124786">
              <w:rPr>
                <w:szCs w:val="24"/>
              </w:rPr>
              <w:t>级别项目大多会转移到盘锦厂区，部分大客户的重要中间体也是在盘锦厂区进行大规模生产</w:t>
            </w:r>
            <w:r w:rsidR="00572692" w:rsidRPr="00124786">
              <w:rPr>
                <w:rFonts w:hint="eastAsia"/>
                <w:szCs w:val="24"/>
              </w:rPr>
              <w:t>，现在国内很多</w:t>
            </w:r>
            <w:r w:rsidR="00572692" w:rsidRPr="00124786">
              <w:rPr>
                <w:rFonts w:hint="eastAsia"/>
                <w:szCs w:val="24"/>
              </w:rPr>
              <w:t>LNP</w:t>
            </w:r>
            <w:r w:rsidR="00572692" w:rsidRPr="00124786">
              <w:rPr>
                <w:rFonts w:hint="eastAsia"/>
                <w:szCs w:val="24"/>
              </w:rPr>
              <w:t>相关的生产已经开始放量，所以未来产品利用率也会逐渐增加，盘锦</w:t>
            </w:r>
            <w:r w:rsidR="00323A58">
              <w:rPr>
                <w:rFonts w:hint="eastAsia"/>
                <w:szCs w:val="24"/>
              </w:rPr>
              <w:t>产能仍</w:t>
            </w:r>
            <w:r w:rsidR="00572692" w:rsidRPr="00124786">
              <w:rPr>
                <w:rFonts w:hint="eastAsia"/>
                <w:szCs w:val="24"/>
              </w:rPr>
              <w:t>有很大的上升空间，未来键凯整体</w:t>
            </w:r>
            <w:r w:rsidR="00572692" w:rsidRPr="00124786">
              <w:rPr>
                <w:rFonts w:hint="eastAsia"/>
                <w:szCs w:val="24"/>
              </w:rPr>
              <w:t>PEG</w:t>
            </w:r>
            <w:r w:rsidR="00572692" w:rsidRPr="00124786">
              <w:rPr>
                <w:rFonts w:hint="eastAsia"/>
                <w:szCs w:val="24"/>
              </w:rPr>
              <w:t>材料方面的生产可能都是在盘锦。</w:t>
            </w:r>
          </w:p>
          <w:p w14:paraId="3A0E0D86" w14:textId="77777777" w:rsidR="00572692" w:rsidRDefault="00572692" w:rsidP="006B3E10">
            <w:pPr>
              <w:rPr>
                <w:szCs w:val="24"/>
                <w:highlight w:val="yellow"/>
              </w:rPr>
            </w:pPr>
          </w:p>
          <w:p w14:paraId="34123C2C" w14:textId="076DE1C0" w:rsidR="00D756EF" w:rsidRPr="00057A96" w:rsidRDefault="00FB1303" w:rsidP="006B3E10">
            <w:pPr>
              <w:rPr>
                <w:szCs w:val="24"/>
              </w:rPr>
            </w:pPr>
            <w:r w:rsidRPr="00057A96">
              <w:rPr>
                <w:rFonts w:hint="eastAsia"/>
                <w:szCs w:val="24"/>
              </w:rPr>
              <w:t>Q:</w:t>
            </w:r>
            <w:r w:rsidR="00057A96" w:rsidRPr="00057A96">
              <w:rPr>
                <w:rFonts w:hint="eastAsia"/>
                <w:szCs w:val="24"/>
              </w:rPr>
              <w:t>20</w:t>
            </w:r>
            <w:r w:rsidRPr="00057A96">
              <w:rPr>
                <w:rFonts w:hint="eastAsia"/>
                <w:szCs w:val="24"/>
              </w:rPr>
              <w:t>26</w:t>
            </w:r>
            <w:r w:rsidRPr="00057A96">
              <w:rPr>
                <w:rFonts w:hint="eastAsia"/>
                <w:szCs w:val="24"/>
              </w:rPr>
              <w:t>年一季度公司产品销售和技术服务的毛利率变化情况</w:t>
            </w:r>
            <w:r w:rsidR="00057A96" w:rsidRPr="00057A96">
              <w:rPr>
                <w:rFonts w:hint="eastAsia"/>
                <w:szCs w:val="24"/>
              </w:rPr>
              <w:t>？</w:t>
            </w:r>
          </w:p>
          <w:p w14:paraId="7C693733" w14:textId="01B7A0B2" w:rsidR="00FB1303" w:rsidRPr="00057A96" w:rsidRDefault="00FB1303" w:rsidP="006B3E10">
            <w:pPr>
              <w:rPr>
                <w:szCs w:val="24"/>
              </w:rPr>
            </w:pPr>
            <w:r w:rsidRPr="00057A96">
              <w:rPr>
                <w:rFonts w:hint="eastAsia"/>
                <w:szCs w:val="24"/>
              </w:rPr>
              <w:t>A</w:t>
            </w:r>
            <w:r w:rsidRPr="00057A96">
              <w:rPr>
                <w:rFonts w:hint="eastAsia"/>
                <w:szCs w:val="24"/>
              </w:rPr>
              <w:t>：</w:t>
            </w:r>
            <w:r w:rsidR="00057A96" w:rsidRPr="00057A96">
              <w:rPr>
                <w:rFonts w:hint="eastAsia"/>
                <w:szCs w:val="24"/>
              </w:rPr>
              <w:t>2026</w:t>
            </w:r>
            <w:r w:rsidR="00057A96" w:rsidRPr="00057A96">
              <w:rPr>
                <w:rFonts w:hint="eastAsia"/>
                <w:szCs w:val="24"/>
              </w:rPr>
              <w:t>年一季度公司综合毛利率为</w:t>
            </w:r>
            <w:r w:rsidR="00057A96" w:rsidRPr="00057A96">
              <w:rPr>
                <w:rFonts w:hint="eastAsia"/>
                <w:szCs w:val="24"/>
              </w:rPr>
              <w:t>70.22%</w:t>
            </w:r>
            <w:r w:rsidR="00057A96" w:rsidRPr="00057A96">
              <w:rPr>
                <w:rFonts w:hint="eastAsia"/>
                <w:szCs w:val="24"/>
              </w:rPr>
              <w:t>，较上年同期增加</w:t>
            </w:r>
            <w:r w:rsidR="00057A96" w:rsidRPr="00057A96">
              <w:rPr>
                <w:rFonts w:hint="eastAsia"/>
                <w:szCs w:val="24"/>
              </w:rPr>
              <w:t>13.73</w:t>
            </w:r>
            <w:r w:rsidR="00057A96" w:rsidRPr="00057A96">
              <w:rPr>
                <w:rFonts w:hint="eastAsia"/>
                <w:szCs w:val="24"/>
              </w:rPr>
              <w:t>个百分点，其中产品销售毛利率</w:t>
            </w:r>
            <w:r w:rsidR="00057A96" w:rsidRPr="00057A96">
              <w:rPr>
                <w:rFonts w:hint="eastAsia"/>
                <w:szCs w:val="24"/>
              </w:rPr>
              <w:t>69.</w:t>
            </w:r>
            <w:r w:rsidR="00D77875">
              <w:rPr>
                <w:rFonts w:hint="eastAsia"/>
                <w:szCs w:val="24"/>
              </w:rPr>
              <w:t>7</w:t>
            </w:r>
            <w:r w:rsidR="00057A96" w:rsidRPr="00057A96">
              <w:rPr>
                <w:rFonts w:hint="eastAsia"/>
                <w:szCs w:val="24"/>
              </w:rPr>
              <w:t>1%</w:t>
            </w:r>
            <w:r w:rsidR="00057A96" w:rsidRPr="00057A96">
              <w:rPr>
                <w:rFonts w:hint="eastAsia"/>
                <w:szCs w:val="24"/>
              </w:rPr>
              <w:t>，较上年同期增加</w:t>
            </w:r>
            <w:r w:rsidR="00057A96" w:rsidRPr="00057A96">
              <w:rPr>
                <w:rFonts w:hint="eastAsia"/>
                <w:szCs w:val="24"/>
              </w:rPr>
              <w:t>14.25</w:t>
            </w:r>
            <w:r w:rsidR="00057A96" w:rsidRPr="00057A96">
              <w:rPr>
                <w:rFonts w:hint="eastAsia"/>
                <w:szCs w:val="24"/>
              </w:rPr>
              <w:t>个百分点，增加的主要原因一是产量的增加，产品的单位成本得以摊薄，二是上年同期毛利率偏低，这两个因素共同影响导致</w:t>
            </w:r>
            <w:r w:rsidR="00057A96" w:rsidRPr="00057A96">
              <w:rPr>
                <w:rFonts w:hint="eastAsia"/>
                <w:szCs w:val="24"/>
              </w:rPr>
              <w:t>2026</w:t>
            </w:r>
            <w:r w:rsidR="00057A96" w:rsidRPr="00057A96">
              <w:rPr>
                <w:rFonts w:hint="eastAsia"/>
                <w:szCs w:val="24"/>
              </w:rPr>
              <w:t>年第一季度的毛利率有明显的回升。</w:t>
            </w:r>
          </w:p>
          <w:p w14:paraId="1E75172F" w14:textId="77777777" w:rsidR="00057A96" w:rsidRDefault="00057A96" w:rsidP="006B3E10">
            <w:pPr>
              <w:rPr>
                <w:szCs w:val="24"/>
                <w:highlight w:val="yellow"/>
              </w:rPr>
            </w:pPr>
          </w:p>
          <w:p w14:paraId="6C7AE90B" w14:textId="1B23EF9B" w:rsidR="00D756EF" w:rsidRPr="00A66E78" w:rsidRDefault="00936E53" w:rsidP="006B3E10">
            <w:pPr>
              <w:rPr>
                <w:szCs w:val="24"/>
              </w:rPr>
            </w:pPr>
            <w:r w:rsidRPr="00A66E78">
              <w:rPr>
                <w:rFonts w:hint="eastAsia"/>
                <w:szCs w:val="24"/>
              </w:rPr>
              <w:t>Q:</w:t>
            </w:r>
            <w:r w:rsidR="002E16E3" w:rsidRPr="00A66E78">
              <w:rPr>
                <w:rFonts w:hint="eastAsia"/>
                <w:szCs w:val="24"/>
              </w:rPr>
              <w:t>考虑到潜在的海外药品下半年即将迎来获批，</w:t>
            </w:r>
            <w:r w:rsidR="006F4772" w:rsidRPr="00A66E78">
              <w:rPr>
                <w:rFonts w:hint="eastAsia"/>
                <w:szCs w:val="24"/>
              </w:rPr>
              <w:t>怎么看待今年整体公司季度间的经营节奏？</w:t>
            </w:r>
          </w:p>
          <w:p w14:paraId="51DB2A11" w14:textId="0945DD60" w:rsidR="00D86E1D" w:rsidRPr="00A66E78" w:rsidRDefault="00D86E1D" w:rsidP="006B3E10">
            <w:pPr>
              <w:rPr>
                <w:szCs w:val="24"/>
              </w:rPr>
            </w:pPr>
            <w:r w:rsidRPr="00A66E78">
              <w:rPr>
                <w:rFonts w:hint="eastAsia"/>
                <w:szCs w:val="24"/>
              </w:rPr>
              <w:t>A:</w:t>
            </w:r>
            <w:r w:rsidR="003E0E81" w:rsidRPr="00A66E78">
              <w:rPr>
                <w:rFonts w:hint="eastAsia"/>
                <w:szCs w:val="24"/>
              </w:rPr>
              <w:t>海外今年整体医疗器械和药品的客户和去年相比相对平稳，海外</w:t>
            </w:r>
            <w:r w:rsidR="00323A58">
              <w:rPr>
                <w:rFonts w:hint="eastAsia"/>
                <w:szCs w:val="24"/>
              </w:rPr>
              <w:t>预计获批的</w:t>
            </w:r>
            <w:r w:rsidR="003E0E81" w:rsidRPr="00A66E78">
              <w:rPr>
                <w:rFonts w:hint="eastAsia"/>
                <w:szCs w:val="24"/>
              </w:rPr>
              <w:t>产品目前还不清楚</w:t>
            </w:r>
            <w:r w:rsidR="00323A58">
              <w:rPr>
                <w:rFonts w:hint="eastAsia"/>
                <w:szCs w:val="24"/>
              </w:rPr>
              <w:t>销售会落在国内还是国外</w:t>
            </w:r>
            <w:r w:rsidR="003E0E81" w:rsidRPr="00A66E78">
              <w:rPr>
                <w:rFonts w:hint="eastAsia"/>
                <w:szCs w:val="24"/>
              </w:rPr>
              <w:t>，如果在二季度末或者三季度初获批，那对于下半年的增长</w:t>
            </w:r>
            <w:r w:rsidR="00A66E78" w:rsidRPr="00A66E78">
              <w:rPr>
                <w:rFonts w:hint="eastAsia"/>
                <w:szCs w:val="24"/>
              </w:rPr>
              <w:t>会是</w:t>
            </w:r>
            <w:r w:rsidR="003E0E81" w:rsidRPr="00A66E78">
              <w:rPr>
                <w:rFonts w:hint="eastAsia"/>
                <w:szCs w:val="24"/>
              </w:rPr>
              <w:t>一个很好的带动作用</w:t>
            </w:r>
            <w:r w:rsidR="00323A58">
              <w:rPr>
                <w:rFonts w:hint="eastAsia"/>
                <w:szCs w:val="24"/>
              </w:rPr>
              <w:t>；</w:t>
            </w:r>
            <w:r w:rsidR="003E0E81" w:rsidRPr="00A66E78">
              <w:rPr>
                <w:rFonts w:hint="eastAsia"/>
                <w:szCs w:val="24"/>
              </w:rPr>
              <w:t>如果在第四季度获批，</w:t>
            </w:r>
            <w:r w:rsidR="00323A58">
              <w:rPr>
                <w:rFonts w:hint="eastAsia"/>
                <w:szCs w:val="24"/>
              </w:rPr>
              <w:t>则</w:t>
            </w:r>
            <w:r w:rsidR="003E0E81" w:rsidRPr="00A66E78">
              <w:rPr>
                <w:rFonts w:hint="eastAsia"/>
                <w:szCs w:val="24"/>
              </w:rPr>
              <w:t>对今年整体的影响不大。</w:t>
            </w:r>
          </w:p>
          <w:p w14:paraId="2D12C7BD" w14:textId="77777777" w:rsidR="006F4772" w:rsidRDefault="006F4772" w:rsidP="006B3E10">
            <w:pPr>
              <w:rPr>
                <w:szCs w:val="24"/>
                <w:highlight w:val="yellow"/>
              </w:rPr>
            </w:pPr>
          </w:p>
          <w:p w14:paraId="76BF102B" w14:textId="2ABB4802" w:rsidR="00D86E1D" w:rsidRPr="00A66E78" w:rsidRDefault="00A3665D" w:rsidP="006B3E10">
            <w:pPr>
              <w:rPr>
                <w:szCs w:val="24"/>
              </w:rPr>
            </w:pPr>
            <w:r w:rsidRPr="00A66E78">
              <w:rPr>
                <w:rFonts w:hint="eastAsia"/>
                <w:szCs w:val="24"/>
              </w:rPr>
              <w:t>Q:</w:t>
            </w:r>
            <w:r w:rsidR="004D2782" w:rsidRPr="00A66E78">
              <w:rPr>
                <w:rFonts w:hint="eastAsia"/>
                <w:szCs w:val="24"/>
              </w:rPr>
              <w:t>目前整个国内外</w:t>
            </w:r>
            <w:r w:rsidR="004D2782" w:rsidRPr="00A66E78">
              <w:rPr>
                <w:rFonts w:hint="eastAsia"/>
                <w:szCs w:val="24"/>
              </w:rPr>
              <w:t>PEG</w:t>
            </w:r>
            <w:r w:rsidR="004D2782" w:rsidRPr="00A66E78">
              <w:rPr>
                <w:rFonts w:hint="eastAsia"/>
                <w:szCs w:val="24"/>
              </w:rPr>
              <w:t>相关器械的应用情况</w:t>
            </w:r>
            <w:r w:rsidR="002E16E3" w:rsidRPr="00A66E78">
              <w:rPr>
                <w:rFonts w:hint="eastAsia"/>
                <w:szCs w:val="24"/>
              </w:rPr>
              <w:t>如何</w:t>
            </w:r>
            <w:r w:rsidR="004D2782" w:rsidRPr="00A66E78">
              <w:rPr>
                <w:rFonts w:hint="eastAsia"/>
                <w:szCs w:val="24"/>
              </w:rPr>
              <w:t>，以及后续市场怎么看待？</w:t>
            </w:r>
          </w:p>
          <w:p w14:paraId="6C0653B3" w14:textId="6B36E88E" w:rsidR="00A3665D" w:rsidRPr="00A66E78" w:rsidRDefault="00A3665D" w:rsidP="006B3E10">
            <w:pPr>
              <w:rPr>
                <w:szCs w:val="24"/>
              </w:rPr>
            </w:pPr>
            <w:r w:rsidRPr="00A66E78">
              <w:rPr>
                <w:rFonts w:hint="eastAsia"/>
                <w:szCs w:val="24"/>
              </w:rPr>
              <w:t>A:</w:t>
            </w:r>
            <w:r w:rsidR="002E16E3" w:rsidRPr="00A66E78">
              <w:rPr>
                <w:rFonts w:hint="eastAsia"/>
                <w:szCs w:val="24"/>
              </w:rPr>
              <w:t>国际国内很多医疗器械在</w:t>
            </w:r>
            <w:r w:rsidR="002E16E3" w:rsidRPr="00A66E78">
              <w:rPr>
                <w:rFonts w:hint="eastAsia"/>
                <w:szCs w:val="24"/>
              </w:rPr>
              <w:t>PEG</w:t>
            </w:r>
            <w:r w:rsidR="002E16E3" w:rsidRPr="00A66E78">
              <w:rPr>
                <w:rFonts w:hint="eastAsia"/>
                <w:szCs w:val="24"/>
              </w:rPr>
              <w:t>上用量较大，预计今年医疗器械国际国内市场会有小幅增长。</w:t>
            </w:r>
          </w:p>
          <w:p w14:paraId="77A4A76F" w14:textId="77777777" w:rsidR="002E16E3" w:rsidRDefault="002E16E3" w:rsidP="006B3E10">
            <w:pPr>
              <w:rPr>
                <w:szCs w:val="24"/>
                <w:highlight w:val="yellow"/>
              </w:rPr>
            </w:pPr>
          </w:p>
          <w:p w14:paraId="1C979D93" w14:textId="3D29C58B" w:rsidR="00604E49" w:rsidRPr="00A66E78" w:rsidRDefault="00604E49" w:rsidP="00604E49">
            <w:pPr>
              <w:rPr>
                <w:szCs w:val="24"/>
              </w:rPr>
            </w:pPr>
            <w:r w:rsidRPr="00A66E78">
              <w:rPr>
                <w:rFonts w:hint="eastAsia"/>
                <w:szCs w:val="24"/>
              </w:rPr>
              <w:t>Q:</w:t>
            </w:r>
            <w:r w:rsidRPr="00A66E78">
              <w:rPr>
                <w:rFonts w:hint="eastAsia"/>
                <w:szCs w:val="24"/>
              </w:rPr>
              <w:t>因为</w:t>
            </w:r>
            <w:r w:rsidRPr="00A66E78">
              <w:rPr>
                <w:rFonts w:hint="eastAsia"/>
                <w:szCs w:val="24"/>
              </w:rPr>
              <w:t>PEG</w:t>
            </w:r>
            <w:r w:rsidRPr="00A66E78">
              <w:rPr>
                <w:rFonts w:hint="eastAsia"/>
                <w:szCs w:val="24"/>
              </w:rPr>
              <w:t>属于石油相关衍生品，目前整个上游原材料价格上涨对</w:t>
            </w:r>
            <w:r w:rsidR="003530F9">
              <w:rPr>
                <w:rFonts w:hint="eastAsia"/>
                <w:szCs w:val="24"/>
              </w:rPr>
              <w:t>公司</w:t>
            </w:r>
            <w:r w:rsidRPr="00A66E78">
              <w:rPr>
                <w:rFonts w:hint="eastAsia"/>
                <w:szCs w:val="24"/>
              </w:rPr>
              <w:t>的影响以及后续产品价格能否向下游传导？</w:t>
            </w:r>
          </w:p>
          <w:p w14:paraId="7F84D40F" w14:textId="2DCB55F5" w:rsidR="00604E49" w:rsidRPr="00A66E78" w:rsidRDefault="00604E49" w:rsidP="00604E49">
            <w:pPr>
              <w:rPr>
                <w:szCs w:val="24"/>
              </w:rPr>
            </w:pPr>
            <w:r w:rsidRPr="00A66E78">
              <w:rPr>
                <w:rFonts w:hint="eastAsia"/>
                <w:szCs w:val="24"/>
              </w:rPr>
              <w:t xml:space="preserve">A: </w:t>
            </w:r>
            <w:r w:rsidRPr="00A66E78">
              <w:rPr>
                <w:rFonts w:hint="eastAsia"/>
                <w:szCs w:val="24"/>
              </w:rPr>
              <w:t>从</w:t>
            </w:r>
            <w:r w:rsidRPr="00A66E78">
              <w:rPr>
                <w:rFonts w:hint="eastAsia"/>
                <w:szCs w:val="24"/>
              </w:rPr>
              <w:t>PEG</w:t>
            </w:r>
            <w:r w:rsidRPr="00A66E78">
              <w:rPr>
                <w:rFonts w:hint="eastAsia"/>
                <w:szCs w:val="24"/>
              </w:rPr>
              <w:t>上看影响非常小</w:t>
            </w:r>
            <w:r w:rsidR="00323A58">
              <w:rPr>
                <w:rFonts w:hint="eastAsia"/>
                <w:szCs w:val="24"/>
              </w:rPr>
              <w:t>。但</w:t>
            </w:r>
            <w:r w:rsidRPr="00A66E78">
              <w:rPr>
                <w:rFonts w:hint="eastAsia"/>
                <w:szCs w:val="24"/>
              </w:rPr>
              <w:t>传统有机溶剂</w:t>
            </w:r>
            <w:r w:rsidR="00323A58">
              <w:rPr>
                <w:rFonts w:hint="eastAsia"/>
                <w:szCs w:val="24"/>
              </w:rPr>
              <w:t>的</w:t>
            </w:r>
            <w:r w:rsidRPr="00A66E78">
              <w:rPr>
                <w:rFonts w:hint="eastAsia"/>
                <w:szCs w:val="24"/>
              </w:rPr>
              <w:t>用量较大，</w:t>
            </w:r>
            <w:r w:rsidR="00323A58">
              <w:rPr>
                <w:rFonts w:hint="eastAsia"/>
                <w:szCs w:val="24"/>
              </w:rPr>
              <w:t>这部分原材料的</w:t>
            </w:r>
            <w:r w:rsidRPr="00A66E78">
              <w:rPr>
                <w:rFonts w:hint="eastAsia"/>
                <w:szCs w:val="24"/>
              </w:rPr>
              <w:t>价格波动</w:t>
            </w:r>
            <w:r w:rsidR="00323A58">
              <w:rPr>
                <w:rFonts w:hint="eastAsia"/>
                <w:szCs w:val="24"/>
              </w:rPr>
              <w:t>对</w:t>
            </w:r>
            <w:r w:rsidRPr="00A66E78">
              <w:rPr>
                <w:rFonts w:hint="eastAsia"/>
                <w:szCs w:val="24"/>
              </w:rPr>
              <w:t>成本有一定影响</w:t>
            </w:r>
            <w:r w:rsidR="00323A58">
              <w:rPr>
                <w:rFonts w:hint="eastAsia"/>
                <w:szCs w:val="24"/>
              </w:rPr>
              <w:t>。</w:t>
            </w:r>
            <w:r w:rsidRPr="00A66E78">
              <w:rPr>
                <w:rFonts w:hint="eastAsia"/>
                <w:szCs w:val="24"/>
              </w:rPr>
              <w:t>但是今年我们认为毛利率会恢复到一个比较合理的水平，在</w:t>
            </w:r>
            <w:r w:rsidR="00323A58">
              <w:rPr>
                <w:rFonts w:hint="eastAsia"/>
                <w:szCs w:val="24"/>
              </w:rPr>
              <w:t>现有的毛利</w:t>
            </w:r>
            <w:r w:rsidRPr="00A66E78">
              <w:rPr>
                <w:rFonts w:hint="eastAsia"/>
                <w:szCs w:val="24"/>
              </w:rPr>
              <w:t>水平下，</w:t>
            </w:r>
            <w:r w:rsidR="00323A58">
              <w:rPr>
                <w:rFonts w:hint="eastAsia"/>
                <w:szCs w:val="24"/>
              </w:rPr>
              <w:t>材料</w:t>
            </w:r>
            <w:r w:rsidRPr="00A66E78">
              <w:rPr>
                <w:rFonts w:hint="eastAsia"/>
                <w:szCs w:val="24"/>
              </w:rPr>
              <w:t>成本的波动对我们来说是可以接受的。</w:t>
            </w:r>
          </w:p>
          <w:p w14:paraId="55BEC0C5" w14:textId="77777777" w:rsidR="00604E49" w:rsidRPr="00323A58" w:rsidRDefault="00604E49" w:rsidP="006B3E10">
            <w:pPr>
              <w:rPr>
                <w:szCs w:val="24"/>
                <w:highlight w:val="yellow"/>
              </w:rPr>
            </w:pPr>
          </w:p>
          <w:p w14:paraId="545258BA" w14:textId="429B8B72" w:rsidR="004D2782" w:rsidRPr="00A66E78" w:rsidRDefault="004D2782" w:rsidP="006B3E10">
            <w:pPr>
              <w:rPr>
                <w:szCs w:val="24"/>
              </w:rPr>
            </w:pPr>
            <w:r w:rsidRPr="00A66E78">
              <w:rPr>
                <w:rFonts w:hint="eastAsia"/>
                <w:szCs w:val="24"/>
              </w:rPr>
              <w:t>Q:</w:t>
            </w:r>
            <w:r w:rsidRPr="00A66E78">
              <w:rPr>
                <w:rFonts w:hint="eastAsia"/>
                <w:szCs w:val="24"/>
              </w:rPr>
              <w:t>一季度汇率</w:t>
            </w:r>
            <w:r w:rsidR="0002500F" w:rsidRPr="00A66E78">
              <w:rPr>
                <w:rFonts w:hint="eastAsia"/>
                <w:szCs w:val="24"/>
              </w:rPr>
              <w:t>波动</w:t>
            </w:r>
            <w:r w:rsidRPr="00A66E78">
              <w:rPr>
                <w:rFonts w:hint="eastAsia"/>
                <w:szCs w:val="24"/>
              </w:rPr>
              <w:t>对</w:t>
            </w:r>
            <w:r w:rsidR="003530F9">
              <w:rPr>
                <w:rFonts w:hint="eastAsia"/>
                <w:szCs w:val="24"/>
              </w:rPr>
              <w:t>公司</w:t>
            </w:r>
            <w:r w:rsidRPr="00A66E78">
              <w:rPr>
                <w:rFonts w:hint="eastAsia"/>
                <w:szCs w:val="24"/>
              </w:rPr>
              <w:t>的影响，后续</w:t>
            </w:r>
            <w:r w:rsidR="003530F9">
              <w:rPr>
                <w:rFonts w:hint="eastAsia"/>
                <w:szCs w:val="24"/>
              </w:rPr>
              <w:t>公司</w:t>
            </w:r>
            <w:r w:rsidRPr="00A66E78">
              <w:rPr>
                <w:rFonts w:hint="eastAsia"/>
                <w:szCs w:val="24"/>
              </w:rPr>
              <w:t>对于汇率有没有做一些相关措施？</w:t>
            </w:r>
          </w:p>
          <w:p w14:paraId="36DCC157" w14:textId="676411CC" w:rsidR="004D2782" w:rsidRPr="00A66E78" w:rsidRDefault="004D2782" w:rsidP="006B3E10">
            <w:pPr>
              <w:rPr>
                <w:szCs w:val="24"/>
              </w:rPr>
            </w:pPr>
            <w:r w:rsidRPr="00A66E78">
              <w:rPr>
                <w:rFonts w:hint="eastAsia"/>
                <w:szCs w:val="24"/>
              </w:rPr>
              <w:t>A:</w:t>
            </w:r>
            <w:r w:rsidR="0002500F" w:rsidRPr="00A66E78">
              <w:rPr>
                <w:rFonts w:hint="eastAsia"/>
                <w:szCs w:val="24"/>
              </w:rPr>
              <w:t>汇率波动对我们来说有一定影响，但影响不大</w:t>
            </w:r>
            <w:r w:rsidR="00323A58">
              <w:rPr>
                <w:rFonts w:hint="eastAsia"/>
                <w:szCs w:val="24"/>
              </w:rPr>
              <w:t>。</w:t>
            </w:r>
            <w:r w:rsidRPr="00A66E78">
              <w:rPr>
                <w:rFonts w:hint="eastAsia"/>
                <w:szCs w:val="24"/>
              </w:rPr>
              <w:t>目前</w:t>
            </w:r>
            <w:r w:rsidR="00323A58">
              <w:rPr>
                <w:rFonts w:hint="eastAsia"/>
                <w:szCs w:val="24"/>
              </w:rPr>
              <w:t>公司</w:t>
            </w:r>
            <w:r w:rsidR="00B435C2" w:rsidRPr="00A66E78">
              <w:rPr>
                <w:rFonts w:hint="eastAsia"/>
                <w:szCs w:val="24"/>
              </w:rPr>
              <w:t>对于汇率</w:t>
            </w:r>
            <w:r w:rsidR="00323A58">
              <w:rPr>
                <w:rFonts w:hint="eastAsia"/>
                <w:szCs w:val="24"/>
              </w:rPr>
              <w:t>变化趋势</w:t>
            </w:r>
            <w:r w:rsidRPr="00A66E78">
              <w:rPr>
                <w:rFonts w:hint="eastAsia"/>
                <w:szCs w:val="24"/>
              </w:rPr>
              <w:t>持观望态度，</w:t>
            </w:r>
            <w:r w:rsidR="00323A58">
              <w:rPr>
                <w:rFonts w:hint="eastAsia"/>
                <w:szCs w:val="24"/>
              </w:rPr>
              <w:t>对于海外客户，我们将</w:t>
            </w:r>
            <w:r w:rsidRPr="00A66E78">
              <w:rPr>
                <w:rFonts w:hint="eastAsia"/>
                <w:szCs w:val="24"/>
              </w:rPr>
              <w:t>尽可能在收入确认</w:t>
            </w:r>
            <w:r w:rsidR="00323A58">
              <w:rPr>
                <w:rFonts w:hint="eastAsia"/>
                <w:szCs w:val="24"/>
              </w:rPr>
              <w:t>时</w:t>
            </w:r>
            <w:r w:rsidRPr="00A66E78">
              <w:rPr>
                <w:rFonts w:hint="eastAsia"/>
                <w:szCs w:val="24"/>
              </w:rPr>
              <w:t>尽</w:t>
            </w:r>
            <w:r w:rsidR="00B435C2" w:rsidRPr="00A66E78">
              <w:rPr>
                <w:rFonts w:hint="eastAsia"/>
                <w:szCs w:val="24"/>
              </w:rPr>
              <w:t>早</w:t>
            </w:r>
            <w:r w:rsidR="00323A58">
              <w:rPr>
                <w:rFonts w:hint="eastAsia"/>
                <w:szCs w:val="24"/>
              </w:rPr>
              <w:t>收回</w:t>
            </w:r>
            <w:r w:rsidRPr="00A66E78">
              <w:rPr>
                <w:rFonts w:hint="eastAsia"/>
                <w:szCs w:val="24"/>
              </w:rPr>
              <w:t>款项，以及收回之后及时结汇</w:t>
            </w:r>
            <w:r w:rsidR="00B435C2" w:rsidRPr="00A66E78">
              <w:rPr>
                <w:rFonts w:hint="eastAsia"/>
                <w:szCs w:val="24"/>
              </w:rPr>
              <w:t>。</w:t>
            </w:r>
          </w:p>
          <w:p w14:paraId="5610C531" w14:textId="77777777" w:rsidR="00B435C2" w:rsidRPr="00323A58" w:rsidRDefault="00B435C2" w:rsidP="006B3E10">
            <w:pPr>
              <w:rPr>
                <w:szCs w:val="24"/>
                <w:highlight w:val="yellow"/>
              </w:rPr>
            </w:pPr>
          </w:p>
          <w:p w14:paraId="37B3E5E1" w14:textId="4C13DF39" w:rsidR="00BA1FE1" w:rsidRPr="009538BD" w:rsidRDefault="00BA1FE1" w:rsidP="006B3E10">
            <w:pPr>
              <w:rPr>
                <w:szCs w:val="24"/>
              </w:rPr>
            </w:pPr>
            <w:r w:rsidRPr="009538BD">
              <w:rPr>
                <w:rFonts w:hint="eastAsia"/>
                <w:szCs w:val="24"/>
              </w:rPr>
              <w:t>Q:</w:t>
            </w:r>
            <w:r w:rsidR="009538BD" w:rsidRPr="009538BD">
              <w:rPr>
                <w:rFonts w:hint="eastAsia"/>
              </w:rPr>
              <w:t xml:space="preserve"> </w:t>
            </w:r>
            <w:r w:rsidR="009538BD" w:rsidRPr="009538BD">
              <w:rPr>
                <w:rFonts w:hint="eastAsia"/>
              </w:rPr>
              <w:t>目前</w:t>
            </w:r>
            <w:r w:rsidR="004D5136" w:rsidRPr="00C70078">
              <w:rPr>
                <w:szCs w:val="24"/>
              </w:rPr>
              <w:t>聚</w:t>
            </w:r>
            <w:r w:rsidR="009538BD" w:rsidRPr="009538BD">
              <w:rPr>
                <w:szCs w:val="24"/>
              </w:rPr>
              <w:t>乙二醇伊立替康（</w:t>
            </w:r>
            <w:r w:rsidR="009538BD" w:rsidRPr="009538BD">
              <w:rPr>
                <w:szCs w:val="24"/>
              </w:rPr>
              <w:t>JK1201I</w:t>
            </w:r>
            <w:r w:rsidR="009538BD" w:rsidRPr="009538BD">
              <w:rPr>
                <w:szCs w:val="24"/>
              </w:rPr>
              <w:t>）小细胞肺癌适应症正在开展</w:t>
            </w:r>
            <w:r w:rsidR="009538BD" w:rsidRPr="009538BD">
              <w:rPr>
                <w:szCs w:val="24"/>
              </w:rPr>
              <w:t>Ⅲ</w:t>
            </w:r>
            <w:r w:rsidR="009538BD" w:rsidRPr="009538BD">
              <w:rPr>
                <w:szCs w:val="24"/>
              </w:rPr>
              <w:t>期临床试验，脑胶质瘤适应症与伴脑转移的</w:t>
            </w:r>
            <w:r w:rsidR="009538BD" w:rsidRPr="009538BD">
              <w:rPr>
                <w:szCs w:val="24"/>
              </w:rPr>
              <w:t>HER2</w:t>
            </w:r>
            <w:r w:rsidR="009538BD" w:rsidRPr="009538BD">
              <w:rPr>
                <w:szCs w:val="24"/>
              </w:rPr>
              <w:t>阴性乳腺癌适应症正在</w:t>
            </w:r>
            <w:r w:rsidR="009538BD" w:rsidRPr="009538BD">
              <w:rPr>
                <w:szCs w:val="24"/>
              </w:rPr>
              <w:t>Ⅱ</w:t>
            </w:r>
            <w:r w:rsidR="009538BD" w:rsidRPr="009538BD">
              <w:rPr>
                <w:szCs w:val="24"/>
              </w:rPr>
              <w:t>期临床试验阶段</w:t>
            </w:r>
            <w:r w:rsidR="009538BD" w:rsidRPr="009538BD">
              <w:rPr>
                <w:rFonts w:hint="eastAsia"/>
                <w:szCs w:val="24"/>
              </w:rPr>
              <w:t>，</w:t>
            </w:r>
            <w:r w:rsidRPr="009538BD">
              <w:rPr>
                <w:rFonts w:hint="eastAsia"/>
                <w:szCs w:val="24"/>
              </w:rPr>
              <w:t>后续公司对这个产品的预期</w:t>
            </w:r>
            <w:r w:rsidR="009538BD" w:rsidRPr="009538BD">
              <w:rPr>
                <w:rFonts w:hint="eastAsia"/>
                <w:szCs w:val="24"/>
              </w:rPr>
              <w:t>如何？</w:t>
            </w:r>
          </w:p>
          <w:p w14:paraId="79FB28C5" w14:textId="40CFE7BC" w:rsidR="00BA1FE1" w:rsidRDefault="00BA1FE1" w:rsidP="006B3E10">
            <w:pPr>
              <w:rPr>
                <w:szCs w:val="24"/>
                <w:highlight w:val="yellow"/>
              </w:rPr>
            </w:pPr>
            <w:r w:rsidRPr="009538BD">
              <w:rPr>
                <w:rFonts w:hint="eastAsia"/>
                <w:szCs w:val="24"/>
              </w:rPr>
              <w:t>A:</w:t>
            </w:r>
            <w:r w:rsidR="00C97506">
              <w:rPr>
                <w:rFonts w:hint="eastAsia"/>
                <w:szCs w:val="24"/>
              </w:rPr>
              <w:t>目前</w:t>
            </w:r>
            <w:r w:rsidR="009538BD" w:rsidRPr="009538BD">
              <w:rPr>
                <w:rFonts w:hint="eastAsia"/>
                <w:szCs w:val="24"/>
              </w:rPr>
              <w:t>在</w:t>
            </w:r>
            <w:r w:rsidR="009538BD" w:rsidRPr="009538BD">
              <w:rPr>
                <w:szCs w:val="24"/>
              </w:rPr>
              <w:t>脑胶质瘤</w:t>
            </w:r>
            <w:r w:rsidR="009538BD">
              <w:rPr>
                <w:rFonts w:hint="eastAsia"/>
                <w:szCs w:val="24"/>
              </w:rPr>
              <w:t>和</w:t>
            </w:r>
            <w:r w:rsidR="009538BD" w:rsidRPr="009538BD">
              <w:rPr>
                <w:szCs w:val="24"/>
              </w:rPr>
              <w:t>伴脑转移的</w:t>
            </w:r>
            <w:r w:rsidR="009538BD" w:rsidRPr="009538BD">
              <w:rPr>
                <w:szCs w:val="24"/>
              </w:rPr>
              <w:t>HER2</w:t>
            </w:r>
            <w:r w:rsidR="009538BD" w:rsidRPr="009538BD">
              <w:rPr>
                <w:szCs w:val="24"/>
              </w:rPr>
              <w:t>阴性乳腺癌</w:t>
            </w:r>
            <w:r w:rsidR="009538BD">
              <w:rPr>
                <w:rFonts w:hint="eastAsia"/>
                <w:szCs w:val="24"/>
              </w:rPr>
              <w:t>上</w:t>
            </w:r>
            <w:r w:rsidR="00947602">
              <w:rPr>
                <w:rFonts w:hint="eastAsia"/>
                <w:szCs w:val="24"/>
              </w:rPr>
              <w:t>有较好的趋势</w:t>
            </w:r>
            <w:r w:rsidR="009538BD">
              <w:rPr>
                <w:rFonts w:hint="eastAsia"/>
                <w:szCs w:val="24"/>
              </w:rPr>
              <w:t>，但是</w:t>
            </w:r>
            <w:r w:rsidR="00947602">
              <w:rPr>
                <w:rFonts w:hint="eastAsia"/>
                <w:szCs w:val="24"/>
              </w:rPr>
              <w:t>距离</w:t>
            </w:r>
            <w:r w:rsidR="009538BD">
              <w:rPr>
                <w:rFonts w:hint="eastAsia"/>
                <w:szCs w:val="24"/>
              </w:rPr>
              <w:t>上市</w:t>
            </w:r>
            <w:r w:rsidR="00947602">
              <w:rPr>
                <w:rFonts w:hint="eastAsia"/>
                <w:szCs w:val="24"/>
              </w:rPr>
              <w:t>还比较远</w:t>
            </w:r>
            <w:r w:rsidR="009538BD">
              <w:rPr>
                <w:rFonts w:hint="eastAsia"/>
                <w:szCs w:val="24"/>
              </w:rPr>
              <w:t>，下半年我们会做一个中期评估</w:t>
            </w:r>
            <w:r w:rsidR="00947602">
              <w:rPr>
                <w:rFonts w:hint="eastAsia"/>
                <w:szCs w:val="24"/>
              </w:rPr>
              <w:t>。</w:t>
            </w:r>
            <w:r w:rsidR="009538BD">
              <w:rPr>
                <w:rFonts w:hint="eastAsia"/>
                <w:szCs w:val="24"/>
              </w:rPr>
              <w:t>这两个产品在今年的研发投入上没有冒进</w:t>
            </w:r>
            <w:r w:rsidR="00947602">
              <w:rPr>
                <w:rFonts w:hint="eastAsia"/>
                <w:szCs w:val="24"/>
              </w:rPr>
              <w:t>，</w:t>
            </w:r>
            <w:r w:rsidR="00323A58">
              <w:rPr>
                <w:rFonts w:hint="eastAsia"/>
                <w:szCs w:val="24"/>
              </w:rPr>
              <w:t>目前我们对</w:t>
            </w:r>
            <w:r w:rsidR="009538BD">
              <w:rPr>
                <w:rFonts w:hint="eastAsia"/>
                <w:szCs w:val="24"/>
              </w:rPr>
              <w:t>伊立替康项目的态度</w:t>
            </w:r>
            <w:r w:rsidR="00323A58">
              <w:rPr>
                <w:rFonts w:hint="eastAsia"/>
                <w:szCs w:val="24"/>
              </w:rPr>
              <w:t>谨慎乐观</w:t>
            </w:r>
            <w:r w:rsidR="009538BD">
              <w:rPr>
                <w:rFonts w:hint="eastAsia"/>
                <w:szCs w:val="24"/>
              </w:rPr>
              <w:t>。</w:t>
            </w:r>
          </w:p>
          <w:p w14:paraId="10423470" w14:textId="77777777" w:rsidR="009538BD" w:rsidRDefault="009538BD" w:rsidP="00BA1FE1">
            <w:pPr>
              <w:rPr>
                <w:szCs w:val="24"/>
                <w:highlight w:val="yellow"/>
              </w:rPr>
            </w:pPr>
          </w:p>
          <w:p w14:paraId="0F390CC2" w14:textId="352C70D8" w:rsidR="00BA1FE1" w:rsidRPr="00A66E78" w:rsidRDefault="00BA1FE1" w:rsidP="00BA1FE1">
            <w:pPr>
              <w:rPr>
                <w:szCs w:val="24"/>
              </w:rPr>
            </w:pPr>
            <w:r w:rsidRPr="00A66E78">
              <w:rPr>
                <w:rFonts w:hint="eastAsia"/>
                <w:szCs w:val="24"/>
              </w:rPr>
              <w:t>Q:</w:t>
            </w:r>
            <w:r w:rsidRPr="00A66E78">
              <w:rPr>
                <w:rFonts w:hint="eastAsia"/>
                <w:szCs w:val="24"/>
              </w:rPr>
              <w:t>目前美国对药品征收关税的政策已经</w:t>
            </w:r>
            <w:r w:rsidR="009538BD" w:rsidRPr="00A66E78">
              <w:rPr>
                <w:rFonts w:hint="eastAsia"/>
                <w:szCs w:val="24"/>
              </w:rPr>
              <w:t>落地</w:t>
            </w:r>
            <w:r w:rsidRPr="00A66E78">
              <w:rPr>
                <w:rFonts w:hint="eastAsia"/>
                <w:szCs w:val="24"/>
              </w:rPr>
              <w:t>，我们发往美国地区客户的产品是否会受到一些影响</w:t>
            </w:r>
            <w:r w:rsidR="009538BD" w:rsidRPr="00A66E78">
              <w:rPr>
                <w:rFonts w:hint="eastAsia"/>
                <w:szCs w:val="24"/>
              </w:rPr>
              <w:t>？</w:t>
            </w:r>
          </w:p>
          <w:p w14:paraId="1AAB3AAE" w14:textId="45041884" w:rsidR="00BA1FE1" w:rsidRPr="00A66E78" w:rsidRDefault="00BA1FE1" w:rsidP="00BA1FE1">
            <w:pPr>
              <w:rPr>
                <w:szCs w:val="24"/>
              </w:rPr>
            </w:pPr>
            <w:r w:rsidRPr="00A66E78">
              <w:rPr>
                <w:rFonts w:hint="eastAsia"/>
                <w:szCs w:val="24"/>
              </w:rPr>
              <w:t>A:</w:t>
            </w:r>
            <w:r w:rsidR="009538BD" w:rsidRPr="00A66E78">
              <w:rPr>
                <w:rFonts w:hint="eastAsia"/>
                <w:szCs w:val="24"/>
              </w:rPr>
              <w:t>我们的产品现在执行的关税税率是</w:t>
            </w:r>
            <w:r w:rsidR="009538BD" w:rsidRPr="00A66E78">
              <w:rPr>
                <w:rFonts w:hint="eastAsia"/>
                <w:szCs w:val="24"/>
              </w:rPr>
              <w:t>35%</w:t>
            </w:r>
            <w:r w:rsidR="009538BD" w:rsidRPr="00A66E78">
              <w:rPr>
                <w:rFonts w:hint="eastAsia"/>
                <w:szCs w:val="24"/>
              </w:rPr>
              <w:t>。</w:t>
            </w:r>
          </w:p>
          <w:p w14:paraId="516018F3" w14:textId="77777777" w:rsidR="009538BD" w:rsidRDefault="009538BD" w:rsidP="00BA1FE1">
            <w:pPr>
              <w:rPr>
                <w:szCs w:val="24"/>
                <w:highlight w:val="yellow"/>
              </w:rPr>
            </w:pPr>
          </w:p>
          <w:p w14:paraId="775DAD1A" w14:textId="6DB8C283" w:rsidR="00BA1FE1" w:rsidRPr="00A66E78" w:rsidRDefault="00BA1FE1" w:rsidP="00BA1FE1">
            <w:pPr>
              <w:rPr>
                <w:szCs w:val="24"/>
              </w:rPr>
            </w:pPr>
            <w:r w:rsidRPr="00A66E78">
              <w:rPr>
                <w:rFonts w:hint="eastAsia"/>
                <w:szCs w:val="24"/>
              </w:rPr>
              <w:t>Q:</w:t>
            </w:r>
            <w:r w:rsidRPr="00A66E78">
              <w:rPr>
                <w:rFonts w:hint="eastAsia"/>
                <w:szCs w:val="24"/>
              </w:rPr>
              <w:t>从竞争格局的角度来讲，国内外竞争对手</w:t>
            </w:r>
            <w:r w:rsidR="00BF6229" w:rsidRPr="00A66E78">
              <w:rPr>
                <w:rFonts w:hint="eastAsia"/>
                <w:szCs w:val="24"/>
              </w:rPr>
              <w:t>是否</w:t>
            </w:r>
            <w:r w:rsidRPr="00A66E78">
              <w:rPr>
                <w:rFonts w:hint="eastAsia"/>
                <w:szCs w:val="24"/>
              </w:rPr>
              <w:t>有些变化</w:t>
            </w:r>
            <w:r w:rsidR="009538BD" w:rsidRPr="00A66E78">
              <w:rPr>
                <w:rFonts w:hint="eastAsia"/>
                <w:szCs w:val="24"/>
              </w:rPr>
              <w:t>？</w:t>
            </w:r>
          </w:p>
          <w:p w14:paraId="29577D53" w14:textId="117F99FD" w:rsidR="000577D5" w:rsidRPr="00062B84" w:rsidRDefault="00BA1FE1" w:rsidP="00560B83">
            <w:pPr>
              <w:rPr>
                <w:szCs w:val="24"/>
                <w:highlight w:val="yellow"/>
              </w:rPr>
            </w:pPr>
            <w:r w:rsidRPr="00A66E78">
              <w:rPr>
                <w:rFonts w:hint="eastAsia"/>
                <w:szCs w:val="24"/>
              </w:rPr>
              <w:t>A:</w:t>
            </w:r>
            <w:r w:rsidR="0075465F" w:rsidRPr="00A66E78">
              <w:rPr>
                <w:rFonts w:hint="eastAsia"/>
                <w:szCs w:val="24"/>
              </w:rPr>
              <w:t>受中美关系的影响以及关税的影响，在美国新客户的增加幅度下降，但在欧洲的客户有所增加，</w:t>
            </w:r>
            <w:r w:rsidR="003F21E1" w:rsidRPr="00A66E78">
              <w:rPr>
                <w:rFonts w:hint="eastAsia"/>
                <w:szCs w:val="24"/>
              </w:rPr>
              <w:t>我们会把客户关系的风险降到最低，</w:t>
            </w:r>
            <w:r w:rsidR="00947602">
              <w:rPr>
                <w:rFonts w:hint="eastAsia"/>
                <w:szCs w:val="24"/>
              </w:rPr>
              <w:t>并</w:t>
            </w:r>
            <w:r w:rsidR="003F21E1" w:rsidRPr="00A66E78">
              <w:rPr>
                <w:rFonts w:hint="eastAsia"/>
                <w:szCs w:val="24"/>
              </w:rPr>
              <w:t>大力拓展美国以外的</w:t>
            </w:r>
            <w:r w:rsidR="00947602">
              <w:rPr>
                <w:rFonts w:hint="eastAsia"/>
                <w:szCs w:val="24"/>
              </w:rPr>
              <w:t>海外</w:t>
            </w:r>
            <w:r w:rsidR="003F21E1" w:rsidRPr="00A66E78">
              <w:rPr>
                <w:rFonts w:hint="eastAsia"/>
                <w:szCs w:val="24"/>
              </w:rPr>
              <w:t>客</w:t>
            </w:r>
            <w:r w:rsidR="00947602">
              <w:rPr>
                <w:rFonts w:hint="eastAsia"/>
                <w:szCs w:val="24"/>
              </w:rPr>
              <w:t>户</w:t>
            </w:r>
            <w:r w:rsidR="0075465F" w:rsidRPr="00A66E78">
              <w:rPr>
                <w:rFonts w:hint="eastAsia"/>
                <w:szCs w:val="24"/>
              </w:rPr>
              <w:t>。</w:t>
            </w:r>
            <w:r w:rsidR="00947602">
              <w:rPr>
                <w:rFonts w:hint="eastAsia"/>
                <w:szCs w:val="24"/>
              </w:rPr>
              <w:t>国内由于竞争导致的降价风险仍然存在。</w:t>
            </w:r>
          </w:p>
        </w:tc>
      </w:tr>
      <w:tr w:rsidR="00DC5E46" w:rsidRPr="009F4679" w14:paraId="38874C97" w14:textId="77777777" w:rsidTr="009F4679">
        <w:tc>
          <w:tcPr>
            <w:tcW w:w="2405" w:type="dxa"/>
          </w:tcPr>
          <w:p w14:paraId="6E3DA43A" w14:textId="77777777" w:rsidR="009F4679" w:rsidRPr="009F4679" w:rsidRDefault="009F4679" w:rsidP="00DC5E46">
            <w:pPr>
              <w:jc w:val="center"/>
              <w:rPr>
                <w:b/>
                <w:bCs/>
                <w:szCs w:val="24"/>
              </w:rPr>
            </w:pPr>
          </w:p>
          <w:p w14:paraId="2EE0F6D4" w14:textId="1B7B8F85" w:rsidR="00DC5E46" w:rsidRPr="009F4679" w:rsidRDefault="00DC5E46" w:rsidP="00DC5E46">
            <w:pPr>
              <w:jc w:val="center"/>
              <w:rPr>
                <w:b/>
                <w:bCs/>
                <w:szCs w:val="24"/>
              </w:rPr>
            </w:pPr>
            <w:r w:rsidRPr="009F4679">
              <w:rPr>
                <w:rFonts w:hint="eastAsia"/>
                <w:b/>
                <w:bCs/>
                <w:szCs w:val="24"/>
              </w:rPr>
              <w:t>附件清单（如有）</w:t>
            </w:r>
          </w:p>
          <w:p w14:paraId="044F4AA8" w14:textId="0769EB40" w:rsidR="009F4679" w:rsidRPr="009F4679" w:rsidRDefault="009F4679" w:rsidP="009F4679">
            <w:pPr>
              <w:rPr>
                <w:b/>
                <w:bCs/>
                <w:szCs w:val="24"/>
              </w:rPr>
            </w:pPr>
          </w:p>
        </w:tc>
        <w:tc>
          <w:tcPr>
            <w:tcW w:w="5891" w:type="dxa"/>
          </w:tcPr>
          <w:p w14:paraId="70EFBF35" w14:textId="77777777" w:rsidR="00DC5E46" w:rsidRPr="00010D3D" w:rsidRDefault="00DC5E46" w:rsidP="00DC5E46">
            <w:pPr>
              <w:jc w:val="center"/>
              <w:rPr>
                <w:szCs w:val="24"/>
              </w:rPr>
            </w:pPr>
          </w:p>
        </w:tc>
      </w:tr>
      <w:tr w:rsidR="00DC5E46" w:rsidRPr="009F4679" w14:paraId="457C3860" w14:textId="77777777" w:rsidTr="009F4679">
        <w:tc>
          <w:tcPr>
            <w:tcW w:w="2405" w:type="dxa"/>
          </w:tcPr>
          <w:p w14:paraId="14E51FE4" w14:textId="77777777" w:rsidR="009F4679" w:rsidRPr="009F4679" w:rsidRDefault="009F4679" w:rsidP="00DC5E46">
            <w:pPr>
              <w:jc w:val="center"/>
              <w:rPr>
                <w:b/>
                <w:bCs/>
                <w:szCs w:val="24"/>
              </w:rPr>
            </w:pPr>
          </w:p>
          <w:p w14:paraId="39920BE8" w14:textId="14E79FAB" w:rsidR="00DC5E46" w:rsidRPr="009F4679" w:rsidRDefault="00DC5E46" w:rsidP="00DC5E46">
            <w:pPr>
              <w:jc w:val="center"/>
              <w:rPr>
                <w:b/>
                <w:bCs/>
                <w:szCs w:val="24"/>
              </w:rPr>
            </w:pPr>
            <w:r w:rsidRPr="009F4679">
              <w:rPr>
                <w:rFonts w:hint="eastAsia"/>
                <w:b/>
                <w:bCs/>
                <w:szCs w:val="24"/>
              </w:rPr>
              <w:t>日期</w:t>
            </w:r>
          </w:p>
        </w:tc>
        <w:tc>
          <w:tcPr>
            <w:tcW w:w="5891" w:type="dxa"/>
          </w:tcPr>
          <w:p w14:paraId="122674BE" w14:textId="77777777" w:rsidR="00DC5E46" w:rsidRDefault="00DC5E46" w:rsidP="00DC5E46">
            <w:pPr>
              <w:jc w:val="center"/>
              <w:rPr>
                <w:szCs w:val="24"/>
              </w:rPr>
            </w:pPr>
          </w:p>
          <w:p w14:paraId="43C5C371" w14:textId="2C8DF282" w:rsidR="009F4679" w:rsidRDefault="000D6505" w:rsidP="00DC5E46">
            <w:pPr>
              <w:jc w:val="center"/>
              <w:rPr>
                <w:szCs w:val="24"/>
              </w:rPr>
            </w:pPr>
            <w:r w:rsidRPr="005C261D">
              <w:rPr>
                <w:rFonts w:hint="eastAsia"/>
                <w:szCs w:val="24"/>
              </w:rPr>
              <w:t>2</w:t>
            </w:r>
            <w:r w:rsidRPr="005C261D">
              <w:rPr>
                <w:szCs w:val="24"/>
              </w:rPr>
              <w:t>02</w:t>
            </w:r>
            <w:r w:rsidR="003A629A" w:rsidRPr="005C261D">
              <w:rPr>
                <w:rFonts w:hint="eastAsia"/>
                <w:szCs w:val="24"/>
              </w:rPr>
              <w:t>6</w:t>
            </w:r>
            <w:r w:rsidR="002329EC" w:rsidRPr="005C261D">
              <w:rPr>
                <w:rFonts w:hint="eastAsia"/>
                <w:szCs w:val="24"/>
              </w:rPr>
              <w:t>.</w:t>
            </w:r>
            <w:r w:rsidR="003A629A" w:rsidRPr="005C261D">
              <w:rPr>
                <w:rFonts w:hint="eastAsia"/>
                <w:szCs w:val="24"/>
              </w:rPr>
              <w:t>0</w:t>
            </w:r>
            <w:r w:rsidR="005C261D" w:rsidRPr="005C261D">
              <w:rPr>
                <w:rFonts w:hint="eastAsia"/>
                <w:szCs w:val="24"/>
              </w:rPr>
              <w:t>4</w:t>
            </w:r>
            <w:r w:rsidR="002329EC" w:rsidRPr="005C261D">
              <w:rPr>
                <w:rFonts w:hint="eastAsia"/>
                <w:szCs w:val="24"/>
              </w:rPr>
              <w:t>.</w:t>
            </w:r>
            <w:r w:rsidR="005C261D" w:rsidRPr="005C261D">
              <w:rPr>
                <w:rFonts w:hint="eastAsia"/>
                <w:szCs w:val="24"/>
              </w:rPr>
              <w:t>29</w:t>
            </w:r>
          </w:p>
          <w:p w14:paraId="32DF8EF6" w14:textId="68594555" w:rsidR="009F4679" w:rsidRPr="009F4679" w:rsidRDefault="009F4679" w:rsidP="00DC5E46">
            <w:pPr>
              <w:jc w:val="center"/>
              <w:rPr>
                <w:szCs w:val="24"/>
              </w:rPr>
            </w:pPr>
          </w:p>
        </w:tc>
      </w:tr>
    </w:tbl>
    <w:p w14:paraId="2D5EF7C2" w14:textId="08137E6A" w:rsidR="003F3C92" w:rsidRDefault="003F3C92" w:rsidP="003F3C92">
      <w:pPr>
        <w:spacing w:line="360" w:lineRule="auto"/>
        <w:rPr>
          <w:szCs w:val="24"/>
        </w:rPr>
      </w:pPr>
      <w:r w:rsidRPr="003F3C92">
        <w:rPr>
          <w:rFonts w:hint="eastAsia"/>
          <w:szCs w:val="24"/>
        </w:rPr>
        <w:t>来访人签字：</w:t>
      </w:r>
    </w:p>
    <w:p w14:paraId="697617F0" w14:textId="11D0888F" w:rsidR="003F3C92" w:rsidRPr="00DC5E46" w:rsidRDefault="003F3C92" w:rsidP="003F3C92">
      <w:pPr>
        <w:spacing w:line="360" w:lineRule="auto"/>
        <w:rPr>
          <w:sz w:val="28"/>
          <w:szCs w:val="28"/>
        </w:rPr>
      </w:pPr>
      <w:r>
        <w:rPr>
          <w:rFonts w:hint="eastAsia"/>
          <w:szCs w:val="24"/>
        </w:rPr>
        <w:t>董事会秘书</w:t>
      </w:r>
      <w:r>
        <w:rPr>
          <w:rFonts w:hint="eastAsia"/>
          <w:szCs w:val="24"/>
        </w:rPr>
        <w:t>/</w:t>
      </w:r>
      <w:r>
        <w:rPr>
          <w:rFonts w:hint="eastAsia"/>
          <w:szCs w:val="24"/>
        </w:rPr>
        <w:t>证券事务代表签字：</w:t>
      </w:r>
    </w:p>
    <w:sectPr w:rsidR="003F3C92" w:rsidRPr="00DC5E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5AF41" w14:textId="77777777" w:rsidR="00137F67" w:rsidRDefault="00137F67" w:rsidP="00E9000F">
      <w:r>
        <w:separator/>
      </w:r>
    </w:p>
  </w:endnote>
  <w:endnote w:type="continuationSeparator" w:id="0">
    <w:p w14:paraId="566F76D9" w14:textId="77777777" w:rsidR="00137F67" w:rsidRDefault="00137F67" w:rsidP="00E9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30B6E" w14:textId="77777777" w:rsidR="00137F67" w:rsidRDefault="00137F67" w:rsidP="00E9000F">
      <w:r>
        <w:separator/>
      </w:r>
    </w:p>
  </w:footnote>
  <w:footnote w:type="continuationSeparator" w:id="0">
    <w:p w14:paraId="3A47CBD1" w14:textId="77777777" w:rsidR="00137F67" w:rsidRDefault="00137F67" w:rsidP="00E90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E1DC2"/>
    <w:multiLevelType w:val="hybridMultilevel"/>
    <w:tmpl w:val="CDC49230"/>
    <w:lvl w:ilvl="0" w:tplc="E4EE17B4">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A5E2F4A"/>
    <w:multiLevelType w:val="hybridMultilevel"/>
    <w:tmpl w:val="46BAC740"/>
    <w:lvl w:ilvl="0" w:tplc="E99E071E">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69E4611"/>
    <w:multiLevelType w:val="hybridMultilevel"/>
    <w:tmpl w:val="B21C6074"/>
    <w:lvl w:ilvl="0" w:tplc="20604CC6">
      <w:start w:val="1"/>
      <w:numFmt w:val="decimal"/>
      <w:lvlText w:val="%1、"/>
      <w:lvlJc w:val="left"/>
      <w:pPr>
        <w:ind w:left="380" w:hanging="3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06477E4"/>
    <w:multiLevelType w:val="multilevel"/>
    <w:tmpl w:val="706477E4"/>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57305978">
    <w:abstractNumId w:val="2"/>
  </w:num>
  <w:num w:numId="2" w16cid:durableId="307327022">
    <w:abstractNumId w:val="0"/>
  </w:num>
  <w:num w:numId="3" w16cid:durableId="413167448">
    <w:abstractNumId w:val="3"/>
  </w:num>
  <w:num w:numId="4" w16cid:durableId="1946497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46"/>
    <w:rsid w:val="00000848"/>
    <w:rsid w:val="00007C30"/>
    <w:rsid w:val="00010D3D"/>
    <w:rsid w:val="000125DC"/>
    <w:rsid w:val="00012977"/>
    <w:rsid w:val="0002500F"/>
    <w:rsid w:val="0003265D"/>
    <w:rsid w:val="000330E5"/>
    <w:rsid w:val="0004085B"/>
    <w:rsid w:val="0004136E"/>
    <w:rsid w:val="000516F5"/>
    <w:rsid w:val="0005651D"/>
    <w:rsid w:val="00057334"/>
    <w:rsid w:val="000577D5"/>
    <w:rsid w:val="00057A96"/>
    <w:rsid w:val="00062B84"/>
    <w:rsid w:val="00066FC9"/>
    <w:rsid w:val="000751F9"/>
    <w:rsid w:val="000776D0"/>
    <w:rsid w:val="00080333"/>
    <w:rsid w:val="00081F7E"/>
    <w:rsid w:val="00087135"/>
    <w:rsid w:val="000A0716"/>
    <w:rsid w:val="000A0C4A"/>
    <w:rsid w:val="000A4C0F"/>
    <w:rsid w:val="000B574A"/>
    <w:rsid w:val="000B61FC"/>
    <w:rsid w:val="000B7009"/>
    <w:rsid w:val="000D2053"/>
    <w:rsid w:val="000D2872"/>
    <w:rsid w:val="000D3DB2"/>
    <w:rsid w:val="000D6505"/>
    <w:rsid w:val="000E1009"/>
    <w:rsid w:val="000E33F8"/>
    <w:rsid w:val="000E6D3F"/>
    <w:rsid w:val="000E78A3"/>
    <w:rsid w:val="00103282"/>
    <w:rsid w:val="001121E0"/>
    <w:rsid w:val="00116C91"/>
    <w:rsid w:val="00117A43"/>
    <w:rsid w:val="00124786"/>
    <w:rsid w:val="001273C2"/>
    <w:rsid w:val="00130B15"/>
    <w:rsid w:val="00137F67"/>
    <w:rsid w:val="00141B4C"/>
    <w:rsid w:val="00142D80"/>
    <w:rsid w:val="0014631A"/>
    <w:rsid w:val="00152766"/>
    <w:rsid w:val="001579BE"/>
    <w:rsid w:val="00157C2B"/>
    <w:rsid w:val="00166643"/>
    <w:rsid w:val="00171B17"/>
    <w:rsid w:val="0017514C"/>
    <w:rsid w:val="00192EBA"/>
    <w:rsid w:val="00195C46"/>
    <w:rsid w:val="001C1AE2"/>
    <w:rsid w:val="001C2F28"/>
    <w:rsid w:val="001C4D1F"/>
    <w:rsid w:val="001E7C47"/>
    <w:rsid w:val="001E7CD7"/>
    <w:rsid w:val="001F0F88"/>
    <w:rsid w:val="001F2BFB"/>
    <w:rsid w:val="001F47E9"/>
    <w:rsid w:val="0020500F"/>
    <w:rsid w:val="00206D70"/>
    <w:rsid w:val="00213863"/>
    <w:rsid w:val="0021598D"/>
    <w:rsid w:val="00227A6E"/>
    <w:rsid w:val="002329EC"/>
    <w:rsid w:val="00240A9F"/>
    <w:rsid w:val="002411D1"/>
    <w:rsid w:val="00255BA4"/>
    <w:rsid w:val="0027343E"/>
    <w:rsid w:val="00274A51"/>
    <w:rsid w:val="00281DD7"/>
    <w:rsid w:val="002A6DE8"/>
    <w:rsid w:val="002A6FF2"/>
    <w:rsid w:val="002B190F"/>
    <w:rsid w:val="002B7B92"/>
    <w:rsid w:val="002C1739"/>
    <w:rsid w:val="002C552B"/>
    <w:rsid w:val="002D5A9B"/>
    <w:rsid w:val="002D6FDD"/>
    <w:rsid w:val="002E16E3"/>
    <w:rsid w:val="002E2164"/>
    <w:rsid w:val="0030197D"/>
    <w:rsid w:val="00323A58"/>
    <w:rsid w:val="00325FC3"/>
    <w:rsid w:val="00326CC3"/>
    <w:rsid w:val="003319AA"/>
    <w:rsid w:val="00343C11"/>
    <w:rsid w:val="003530F9"/>
    <w:rsid w:val="0035497F"/>
    <w:rsid w:val="0035514C"/>
    <w:rsid w:val="00367DFB"/>
    <w:rsid w:val="003730BF"/>
    <w:rsid w:val="0037502E"/>
    <w:rsid w:val="003765BD"/>
    <w:rsid w:val="00376BB6"/>
    <w:rsid w:val="003839D8"/>
    <w:rsid w:val="00392BDB"/>
    <w:rsid w:val="00393CA8"/>
    <w:rsid w:val="003A3648"/>
    <w:rsid w:val="003A3A46"/>
    <w:rsid w:val="003A629A"/>
    <w:rsid w:val="003B0E7F"/>
    <w:rsid w:val="003B652A"/>
    <w:rsid w:val="003B7781"/>
    <w:rsid w:val="003C429D"/>
    <w:rsid w:val="003D7850"/>
    <w:rsid w:val="003E0E81"/>
    <w:rsid w:val="003E17E7"/>
    <w:rsid w:val="003E303D"/>
    <w:rsid w:val="003E7989"/>
    <w:rsid w:val="003F21E1"/>
    <w:rsid w:val="003F3C92"/>
    <w:rsid w:val="00405D03"/>
    <w:rsid w:val="0040658E"/>
    <w:rsid w:val="00407F12"/>
    <w:rsid w:val="00430193"/>
    <w:rsid w:val="00433BD7"/>
    <w:rsid w:val="004401F1"/>
    <w:rsid w:val="00440F61"/>
    <w:rsid w:val="0044134C"/>
    <w:rsid w:val="004414FC"/>
    <w:rsid w:val="00442FD1"/>
    <w:rsid w:val="00454692"/>
    <w:rsid w:val="00455863"/>
    <w:rsid w:val="00455BC8"/>
    <w:rsid w:val="0046044F"/>
    <w:rsid w:val="0046265B"/>
    <w:rsid w:val="00467089"/>
    <w:rsid w:val="00467905"/>
    <w:rsid w:val="00467F3B"/>
    <w:rsid w:val="004754E9"/>
    <w:rsid w:val="00495392"/>
    <w:rsid w:val="00497438"/>
    <w:rsid w:val="004A03F7"/>
    <w:rsid w:val="004A1F02"/>
    <w:rsid w:val="004A6A83"/>
    <w:rsid w:val="004A7CF8"/>
    <w:rsid w:val="004B24E3"/>
    <w:rsid w:val="004B3F17"/>
    <w:rsid w:val="004B41BA"/>
    <w:rsid w:val="004B4D50"/>
    <w:rsid w:val="004C024B"/>
    <w:rsid w:val="004C1833"/>
    <w:rsid w:val="004C4AB6"/>
    <w:rsid w:val="004C66D6"/>
    <w:rsid w:val="004D2782"/>
    <w:rsid w:val="004D5136"/>
    <w:rsid w:val="004E3F85"/>
    <w:rsid w:val="004E40CA"/>
    <w:rsid w:val="004F0058"/>
    <w:rsid w:val="004F5B21"/>
    <w:rsid w:val="004F615E"/>
    <w:rsid w:val="004F7604"/>
    <w:rsid w:val="00500EC0"/>
    <w:rsid w:val="005044AD"/>
    <w:rsid w:val="0050712B"/>
    <w:rsid w:val="00513BB5"/>
    <w:rsid w:val="00517E05"/>
    <w:rsid w:val="005205FA"/>
    <w:rsid w:val="0052257B"/>
    <w:rsid w:val="00526A67"/>
    <w:rsid w:val="00534AC4"/>
    <w:rsid w:val="00535E5D"/>
    <w:rsid w:val="005372C0"/>
    <w:rsid w:val="00555D2B"/>
    <w:rsid w:val="00556EA5"/>
    <w:rsid w:val="00560B83"/>
    <w:rsid w:val="00563F8E"/>
    <w:rsid w:val="00572692"/>
    <w:rsid w:val="00582F57"/>
    <w:rsid w:val="0058533A"/>
    <w:rsid w:val="0059353D"/>
    <w:rsid w:val="00595D73"/>
    <w:rsid w:val="005969B8"/>
    <w:rsid w:val="005974E8"/>
    <w:rsid w:val="005A4FEE"/>
    <w:rsid w:val="005B3736"/>
    <w:rsid w:val="005B69A9"/>
    <w:rsid w:val="005C1B95"/>
    <w:rsid w:val="005C261D"/>
    <w:rsid w:val="005C311F"/>
    <w:rsid w:val="005D0871"/>
    <w:rsid w:val="005D58AD"/>
    <w:rsid w:val="005D5E34"/>
    <w:rsid w:val="005D73A6"/>
    <w:rsid w:val="005E1795"/>
    <w:rsid w:val="005E1DBD"/>
    <w:rsid w:val="005F114B"/>
    <w:rsid w:val="005F2171"/>
    <w:rsid w:val="005F645C"/>
    <w:rsid w:val="00604E49"/>
    <w:rsid w:val="006066F2"/>
    <w:rsid w:val="00620D54"/>
    <w:rsid w:val="0062335B"/>
    <w:rsid w:val="006318DB"/>
    <w:rsid w:val="0063620F"/>
    <w:rsid w:val="00650727"/>
    <w:rsid w:val="006512E6"/>
    <w:rsid w:val="00651B6D"/>
    <w:rsid w:val="00651BD6"/>
    <w:rsid w:val="00665D57"/>
    <w:rsid w:val="006721DC"/>
    <w:rsid w:val="006767C6"/>
    <w:rsid w:val="006813B7"/>
    <w:rsid w:val="00683340"/>
    <w:rsid w:val="00690C11"/>
    <w:rsid w:val="006A04CA"/>
    <w:rsid w:val="006A1E63"/>
    <w:rsid w:val="006B3E10"/>
    <w:rsid w:val="006C4C5C"/>
    <w:rsid w:val="006C6371"/>
    <w:rsid w:val="006D0E44"/>
    <w:rsid w:val="006E0E79"/>
    <w:rsid w:val="006E6B86"/>
    <w:rsid w:val="006E7CBD"/>
    <w:rsid w:val="006F4772"/>
    <w:rsid w:val="00714452"/>
    <w:rsid w:val="00720291"/>
    <w:rsid w:val="00724463"/>
    <w:rsid w:val="007245DC"/>
    <w:rsid w:val="0072477A"/>
    <w:rsid w:val="007256BE"/>
    <w:rsid w:val="00732766"/>
    <w:rsid w:val="00744D68"/>
    <w:rsid w:val="00750661"/>
    <w:rsid w:val="0075465F"/>
    <w:rsid w:val="007576BD"/>
    <w:rsid w:val="00760751"/>
    <w:rsid w:val="00763C13"/>
    <w:rsid w:val="00767075"/>
    <w:rsid w:val="0077225B"/>
    <w:rsid w:val="00773E29"/>
    <w:rsid w:val="00775073"/>
    <w:rsid w:val="00781C71"/>
    <w:rsid w:val="00781D7E"/>
    <w:rsid w:val="00782E83"/>
    <w:rsid w:val="00783848"/>
    <w:rsid w:val="0078519A"/>
    <w:rsid w:val="0078706C"/>
    <w:rsid w:val="00797D9F"/>
    <w:rsid w:val="007A182B"/>
    <w:rsid w:val="007C3812"/>
    <w:rsid w:val="007C64FF"/>
    <w:rsid w:val="007D0568"/>
    <w:rsid w:val="007D37E3"/>
    <w:rsid w:val="007D65BE"/>
    <w:rsid w:val="007F74AD"/>
    <w:rsid w:val="0080663B"/>
    <w:rsid w:val="00807406"/>
    <w:rsid w:val="008115AF"/>
    <w:rsid w:val="00821152"/>
    <w:rsid w:val="0083205F"/>
    <w:rsid w:val="00844C55"/>
    <w:rsid w:val="008457D7"/>
    <w:rsid w:val="00850698"/>
    <w:rsid w:val="00850ACE"/>
    <w:rsid w:val="00861139"/>
    <w:rsid w:val="00880142"/>
    <w:rsid w:val="00880942"/>
    <w:rsid w:val="00891E85"/>
    <w:rsid w:val="008A2159"/>
    <w:rsid w:val="008A59A2"/>
    <w:rsid w:val="008A5FBD"/>
    <w:rsid w:val="008B3AFF"/>
    <w:rsid w:val="008B6CF8"/>
    <w:rsid w:val="008C74A6"/>
    <w:rsid w:val="008D1E3D"/>
    <w:rsid w:val="008D3E50"/>
    <w:rsid w:val="008D51C6"/>
    <w:rsid w:val="008E0942"/>
    <w:rsid w:val="008E0A6D"/>
    <w:rsid w:val="008E4255"/>
    <w:rsid w:val="008F4909"/>
    <w:rsid w:val="008F71AA"/>
    <w:rsid w:val="0091228B"/>
    <w:rsid w:val="0093066D"/>
    <w:rsid w:val="009313E5"/>
    <w:rsid w:val="00933174"/>
    <w:rsid w:val="009337A8"/>
    <w:rsid w:val="00936E53"/>
    <w:rsid w:val="00946621"/>
    <w:rsid w:val="00947602"/>
    <w:rsid w:val="009538BD"/>
    <w:rsid w:val="009539BE"/>
    <w:rsid w:val="009546C5"/>
    <w:rsid w:val="00955A96"/>
    <w:rsid w:val="00957A06"/>
    <w:rsid w:val="009613A7"/>
    <w:rsid w:val="009634B9"/>
    <w:rsid w:val="0097726D"/>
    <w:rsid w:val="0097778C"/>
    <w:rsid w:val="00991E69"/>
    <w:rsid w:val="00993A16"/>
    <w:rsid w:val="009A4711"/>
    <w:rsid w:val="009B2F73"/>
    <w:rsid w:val="009B2FA1"/>
    <w:rsid w:val="009B37C7"/>
    <w:rsid w:val="009B5FE7"/>
    <w:rsid w:val="009E1BA2"/>
    <w:rsid w:val="009E3226"/>
    <w:rsid w:val="009E4EB5"/>
    <w:rsid w:val="009F4679"/>
    <w:rsid w:val="009F5AF5"/>
    <w:rsid w:val="00A02C44"/>
    <w:rsid w:val="00A04715"/>
    <w:rsid w:val="00A056DE"/>
    <w:rsid w:val="00A16091"/>
    <w:rsid w:val="00A300B7"/>
    <w:rsid w:val="00A34F55"/>
    <w:rsid w:val="00A35780"/>
    <w:rsid w:val="00A35B06"/>
    <w:rsid w:val="00A3665D"/>
    <w:rsid w:val="00A40126"/>
    <w:rsid w:val="00A467B8"/>
    <w:rsid w:val="00A52680"/>
    <w:rsid w:val="00A64DA9"/>
    <w:rsid w:val="00A64DDE"/>
    <w:rsid w:val="00A66E78"/>
    <w:rsid w:val="00A70CF7"/>
    <w:rsid w:val="00A74D21"/>
    <w:rsid w:val="00A75C2B"/>
    <w:rsid w:val="00A77AAD"/>
    <w:rsid w:val="00A84A3C"/>
    <w:rsid w:val="00A84C98"/>
    <w:rsid w:val="00A8596D"/>
    <w:rsid w:val="00A908F2"/>
    <w:rsid w:val="00A93C18"/>
    <w:rsid w:val="00A961B3"/>
    <w:rsid w:val="00A978A0"/>
    <w:rsid w:val="00AA1067"/>
    <w:rsid w:val="00AA6229"/>
    <w:rsid w:val="00AB7C2E"/>
    <w:rsid w:val="00AC5D96"/>
    <w:rsid w:val="00AD7042"/>
    <w:rsid w:val="00AE04F4"/>
    <w:rsid w:val="00AE2FCC"/>
    <w:rsid w:val="00AE36D1"/>
    <w:rsid w:val="00AE48DC"/>
    <w:rsid w:val="00AE4AD6"/>
    <w:rsid w:val="00AE5B70"/>
    <w:rsid w:val="00AE7DC3"/>
    <w:rsid w:val="00AF1444"/>
    <w:rsid w:val="00B012B4"/>
    <w:rsid w:val="00B15185"/>
    <w:rsid w:val="00B15D8F"/>
    <w:rsid w:val="00B16084"/>
    <w:rsid w:val="00B22658"/>
    <w:rsid w:val="00B236C8"/>
    <w:rsid w:val="00B31C95"/>
    <w:rsid w:val="00B32901"/>
    <w:rsid w:val="00B336B5"/>
    <w:rsid w:val="00B435C2"/>
    <w:rsid w:val="00B53D28"/>
    <w:rsid w:val="00B679FA"/>
    <w:rsid w:val="00B71EE6"/>
    <w:rsid w:val="00B72E52"/>
    <w:rsid w:val="00B75D13"/>
    <w:rsid w:val="00B84E61"/>
    <w:rsid w:val="00B8785C"/>
    <w:rsid w:val="00B95212"/>
    <w:rsid w:val="00B976CD"/>
    <w:rsid w:val="00BA1FE1"/>
    <w:rsid w:val="00BA3E77"/>
    <w:rsid w:val="00BA54AB"/>
    <w:rsid w:val="00BA6897"/>
    <w:rsid w:val="00BB5EB8"/>
    <w:rsid w:val="00BC167A"/>
    <w:rsid w:val="00BD2BCB"/>
    <w:rsid w:val="00BE42E4"/>
    <w:rsid w:val="00BE5AA2"/>
    <w:rsid w:val="00BE7F88"/>
    <w:rsid w:val="00BF1AA7"/>
    <w:rsid w:val="00BF6229"/>
    <w:rsid w:val="00C070AF"/>
    <w:rsid w:val="00C112D8"/>
    <w:rsid w:val="00C148C4"/>
    <w:rsid w:val="00C16547"/>
    <w:rsid w:val="00C17D6B"/>
    <w:rsid w:val="00C23B13"/>
    <w:rsid w:val="00C25544"/>
    <w:rsid w:val="00C33DCE"/>
    <w:rsid w:val="00C376F7"/>
    <w:rsid w:val="00C37C2D"/>
    <w:rsid w:val="00C421E3"/>
    <w:rsid w:val="00C452C2"/>
    <w:rsid w:val="00C62A09"/>
    <w:rsid w:val="00C64A20"/>
    <w:rsid w:val="00C65E95"/>
    <w:rsid w:val="00C70078"/>
    <w:rsid w:val="00C72D16"/>
    <w:rsid w:val="00C754ED"/>
    <w:rsid w:val="00C770CA"/>
    <w:rsid w:val="00C97506"/>
    <w:rsid w:val="00CA2415"/>
    <w:rsid w:val="00CB0424"/>
    <w:rsid w:val="00CB2294"/>
    <w:rsid w:val="00CB3D8A"/>
    <w:rsid w:val="00CC2786"/>
    <w:rsid w:val="00CC2A10"/>
    <w:rsid w:val="00CC51EA"/>
    <w:rsid w:val="00CD0C0F"/>
    <w:rsid w:val="00CD50BD"/>
    <w:rsid w:val="00CD5824"/>
    <w:rsid w:val="00CD70EA"/>
    <w:rsid w:val="00CF28AA"/>
    <w:rsid w:val="00CF7656"/>
    <w:rsid w:val="00D01822"/>
    <w:rsid w:val="00D100A9"/>
    <w:rsid w:val="00D34CF5"/>
    <w:rsid w:val="00D354DE"/>
    <w:rsid w:val="00D36199"/>
    <w:rsid w:val="00D40764"/>
    <w:rsid w:val="00D431DB"/>
    <w:rsid w:val="00D44E58"/>
    <w:rsid w:val="00D61155"/>
    <w:rsid w:val="00D6368C"/>
    <w:rsid w:val="00D71B9D"/>
    <w:rsid w:val="00D75678"/>
    <w:rsid w:val="00D756EF"/>
    <w:rsid w:val="00D77875"/>
    <w:rsid w:val="00D81B7B"/>
    <w:rsid w:val="00D81FA6"/>
    <w:rsid w:val="00D8349F"/>
    <w:rsid w:val="00D83A4D"/>
    <w:rsid w:val="00D86E1D"/>
    <w:rsid w:val="00D9061F"/>
    <w:rsid w:val="00DA13F3"/>
    <w:rsid w:val="00DA188E"/>
    <w:rsid w:val="00DB3623"/>
    <w:rsid w:val="00DB3F2A"/>
    <w:rsid w:val="00DB6237"/>
    <w:rsid w:val="00DB740E"/>
    <w:rsid w:val="00DC0644"/>
    <w:rsid w:val="00DC5E46"/>
    <w:rsid w:val="00DE054E"/>
    <w:rsid w:val="00DE3347"/>
    <w:rsid w:val="00DE532A"/>
    <w:rsid w:val="00DE652A"/>
    <w:rsid w:val="00DE7A01"/>
    <w:rsid w:val="00DF2AC4"/>
    <w:rsid w:val="00E034F8"/>
    <w:rsid w:val="00E2650D"/>
    <w:rsid w:val="00E31E4C"/>
    <w:rsid w:val="00E40143"/>
    <w:rsid w:val="00E435FA"/>
    <w:rsid w:val="00E453C1"/>
    <w:rsid w:val="00E50C6F"/>
    <w:rsid w:val="00E53331"/>
    <w:rsid w:val="00E53CCC"/>
    <w:rsid w:val="00E5561F"/>
    <w:rsid w:val="00E66F9A"/>
    <w:rsid w:val="00E66FD1"/>
    <w:rsid w:val="00E7377C"/>
    <w:rsid w:val="00E7435E"/>
    <w:rsid w:val="00E8003B"/>
    <w:rsid w:val="00E80830"/>
    <w:rsid w:val="00E81D95"/>
    <w:rsid w:val="00E83B1D"/>
    <w:rsid w:val="00E878F6"/>
    <w:rsid w:val="00E9000F"/>
    <w:rsid w:val="00E965E0"/>
    <w:rsid w:val="00E96AFA"/>
    <w:rsid w:val="00EA6595"/>
    <w:rsid w:val="00EA7B8F"/>
    <w:rsid w:val="00EC418C"/>
    <w:rsid w:val="00EC6A31"/>
    <w:rsid w:val="00EE6AF7"/>
    <w:rsid w:val="00EF0B4C"/>
    <w:rsid w:val="00EF23CF"/>
    <w:rsid w:val="00EF265D"/>
    <w:rsid w:val="00F004B2"/>
    <w:rsid w:val="00F232CD"/>
    <w:rsid w:val="00F26317"/>
    <w:rsid w:val="00F33538"/>
    <w:rsid w:val="00F420F8"/>
    <w:rsid w:val="00F42FC0"/>
    <w:rsid w:val="00F431A2"/>
    <w:rsid w:val="00F437D9"/>
    <w:rsid w:val="00F43D35"/>
    <w:rsid w:val="00F4686C"/>
    <w:rsid w:val="00F5533A"/>
    <w:rsid w:val="00F565AE"/>
    <w:rsid w:val="00F90A0F"/>
    <w:rsid w:val="00F93EA7"/>
    <w:rsid w:val="00F96863"/>
    <w:rsid w:val="00FA1B55"/>
    <w:rsid w:val="00FA3B0E"/>
    <w:rsid w:val="00FB1303"/>
    <w:rsid w:val="00FD05A0"/>
    <w:rsid w:val="00FD4CD3"/>
    <w:rsid w:val="00FD54F2"/>
    <w:rsid w:val="00FE0F19"/>
    <w:rsid w:val="00FE3878"/>
    <w:rsid w:val="00FF5CCA"/>
    <w:rsid w:val="00FF7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91A5A0"/>
  <w15:chartTrackingRefBased/>
  <w15:docId w15:val="{2D4DDCC2-3C74-497F-B009-89C3471D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E46"/>
    <w:pPr>
      <w:widowControl w:val="0"/>
      <w:jc w:val="both"/>
    </w:pPr>
    <w:rPr>
      <w:rFonts w:ascii="Times New Roman" w:eastAsia="宋体" w:hAnsi="Times New Roman"/>
      <w:sz w:val="24"/>
    </w:rPr>
  </w:style>
  <w:style w:type="paragraph" w:styleId="8">
    <w:name w:val="heading 8"/>
    <w:basedOn w:val="a"/>
    <w:next w:val="a"/>
    <w:link w:val="80"/>
    <w:uiPriority w:val="9"/>
    <w:unhideWhenUsed/>
    <w:qFormat/>
    <w:rsid w:val="006D0E44"/>
    <w:pPr>
      <w:keepNext/>
      <w:keepLines/>
      <w:spacing w:before="240" w:after="64" w:line="320" w:lineRule="auto"/>
      <w:jc w:val="left"/>
      <w:outlineLvl w:val="7"/>
    </w:pPr>
    <w:rPr>
      <w:rFonts w:asciiTheme="majorHAnsi" w:eastAsiaTheme="majorEastAsia" w:hAnsiTheme="majorHAnsi" w:cstheme="majorBid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5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F4679"/>
    <w:rPr>
      <w:sz w:val="18"/>
      <w:szCs w:val="18"/>
    </w:rPr>
  </w:style>
  <w:style w:type="character" w:customStyle="1" w:styleId="a5">
    <w:name w:val="批注框文本 字符"/>
    <w:basedOn w:val="a0"/>
    <w:link w:val="a4"/>
    <w:uiPriority w:val="99"/>
    <w:semiHidden/>
    <w:rsid w:val="009F4679"/>
    <w:rPr>
      <w:rFonts w:ascii="Times New Roman" w:eastAsia="宋体" w:hAnsi="Times New Roman"/>
      <w:sz w:val="18"/>
      <w:szCs w:val="18"/>
    </w:rPr>
  </w:style>
  <w:style w:type="paragraph" w:styleId="a6">
    <w:name w:val="header"/>
    <w:basedOn w:val="a"/>
    <w:link w:val="a7"/>
    <w:uiPriority w:val="99"/>
    <w:unhideWhenUsed/>
    <w:rsid w:val="00E9000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9000F"/>
    <w:rPr>
      <w:rFonts w:ascii="Times New Roman" w:eastAsia="宋体" w:hAnsi="Times New Roman"/>
      <w:sz w:val="18"/>
      <w:szCs w:val="18"/>
    </w:rPr>
  </w:style>
  <w:style w:type="paragraph" w:styleId="a8">
    <w:name w:val="footer"/>
    <w:basedOn w:val="a"/>
    <w:link w:val="a9"/>
    <w:uiPriority w:val="99"/>
    <w:unhideWhenUsed/>
    <w:rsid w:val="00E9000F"/>
    <w:pPr>
      <w:tabs>
        <w:tab w:val="center" w:pos="4153"/>
        <w:tab w:val="right" w:pos="8306"/>
      </w:tabs>
      <w:snapToGrid w:val="0"/>
      <w:jc w:val="left"/>
    </w:pPr>
    <w:rPr>
      <w:sz w:val="18"/>
      <w:szCs w:val="18"/>
    </w:rPr>
  </w:style>
  <w:style w:type="character" w:customStyle="1" w:styleId="a9">
    <w:name w:val="页脚 字符"/>
    <w:basedOn w:val="a0"/>
    <w:link w:val="a8"/>
    <w:uiPriority w:val="99"/>
    <w:rsid w:val="00E9000F"/>
    <w:rPr>
      <w:rFonts w:ascii="Times New Roman" w:eastAsia="宋体" w:hAnsi="Times New Roman"/>
      <w:sz w:val="18"/>
      <w:szCs w:val="18"/>
    </w:rPr>
  </w:style>
  <w:style w:type="paragraph" w:styleId="aa">
    <w:name w:val="List Paragraph"/>
    <w:basedOn w:val="a"/>
    <w:uiPriority w:val="34"/>
    <w:qFormat/>
    <w:rsid w:val="00BA54AB"/>
    <w:pPr>
      <w:ind w:firstLineChars="200" w:firstLine="420"/>
    </w:pPr>
  </w:style>
  <w:style w:type="character" w:customStyle="1" w:styleId="80">
    <w:name w:val="标题 8 字符"/>
    <w:basedOn w:val="a0"/>
    <w:link w:val="8"/>
    <w:uiPriority w:val="9"/>
    <w:rsid w:val="006D0E44"/>
    <w:rPr>
      <w:rFonts w:asciiTheme="majorHAnsi" w:eastAsiaTheme="majorEastAsia" w:hAnsiTheme="majorHAnsi" w:cstheme="majorBidi"/>
      <w:kern w:val="0"/>
      <w:sz w:val="24"/>
      <w:szCs w:val="24"/>
    </w:rPr>
  </w:style>
  <w:style w:type="paragraph" w:styleId="ab">
    <w:name w:val="Revision"/>
    <w:hidden/>
    <w:uiPriority w:val="99"/>
    <w:semiHidden/>
    <w:rsid w:val="00D44E58"/>
    <w:rPr>
      <w:rFonts w:ascii="Times New Roman" w:eastAsia="宋体" w:hAnsi="Times New Roman"/>
      <w:sz w:val="24"/>
    </w:rPr>
  </w:style>
  <w:style w:type="character" w:styleId="ac">
    <w:name w:val="annotation reference"/>
    <w:basedOn w:val="a0"/>
    <w:uiPriority w:val="99"/>
    <w:semiHidden/>
    <w:unhideWhenUsed/>
    <w:rsid w:val="00343C11"/>
    <w:rPr>
      <w:sz w:val="21"/>
      <w:szCs w:val="21"/>
    </w:rPr>
  </w:style>
  <w:style w:type="paragraph" w:styleId="ad">
    <w:name w:val="annotation text"/>
    <w:basedOn w:val="a"/>
    <w:link w:val="ae"/>
    <w:uiPriority w:val="99"/>
    <w:unhideWhenUsed/>
    <w:rsid w:val="00343C11"/>
    <w:pPr>
      <w:jc w:val="left"/>
    </w:pPr>
  </w:style>
  <w:style w:type="character" w:customStyle="1" w:styleId="ae">
    <w:name w:val="批注文字 字符"/>
    <w:basedOn w:val="a0"/>
    <w:link w:val="ad"/>
    <w:uiPriority w:val="99"/>
    <w:rsid w:val="00343C11"/>
    <w:rPr>
      <w:rFonts w:ascii="Times New Roman" w:eastAsia="宋体" w:hAnsi="Times New Roman"/>
      <w:sz w:val="24"/>
    </w:rPr>
  </w:style>
  <w:style w:type="paragraph" w:styleId="af">
    <w:name w:val="annotation subject"/>
    <w:basedOn w:val="ad"/>
    <w:next w:val="ad"/>
    <w:link w:val="af0"/>
    <w:uiPriority w:val="99"/>
    <w:semiHidden/>
    <w:unhideWhenUsed/>
    <w:rsid w:val="00343C11"/>
    <w:rPr>
      <w:b/>
      <w:bCs/>
    </w:rPr>
  </w:style>
  <w:style w:type="character" w:customStyle="1" w:styleId="af0">
    <w:name w:val="批注主题 字符"/>
    <w:basedOn w:val="ae"/>
    <w:link w:val="af"/>
    <w:uiPriority w:val="99"/>
    <w:semiHidden/>
    <w:rsid w:val="00343C11"/>
    <w:rPr>
      <w:rFonts w:ascii="Times New Roman" w:eastAsia="宋体"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0365">
      <w:bodyDiv w:val="1"/>
      <w:marLeft w:val="0"/>
      <w:marRight w:val="0"/>
      <w:marTop w:val="0"/>
      <w:marBottom w:val="0"/>
      <w:divBdr>
        <w:top w:val="none" w:sz="0" w:space="0" w:color="auto"/>
        <w:left w:val="none" w:sz="0" w:space="0" w:color="auto"/>
        <w:bottom w:val="none" w:sz="0" w:space="0" w:color="auto"/>
        <w:right w:val="none" w:sz="0" w:space="0" w:color="auto"/>
      </w:divBdr>
    </w:div>
    <w:div w:id="25447311">
      <w:bodyDiv w:val="1"/>
      <w:marLeft w:val="0"/>
      <w:marRight w:val="0"/>
      <w:marTop w:val="0"/>
      <w:marBottom w:val="0"/>
      <w:divBdr>
        <w:top w:val="none" w:sz="0" w:space="0" w:color="auto"/>
        <w:left w:val="none" w:sz="0" w:space="0" w:color="auto"/>
        <w:bottom w:val="none" w:sz="0" w:space="0" w:color="auto"/>
        <w:right w:val="none" w:sz="0" w:space="0" w:color="auto"/>
      </w:divBdr>
    </w:div>
    <w:div w:id="65955996">
      <w:bodyDiv w:val="1"/>
      <w:marLeft w:val="0"/>
      <w:marRight w:val="0"/>
      <w:marTop w:val="0"/>
      <w:marBottom w:val="0"/>
      <w:divBdr>
        <w:top w:val="none" w:sz="0" w:space="0" w:color="auto"/>
        <w:left w:val="none" w:sz="0" w:space="0" w:color="auto"/>
        <w:bottom w:val="none" w:sz="0" w:space="0" w:color="auto"/>
        <w:right w:val="none" w:sz="0" w:space="0" w:color="auto"/>
      </w:divBdr>
    </w:div>
    <w:div w:id="110248256">
      <w:bodyDiv w:val="1"/>
      <w:marLeft w:val="0"/>
      <w:marRight w:val="0"/>
      <w:marTop w:val="0"/>
      <w:marBottom w:val="0"/>
      <w:divBdr>
        <w:top w:val="none" w:sz="0" w:space="0" w:color="auto"/>
        <w:left w:val="none" w:sz="0" w:space="0" w:color="auto"/>
        <w:bottom w:val="none" w:sz="0" w:space="0" w:color="auto"/>
        <w:right w:val="none" w:sz="0" w:space="0" w:color="auto"/>
      </w:divBdr>
    </w:div>
    <w:div w:id="240676639">
      <w:bodyDiv w:val="1"/>
      <w:marLeft w:val="0"/>
      <w:marRight w:val="0"/>
      <w:marTop w:val="0"/>
      <w:marBottom w:val="0"/>
      <w:divBdr>
        <w:top w:val="none" w:sz="0" w:space="0" w:color="auto"/>
        <w:left w:val="none" w:sz="0" w:space="0" w:color="auto"/>
        <w:bottom w:val="none" w:sz="0" w:space="0" w:color="auto"/>
        <w:right w:val="none" w:sz="0" w:space="0" w:color="auto"/>
      </w:divBdr>
    </w:div>
    <w:div w:id="246769951">
      <w:bodyDiv w:val="1"/>
      <w:marLeft w:val="0"/>
      <w:marRight w:val="0"/>
      <w:marTop w:val="0"/>
      <w:marBottom w:val="0"/>
      <w:divBdr>
        <w:top w:val="none" w:sz="0" w:space="0" w:color="auto"/>
        <w:left w:val="none" w:sz="0" w:space="0" w:color="auto"/>
        <w:bottom w:val="none" w:sz="0" w:space="0" w:color="auto"/>
        <w:right w:val="none" w:sz="0" w:space="0" w:color="auto"/>
      </w:divBdr>
    </w:div>
    <w:div w:id="271672292">
      <w:bodyDiv w:val="1"/>
      <w:marLeft w:val="0"/>
      <w:marRight w:val="0"/>
      <w:marTop w:val="0"/>
      <w:marBottom w:val="0"/>
      <w:divBdr>
        <w:top w:val="none" w:sz="0" w:space="0" w:color="auto"/>
        <w:left w:val="none" w:sz="0" w:space="0" w:color="auto"/>
        <w:bottom w:val="none" w:sz="0" w:space="0" w:color="auto"/>
        <w:right w:val="none" w:sz="0" w:space="0" w:color="auto"/>
      </w:divBdr>
    </w:div>
    <w:div w:id="282544423">
      <w:bodyDiv w:val="1"/>
      <w:marLeft w:val="0"/>
      <w:marRight w:val="0"/>
      <w:marTop w:val="0"/>
      <w:marBottom w:val="0"/>
      <w:divBdr>
        <w:top w:val="none" w:sz="0" w:space="0" w:color="auto"/>
        <w:left w:val="none" w:sz="0" w:space="0" w:color="auto"/>
        <w:bottom w:val="none" w:sz="0" w:space="0" w:color="auto"/>
        <w:right w:val="none" w:sz="0" w:space="0" w:color="auto"/>
      </w:divBdr>
    </w:div>
    <w:div w:id="397410907">
      <w:bodyDiv w:val="1"/>
      <w:marLeft w:val="0"/>
      <w:marRight w:val="0"/>
      <w:marTop w:val="0"/>
      <w:marBottom w:val="0"/>
      <w:divBdr>
        <w:top w:val="none" w:sz="0" w:space="0" w:color="auto"/>
        <w:left w:val="none" w:sz="0" w:space="0" w:color="auto"/>
        <w:bottom w:val="none" w:sz="0" w:space="0" w:color="auto"/>
        <w:right w:val="none" w:sz="0" w:space="0" w:color="auto"/>
      </w:divBdr>
    </w:div>
    <w:div w:id="408384120">
      <w:bodyDiv w:val="1"/>
      <w:marLeft w:val="0"/>
      <w:marRight w:val="0"/>
      <w:marTop w:val="0"/>
      <w:marBottom w:val="0"/>
      <w:divBdr>
        <w:top w:val="none" w:sz="0" w:space="0" w:color="auto"/>
        <w:left w:val="none" w:sz="0" w:space="0" w:color="auto"/>
        <w:bottom w:val="none" w:sz="0" w:space="0" w:color="auto"/>
        <w:right w:val="none" w:sz="0" w:space="0" w:color="auto"/>
      </w:divBdr>
    </w:div>
    <w:div w:id="466096155">
      <w:bodyDiv w:val="1"/>
      <w:marLeft w:val="0"/>
      <w:marRight w:val="0"/>
      <w:marTop w:val="0"/>
      <w:marBottom w:val="0"/>
      <w:divBdr>
        <w:top w:val="none" w:sz="0" w:space="0" w:color="auto"/>
        <w:left w:val="none" w:sz="0" w:space="0" w:color="auto"/>
        <w:bottom w:val="none" w:sz="0" w:space="0" w:color="auto"/>
        <w:right w:val="none" w:sz="0" w:space="0" w:color="auto"/>
      </w:divBdr>
    </w:div>
    <w:div w:id="515776007">
      <w:bodyDiv w:val="1"/>
      <w:marLeft w:val="0"/>
      <w:marRight w:val="0"/>
      <w:marTop w:val="0"/>
      <w:marBottom w:val="0"/>
      <w:divBdr>
        <w:top w:val="none" w:sz="0" w:space="0" w:color="auto"/>
        <w:left w:val="none" w:sz="0" w:space="0" w:color="auto"/>
        <w:bottom w:val="none" w:sz="0" w:space="0" w:color="auto"/>
        <w:right w:val="none" w:sz="0" w:space="0" w:color="auto"/>
      </w:divBdr>
    </w:div>
    <w:div w:id="516191941">
      <w:bodyDiv w:val="1"/>
      <w:marLeft w:val="0"/>
      <w:marRight w:val="0"/>
      <w:marTop w:val="0"/>
      <w:marBottom w:val="0"/>
      <w:divBdr>
        <w:top w:val="none" w:sz="0" w:space="0" w:color="auto"/>
        <w:left w:val="none" w:sz="0" w:space="0" w:color="auto"/>
        <w:bottom w:val="none" w:sz="0" w:space="0" w:color="auto"/>
        <w:right w:val="none" w:sz="0" w:space="0" w:color="auto"/>
      </w:divBdr>
    </w:div>
    <w:div w:id="529800370">
      <w:bodyDiv w:val="1"/>
      <w:marLeft w:val="0"/>
      <w:marRight w:val="0"/>
      <w:marTop w:val="0"/>
      <w:marBottom w:val="0"/>
      <w:divBdr>
        <w:top w:val="none" w:sz="0" w:space="0" w:color="auto"/>
        <w:left w:val="none" w:sz="0" w:space="0" w:color="auto"/>
        <w:bottom w:val="none" w:sz="0" w:space="0" w:color="auto"/>
        <w:right w:val="none" w:sz="0" w:space="0" w:color="auto"/>
      </w:divBdr>
    </w:div>
    <w:div w:id="537859519">
      <w:bodyDiv w:val="1"/>
      <w:marLeft w:val="0"/>
      <w:marRight w:val="0"/>
      <w:marTop w:val="0"/>
      <w:marBottom w:val="0"/>
      <w:divBdr>
        <w:top w:val="none" w:sz="0" w:space="0" w:color="auto"/>
        <w:left w:val="none" w:sz="0" w:space="0" w:color="auto"/>
        <w:bottom w:val="none" w:sz="0" w:space="0" w:color="auto"/>
        <w:right w:val="none" w:sz="0" w:space="0" w:color="auto"/>
      </w:divBdr>
    </w:div>
    <w:div w:id="547961529">
      <w:bodyDiv w:val="1"/>
      <w:marLeft w:val="0"/>
      <w:marRight w:val="0"/>
      <w:marTop w:val="0"/>
      <w:marBottom w:val="0"/>
      <w:divBdr>
        <w:top w:val="none" w:sz="0" w:space="0" w:color="auto"/>
        <w:left w:val="none" w:sz="0" w:space="0" w:color="auto"/>
        <w:bottom w:val="none" w:sz="0" w:space="0" w:color="auto"/>
        <w:right w:val="none" w:sz="0" w:space="0" w:color="auto"/>
      </w:divBdr>
    </w:div>
    <w:div w:id="589504560">
      <w:bodyDiv w:val="1"/>
      <w:marLeft w:val="0"/>
      <w:marRight w:val="0"/>
      <w:marTop w:val="0"/>
      <w:marBottom w:val="0"/>
      <w:divBdr>
        <w:top w:val="none" w:sz="0" w:space="0" w:color="auto"/>
        <w:left w:val="none" w:sz="0" w:space="0" w:color="auto"/>
        <w:bottom w:val="none" w:sz="0" w:space="0" w:color="auto"/>
        <w:right w:val="none" w:sz="0" w:space="0" w:color="auto"/>
      </w:divBdr>
    </w:div>
    <w:div w:id="592323174">
      <w:bodyDiv w:val="1"/>
      <w:marLeft w:val="0"/>
      <w:marRight w:val="0"/>
      <w:marTop w:val="0"/>
      <w:marBottom w:val="0"/>
      <w:divBdr>
        <w:top w:val="none" w:sz="0" w:space="0" w:color="auto"/>
        <w:left w:val="none" w:sz="0" w:space="0" w:color="auto"/>
        <w:bottom w:val="none" w:sz="0" w:space="0" w:color="auto"/>
        <w:right w:val="none" w:sz="0" w:space="0" w:color="auto"/>
      </w:divBdr>
    </w:div>
    <w:div w:id="615913802">
      <w:bodyDiv w:val="1"/>
      <w:marLeft w:val="0"/>
      <w:marRight w:val="0"/>
      <w:marTop w:val="0"/>
      <w:marBottom w:val="0"/>
      <w:divBdr>
        <w:top w:val="none" w:sz="0" w:space="0" w:color="auto"/>
        <w:left w:val="none" w:sz="0" w:space="0" w:color="auto"/>
        <w:bottom w:val="none" w:sz="0" w:space="0" w:color="auto"/>
        <w:right w:val="none" w:sz="0" w:space="0" w:color="auto"/>
      </w:divBdr>
    </w:div>
    <w:div w:id="637490948">
      <w:bodyDiv w:val="1"/>
      <w:marLeft w:val="0"/>
      <w:marRight w:val="0"/>
      <w:marTop w:val="0"/>
      <w:marBottom w:val="0"/>
      <w:divBdr>
        <w:top w:val="none" w:sz="0" w:space="0" w:color="auto"/>
        <w:left w:val="none" w:sz="0" w:space="0" w:color="auto"/>
        <w:bottom w:val="none" w:sz="0" w:space="0" w:color="auto"/>
        <w:right w:val="none" w:sz="0" w:space="0" w:color="auto"/>
      </w:divBdr>
    </w:div>
    <w:div w:id="753091080">
      <w:bodyDiv w:val="1"/>
      <w:marLeft w:val="0"/>
      <w:marRight w:val="0"/>
      <w:marTop w:val="0"/>
      <w:marBottom w:val="0"/>
      <w:divBdr>
        <w:top w:val="none" w:sz="0" w:space="0" w:color="auto"/>
        <w:left w:val="none" w:sz="0" w:space="0" w:color="auto"/>
        <w:bottom w:val="none" w:sz="0" w:space="0" w:color="auto"/>
        <w:right w:val="none" w:sz="0" w:space="0" w:color="auto"/>
      </w:divBdr>
    </w:div>
    <w:div w:id="784688899">
      <w:bodyDiv w:val="1"/>
      <w:marLeft w:val="0"/>
      <w:marRight w:val="0"/>
      <w:marTop w:val="0"/>
      <w:marBottom w:val="0"/>
      <w:divBdr>
        <w:top w:val="none" w:sz="0" w:space="0" w:color="auto"/>
        <w:left w:val="none" w:sz="0" w:space="0" w:color="auto"/>
        <w:bottom w:val="none" w:sz="0" w:space="0" w:color="auto"/>
        <w:right w:val="none" w:sz="0" w:space="0" w:color="auto"/>
      </w:divBdr>
    </w:div>
    <w:div w:id="886113704">
      <w:bodyDiv w:val="1"/>
      <w:marLeft w:val="0"/>
      <w:marRight w:val="0"/>
      <w:marTop w:val="0"/>
      <w:marBottom w:val="0"/>
      <w:divBdr>
        <w:top w:val="none" w:sz="0" w:space="0" w:color="auto"/>
        <w:left w:val="none" w:sz="0" w:space="0" w:color="auto"/>
        <w:bottom w:val="none" w:sz="0" w:space="0" w:color="auto"/>
        <w:right w:val="none" w:sz="0" w:space="0" w:color="auto"/>
      </w:divBdr>
    </w:div>
    <w:div w:id="886576005">
      <w:bodyDiv w:val="1"/>
      <w:marLeft w:val="0"/>
      <w:marRight w:val="0"/>
      <w:marTop w:val="0"/>
      <w:marBottom w:val="0"/>
      <w:divBdr>
        <w:top w:val="none" w:sz="0" w:space="0" w:color="auto"/>
        <w:left w:val="none" w:sz="0" w:space="0" w:color="auto"/>
        <w:bottom w:val="none" w:sz="0" w:space="0" w:color="auto"/>
        <w:right w:val="none" w:sz="0" w:space="0" w:color="auto"/>
      </w:divBdr>
    </w:div>
    <w:div w:id="897277231">
      <w:bodyDiv w:val="1"/>
      <w:marLeft w:val="0"/>
      <w:marRight w:val="0"/>
      <w:marTop w:val="0"/>
      <w:marBottom w:val="0"/>
      <w:divBdr>
        <w:top w:val="none" w:sz="0" w:space="0" w:color="auto"/>
        <w:left w:val="none" w:sz="0" w:space="0" w:color="auto"/>
        <w:bottom w:val="none" w:sz="0" w:space="0" w:color="auto"/>
        <w:right w:val="none" w:sz="0" w:space="0" w:color="auto"/>
      </w:divBdr>
    </w:div>
    <w:div w:id="923996381">
      <w:bodyDiv w:val="1"/>
      <w:marLeft w:val="0"/>
      <w:marRight w:val="0"/>
      <w:marTop w:val="0"/>
      <w:marBottom w:val="0"/>
      <w:divBdr>
        <w:top w:val="none" w:sz="0" w:space="0" w:color="auto"/>
        <w:left w:val="none" w:sz="0" w:space="0" w:color="auto"/>
        <w:bottom w:val="none" w:sz="0" w:space="0" w:color="auto"/>
        <w:right w:val="none" w:sz="0" w:space="0" w:color="auto"/>
      </w:divBdr>
    </w:div>
    <w:div w:id="997004675">
      <w:bodyDiv w:val="1"/>
      <w:marLeft w:val="0"/>
      <w:marRight w:val="0"/>
      <w:marTop w:val="0"/>
      <w:marBottom w:val="0"/>
      <w:divBdr>
        <w:top w:val="none" w:sz="0" w:space="0" w:color="auto"/>
        <w:left w:val="none" w:sz="0" w:space="0" w:color="auto"/>
        <w:bottom w:val="none" w:sz="0" w:space="0" w:color="auto"/>
        <w:right w:val="none" w:sz="0" w:space="0" w:color="auto"/>
      </w:divBdr>
    </w:div>
    <w:div w:id="1055809646">
      <w:bodyDiv w:val="1"/>
      <w:marLeft w:val="0"/>
      <w:marRight w:val="0"/>
      <w:marTop w:val="0"/>
      <w:marBottom w:val="0"/>
      <w:divBdr>
        <w:top w:val="none" w:sz="0" w:space="0" w:color="auto"/>
        <w:left w:val="none" w:sz="0" w:space="0" w:color="auto"/>
        <w:bottom w:val="none" w:sz="0" w:space="0" w:color="auto"/>
        <w:right w:val="none" w:sz="0" w:space="0" w:color="auto"/>
      </w:divBdr>
    </w:div>
    <w:div w:id="1107776300">
      <w:bodyDiv w:val="1"/>
      <w:marLeft w:val="0"/>
      <w:marRight w:val="0"/>
      <w:marTop w:val="0"/>
      <w:marBottom w:val="0"/>
      <w:divBdr>
        <w:top w:val="none" w:sz="0" w:space="0" w:color="auto"/>
        <w:left w:val="none" w:sz="0" w:space="0" w:color="auto"/>
        <w:bottom w:val="none" w:sz="0" w:space="0" w:color="auto"/>
        <w:right w:val="none" w:sz="0" w:space="0" w:color="auto"/>
      </w:divBdr>
    </w:div>
    <w:div w:id="1160734413">
      <w:bodyDiv w:val="1"/>
      <w:marLeft w:val="0"/>
      <w:marRight w:val="0"/>
      <w:marTop w:val="0"/>
      <w:marBottom w:val="0"/>
      <w:divBdr>
        <w:top w:val="none" w:sz="0" w:space="0" w:color="auto"/>
        <w:left w:val="none" w:sz="0" w:space="0" w:color="auto"/>
        <w:bottom w:val="none" w:sz="0" w:space="0" w:color="auto"/>
        <w:right w:val="none" w:sz="0" w:space="0" w:color="auto"/>
      </w:divBdr>
    </w:div>
    <w:div w:id="1177767391">
      <w:bodyDiv w:val="1"/>
      <w:marLeft w:val="0"/>
      <w:marRight w:val="0"/>
      <w:marTop w:val="0"/>
      <w:marBottom w:val="0"/>
      <w:divBdr>
        <w:top w:val="none" w:sz="0" w:space="0" w:color="auto"/>
        <w:left w:val="none" w:sz="0" w:space="0" w:color="auto"/>
        <w:bottom w:val="none" w:sz="0" w:space="0" w:color="auto"/>
        <w:right w:val="none" w:sz="0" w:space="0" w:color="auto"/>
      </w:divBdr>
    </w:div>
    <w:div w:id="1423719550">
      <w:bodyDiv w:val="1"/>
      <w:marLeft w:val="0"/>
      <w:marRight w:val="0"/>
      <w:marTop w:val="0"/>
      <w:marBottom w:val="0"/>
      <w:divBdr>
        <w:top w:val="none" w:sz="0" w:space="0" w:color="auto"/>
        <w:left w:val="none" w:sz="0" w:space="0" w:color="auto"/>
        <w:bottom w:val="none" w:sz="0" w:space="0" w:color="auto"/>
        <w:right w:val="none" w:sz="0" w:space="0" w:color="auto"/>
      </w:divBdr>
    </w:div>
    <w:div w:id="1523977242">
      <w:bodyDiv w:val="1"/>
      <w:marLeft w:val="0"/>
      <w:marRight w:val="0"/>
      <w:marTop w:val="0"/>
      <w:marBottom w:val="0"/>
      <w:divBdr>
        <w:top w:val="none" w:sz="0" w:space="0" w:color="auto"/>
        <w:left w:val="none" w:sz="0" w:space="0" w:color="auto"/>
        <w:bottom w:val="none" w:sz="0" w:space="0" w:color="auto"/>
        <w:right w:val="none" w:sz="0" w:space="0" w:color="auto"/>
      </w:divBdr>
    </w:div>
    <w:div w:id="1570535040">
      <w:bodyDiv w:val="1"/>
      <w:marLeft w:val="0"/>
      <w:marRight w:val="0"/>
      <w:marTop w:val="0"/>
      <w:marBottom w:val="0"/>
      <w:divBdr>
        <w:top w:val="none" w:sz="0" w:space="0" w:color="auto"/>
        <w:left w:val="none" w:sz="0" w:space="0" w:color="auto"/>
        <w:bottom w:val="none" w:sz="0" w:space="0" w:color="auto"/>
        <w:right w:val="none" w:sz="0" w:space="0" w:color="auto"/>
      </w:divBdr>
    </w:div>
    <w:div w:id="1592927634">
      <w:bodyDiv w:val="1"/>
      <w:marLeft w:val="0"/>
      <w:marRight w:val="0"/>
      <w:marTop w:val="0"/>
      <w:marBottom w:val="0"/>
      <w:divBdr>
        <w:top w:val="none" w:sz="0" w:space="0" w:color="auto"/>
        <w:left w:val="none" w:sz="0" w:space="0" w:color="auto"/>
        <w:bottom w:val="none" w:sz="0" w:space="0" w:color="auto"/>
        <w:right w:val="none" w:sz="0" w:space="0" w:color="auto"/>
      </w:divBdr>
    </w:div>
    <w:div w:id="1677265094">
      <w:bodyDiv w:val="1"/>
      <w:marLeft w:val="0"/>
      <w:marRight w:val="0"/>
      <w:marTop w:val="0"/>
      <w:marBottom w:val="0"/>
      <w:divBdr>
        <w:top w:val="none" w:sz="0" w:space="0" w:color="auto"/>
        <w:left w:val="none" w:sz="0" w:space="0" w:color="auto"/>
        <w:bottom w:val="none" w:sz="0" w:space="0" w:color="auto"/>
        <w:right w:val="none" w:sz="0" w:space="0" w:color="auto"/>
      </w:divBdr>
    </w:div>
    <w:div w:id="1901551615">
      <w:bodyDiv w:val="1"/>
      <w:marLeft w:val="0"/>
      <w:marRight w:val="0"/>
      <w:marTop w:val="0"/>
      <w:marBottom w:val="0"/>
      <w:divBdr>
        <w:top w:val="none" w:sz="0" w:space="0" w:color="auto"/>
        <w:left w:val="none" w:sz="0" w:space="0" w:color="auto"/>
        <w:bottom w:val="none" w:sz="0" w:space="0" w:color="auto"/>
        <w:right w:val="none" w:sz="0" w:space="0" w:color="auto"/>
      </w:divBdr>
    </w:div>
    <w:div w:id="1922836399">
      <w:bodyDiv w:val="1"/>
      <w:marLeft w:val="0"/>
      <w:marRight w:val="0"/>
      <w:marTop w:val="0"/>
      <w:marBottom w:val="0"/>
      <w:divBdr>
        <w:top w:val="none" w:sz="0" w:space="0" w:color="auto"/>
        <w:left w:val="none" w:sz="0" w:space="0" w:color="auto"/>
        <w:bottom w:val="none" w:sz="0" w:space="0" w:color="auto"/>
        <w:right w:val="none" w:sz="0" w:space="0" w:color="auto"/>
      </w:divBdr>
    </w:div>
    <w:div w:id="199722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2124</Words>
  <Characters>3676</Characters>
  <Application>Microsoft Office Word</Application>
  <DocSecurity>0</DocSecurity>
  <Lines>408</Lines>
  <Paragraphs>483</Paragraphs>
  <ScaleCrop>false</ScaleCrop>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荣大-李雷</dc:creator>
  <cp:keywords/>
  <dc:description/>
  <cp:lastModifiedBy>WANGGUANYI</cp:lastModifiedBy>
  <cp:revision>8</cp:revision>
  <dcterms:created xsi:type="dcterms:W3CDTF">2026-04-29T08:20:00Z</dcterms:created>
  <dcterms:modified xsi:type="dcterms:W3CDTF">2026-04-29T08:39:00Z</dcterms:modified>
</cp:coreProperties>
</file>