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5CA01" w14:textId="77777777" w:rsidR="00AF5396" w:rsidRDefault="00E90469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600032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浙江新能</w:t>
      </w:r>
    </w:p>
    <w:p w14:paraId="0CD36A00" w14:textId="77777777" w:rsidR="00AF5396" w:rsidRDefault="00E9046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浙江省新能源投资集团股份有限公司</w:t>
      </w:r>
    </w:p>
    <w:p w14:paraId="2596291D" w14:textId="77777777" w:rsidR="00AF5396" w:rsidRDefault="00E9046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0CB41056" w14:textId="77777777" w:rsidR="00AF5396" w:rsidRDefault="00AF5396">
      <w:pPr>
        <w:jc w:val="center"/>
        <w:rPr>
          <w:rFonts w:ascii="黑体" w:eastAsia="黑体" w:hAnsi="黑体"/>
          <w:sz w:val="24"/>
          <w:szCs w:val="24"/>
        </w:rPr>
      </w:pPr>
    </w:p>
    <w:p w14:paraId="72E35BB3" w14:textId="77777777" w:rsidR="00AF5396" w:rsidRDefault="00E90469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</w:rPr>
        <w:t>202</w:t>
      </w:r>
      <w:r>
        <w:rPr>
          <w:rFonts w:ascii="宋体" w:hAnsi="宋体"/>
          <w:bCs/>
          <w:iCs/>
          <w:color w:val="000000"/>
          <w:sz w:val="24"/>
        </w:rPr>
        <w:t>6</w:t>
      </w:r>
      <w:r>
        <w:rPr>
          <w:rFonts w:ascii="宋体" w:hAnsi="宋体" w:hint="eastAsia"/>
          <w:bCs/>
          <w:iCs/>
          <w:color w:val="000000"/>
          <w:sz w:val="24"/>
        </w:rPr>
        <w:t>-00</w:t>
      </w:r>
      <w:r>
        <w:rPr>
          <w:rFonts w:ascii="宋体" w:hAnsi="宋体"/>
          <w:bCs/>
          <w:iCs/>
          <w:color w:val="000000"/>
          <w:sz w:val="24"/>
        </w:rPr>
        <w:t>1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AF5396" w14:paraId="21B6CF43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1741E588" w14:textId="77777777" w:rsidR="00AF5396" w:rsidRDefault="00E904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</w:tcPr>
          <w:p w14:paraId="66FB68E6" w14:textId="77777777" w:rsidR="00AF5396" w:rsidRDefault="00E9046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特定对象调研</w:t>
            </w: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55F421C9" w14:textId="77777777" w:rsidR="00AF5396" w:rsidRDefault="00E9046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媒体采访</w:t>
            </w:r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11C0FAE2" w14:textId="77777777" w:rsidR="00AF5396" w:rsidRDefault="00E9046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新闻发布会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560F3D7D" w14:textId="77777777" w:rsidR="00AF5396" w:rsidRDefault="00E9046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现场参观</w:t>
            </w:r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其他（电话调研）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</w:tr>
      <w:tr w:rsidR="00AF5396" w14:paraId="75B3330F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6C42F554" w14:textId="77777777" w:rsidR="00AF5396" w:rsidRDefault="00E9046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参与人员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5FCA79E5" w14:textId="77777777" w:rsidR="00AF5396" w:rsidRDefault="00E90469">
            <w:pPr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bCs/>
                <w:iCs/>
                <w:sz w:val="24"/>
              </w:rPr>
              <w:t>参与</w:t>
            </w:r>
            <w:r>
              <w:rPr>
                <w:rFonts w:hint="eastAsia"/>
                <w:bCs/>
                <w:iCs/>
                <w:sz w:val="24"/>
              </w:rPr>
              <w:t>“在浙里</w:t>
            </w:r>
            <w:r>
              <w:rPr>
                <w:rFonts w:hint="eastAsia"/>
                <w:bCs/>
                <w:iCs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sz w:val="24"/>
              </w:rPr>
              <w:t>看国企”浙江国有控股上市公司集体业绩说明会</w:t>
            </w:r>
            <w:r>
              <w:rPr>
                <w:bCs/>
                <w:iCs/>
                <w:sz w:val="24"/>
              </w:rPr>
              <w:t>的投资者</w:t>
            </w:r>
          </w:p>
        </w:tc>
      </w:tr>
      <w:tr w:rsidR="00AF5396" w14:paraId="6BEBBF5F" w14:textId="77777777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14:paraId="75B059B5" w14:textId="77777777" w:rsidR="00AF5396" w:rsidRDefault="00E904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096E6A2C" w14:textId="77777777" w:rsidR="00AF5396" w:rsidRDefault="00E9046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29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14:30-17:15</w:t>
            </w:r>
          </w:p>
        </w:tc>
      </w:tr>
      <w:tr w:rsidR="00AF5396" w14:paraId="13B03072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4E1991DA" w14:textId="77777777" w:rsidR="00AF5396" w:rsidRDefault="00E904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14:paraId="45FD393A" w14:textId="77777777" w:rsidR="00AF5396" w:rsidRDefault="00E9046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全景网“投资者关系互动平台”（</w:t>
            </w:r>
            <w:r>
              <w:rPr>
                <w:rFonts w:ascii="宋体" w:hAnsi="宋体" w:hint="eastAsia"/>
                <w:bCs/>
                <w:sz w:val="24"/>
              </w:rPr>
              <w:t>http://ir.p5w.net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  <w:p w14:paraId="1E894887" w14:textId="77777777" w:rsidR="00AF5396" w:rsidRDefault="00E90469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视频直播</w:t>
            </w:r>
          </w:p>
        </w:tc>
      </w:tr>
      <w:tr w:rsidR="00AF5396" w14:paraId="337600AD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693F513D" w14:textId="77777777" w:rsidR="00AF5396" w:rsidRDefault="00E904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D1C8A78" w14:textId="77777777" w:rsidR="00AF5396" w:rsidRDefault="00E9046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董事长：张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坚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群</w:t>
            </w:r>
          </w:p>
          <w:p w14:paraId="0AF8FA5C" w14:textId="77777777" w:rsidR="00AF5396" w:rsidRDefault="00E9046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副总经理、董事会秘书：张利</w:t>
            </w:r>
          </w:p>
          <w:p w14:paraId="0CA949F5" w14:textId="77777777" w:rsidR="00AF5396" w:rsidRDefault="00E9046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财务负责人：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夏善辉</w:t>
            </w:r>
            <w:proofErr w:type="gramEnd"/>
          </w:p>
          <w:p w14:paraId="5586E7C3" w14:textId="77777777" w:rsidR="00AF5396" w:rsidRDefault="00E9046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独立董事：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叶肖剑</w:t>
            </w:r>
            <w:proofErr w:type="gramEnd"/>
          </w:p>
        </w:tc>
      </w:tr>
      <w:tr w:rsidR="00AF5396" w14:paraId="6E5E56FD" w14:textId="77777777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5104C8B6" w14:textId="77777777" w:rsidR="00AF5396" w:rsidRDefault="00E904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14:paraId="3F94BC1E" w14:textId="77777777" w:rsidR="00AF5396" w:rsidRDefault="00E90469">
            <w:pPr>
              <w:spacing w:beforeLines="50" w:before="156"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10F1C628" w14:textId="77777777" w:rsidR="00AF5396" w:rsidRDefault="00E90469">
            <w:pPr>
              <w:spacing w:line="56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  <w:r>
              <w:rPr>
                <w:rFonts w:ascii="宋体" w:hint="eastAsia"/>
                <w:b/>
                <w:sz w:val="24"/>
              </w:rPr>
              <w:t>、针对目前行业和市场环境的情况，公司如何优化存量资产、控制增量风险，以实现整体业务的可持续发展？</w:t>
            </w:r>
          </w:p>
          <w:p w14:paraId="04EAD0CF" w14:textId="77777777" w:rsidR="00AF5396" w:rsidRDefault="00E9046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答</w:t>
            </w:r>
            <w:r>
              <w:rPr>
                <w:rFonts w:ascii="宋体" w:hint="eastAsia"/>
                <w:sz w:val="24"/>
              </w:rPr>
              <w:t>:</w:t>
            </w:r>
            <w:r>
              <w:rPr>
                <w:rFonts w:ascii="宋体" w:hint="eastAsia"/>
                <w:sz w:val="24"/>
              </w:rPr>
              <w:t>当前行业已告别过去盲目铺规模的阶段，转向以“价值运营”为核心的发展模式。为此，公司主要从存量和增量两端同时发力。</w:t>
            </w:r>
          </w:p>
          <w:p w14:paraId="3F593CC3" w14:textId="77777777" w:rsidR="00AF5396" w:rsidRDefault="00E9046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存量资产方面，核心是深挖现有资产价值，重点围绕运营降本和交易增收两条主线推进。运营端，公司持续推进集约化、专业化、市场化管控，强化区域资源整合，提升自主运维团队能力，同时严管外包运维质量，强化区域成本对标与资源共享，减少重复投</w:t>
            </w:r>
            <w:r>
              <w:rPr>
                <w:rFonts w:ascii="宋体" w:hint="eastAsia"/>
                <w:sz w:val="24"/>
              </w:rPr>
              <w:lastRenderedPageBreak/>
              <w:t>入。考虑到电站运营周期通常长达二三十年，公司常态</w:t>
            </w:r>
            <w:proofErr w:type="gramStart"/>
            <w:r>
              <w:rPr>
                <w:rFonts w:ascii="宋体" w:hint="eastAsia"/>
                <w:sz w:val="24"/>
              </w:rPr>
              <w:t>化抓好</w:t>
            </w:r>
            <w:proofErr w:type="gramEnd"/>
            <w:r>
              <w:rPr>
                <w:rFonts w:ascii="宋体" w:hint="eastAsia"/>
                <w:sz w:val="24"/>
              </w:rPr>
              <w:t>设备健康与安全管理，从设备源头夯实发电效益基础。交易端，随着电力现货市场全面推开，交易能力直接影响项目收益。公司持续建</w:t>
            </w:r>
            <w:proofErr w:type="gramStart"/>
            <w:r>
              <w:rPr>
                <w:rFonts w:ascii="宋体" w:hint="eastAsia"/>
                <w:sz w:val="24"/>
              </w:rPr>
              <w:t>强交易</w:t>
            </w:r>
            <w:proofErr w:type="gramEnd"/>
            <w:r>
              <w:rPr>
                <w:rFonts w:ascii="宋体" w:hint="eastAsia"/>
                <w:sz w:val="24"/>
              </w:rPr>
              <w:t>专业团队，一方面常态</w:t>
            </w:r>
            <w:proofErr w:type="gramStart"/>
            <w:r>
              <w:rPr>
                <w:rFonts w:ascii="宋体" w:hint="eastAsia"/>
                <w:sz w:val="24"/>
              </w:rPr>
              <w:t>化开</w:t>
            </w:r>
            <w:proofErr w:type="gramEnd"/>
            <w:r>
              <w:rPr>
                <w:rFonts w:ascii="宋体" w:hint="eastAsia"/>
                <w:sz w:val="24"/>
              </w:rPr>
              <w:t>展跨省跨区交易，加强策略分析和交易计划精准申报，实施差异化、动态调整的交易策略，做</w:t>
            </w:r>
            <w:r>
              <w:rPr>
                <w:rFonts w:ascii="宋体" w:hint="eastAsia"/>
                <w:sz w:val="24"/>
              </w:rPr>
              <w:t>到“卖出好价、持续盈利”；另一方面通过多元化方式增收，丰富交易品种，探索绿电、绿证和</w:t>
            </w:r>
            <w:r>
              <w:rPr>
                <w:rFonts w:ascii="宋体" w:hint="eastAsia"/>
                <w:sz w:val="24"/>
              </w:rPr>
              <w:t>CCER</w:t>
            </w:r>
            <w:r>
              <w:rPr>
                <w:rFonts w:ascii="宋体" w:hint="eastAsia"/>
                <w:sz w:val="24"/>
              </w:rPr>
              <w:t>综合交易市场化机制，推动公司从单一发电收入向综合服务收益转型。</w:t>
            </w:r>
          </w:p>
          <w:p w14:paraId="033FF14A" w14:textId="77777777" w:rsidR="00AF5396" w:rsidRDefault="00E9046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在增量项目方面，公司坚持效益优先、严控风险。一是前期投资决策严控风险，构建涵盖市场电价、辅助服务收益、</w:t>
            </w:r>
            <w:proofErr w:type="gramStart"/>
            <w:r>
              <w:rPr>
                <w:rFonts w:ascii="宋体" w:hint="eastAsia"/>
                <w:sz w:val="24"/>
              </w:rPr>
              <w:t>绿电绿证环境</w:t>
            </w:r>
            <w:proofErr w:type="gramEnd"/>
            <w:r>
              <w:rPr>
                <w:rFonts w:ascii="宋体" w:hint="eastAsia"/>
                <w:sz w:val="24"/>
              </w:rPr>
              <w:t>权益在内的综合收益模型，优先选择消纳有保障的优质项目，从源头</w:t>
            </w:r>
            <w:proofErr w:type="gramStart"/>
            <w:r>
              <w:rPr>
                <w:rFonts w:ascii="宋体" w:hint="eastAsia"/>
                <w:sz w:val="24"/>
              </w:rPr>
              <w:t>上控</w:t>
            </w:r>
            <w:proofErr w:type="gramEnd"/>
            <w:r>
              <w:rPr>
                <w:rFonts w:ascii="宋体" w:hint="eastAsia"/>
                <w:sz w:val="24"/>
              </w:rPr>
              <w:t>住风险。二是在项目建设环节通过平行发包、自主建设等模式严控成本，结合工程设计优化和全流程精细管理，使项目在全周期内具备更强的抗风险能力。三是强化综合价值创造，积极参与特高压通道大</w:t>
            </w:r>
            <w:r>
              <w:rPr>
                <w:rFonts w:ascii="宋体" w:hint="eastAsia"/>
                <w:sz w:val="24"/>
              </w:rPr>
              <w:t>基地配套项目、布局新型储能，通过风光</w:t>
            </w:r>
            <w:proofErr w:type="gramStart"/>
            <w:r>
              <w:rPr>
                <w:rFonts w:ascii="宋体" w:hint="eastAsia"/>
                <w:sz w:val="24"/>
              </w:rPr>
              <w:t>水火储多能</w:t>
            </w:r>
            <w:proofErr w:type="gramEnd"/>
            <w:r>
              <w:rPr>
                <w:rFonts w:ascii="宋体" w:hint="eastAsia"/>
                <w:sz w:val="24"/>
              </w:rPr>
              <w:t>互补一体化开发，提升项目经济性与稳定性；面向“十五五”，公司将对接高端制造业、数据中心等高载能用户，试点打造具有示范效应的创新业务，积极培育新的产业增长点。</w:t>
            </w:r>
          </w:p>
          <w:p w14:paraId="76D94D61" w14:textId="77777777" w:rsidR="00AF5396" w:rsidRDefault="00E90469">
            <w:pPr>
              <w:spacing w:line="560" w:lineRule="exact"/>
              <w:rPr>
                <w:b/>
              </w:rPr>
            </w:pPr>
            <w:r>
              <w:rPr>
                <w:rFonts w:ascii="宋体"/>
                <w:b/>
                <w:sz w:val="24"/>
              </w:rPr>
              <w:t>2</w:t>
            </w:r>
            <w:r>
              <w:rPr>
                <w:rFonts w:ascii="宋体"/>
                <w:b/>
                <w:sz w:val="24"/>
              </w:rPr>
              <w:t>、</w:t>
            </w:r>
            <w:r>
              <w:rPr>
                <w:rFonts w:ascii="宋体" w:hint="eastAsia"/>
                <w:b/>
                <w:sz w:val="24"/>
              </w:rPr>
              <w:t>在新型电力系统建设、交易规则频繁调整、全网电量过剩预期增强的背景下，请问公司如何看待市场化电价中枢的中长期走势？公司依靠哪些核心抓手，抵御电价下行压力、稳住项目合理收益</w:t>
            </w:r>
            <w:r>
              <w:rPr>
                <w:rFonts w:ascii="宋体"/>
                <w:b/>
                <w:sz w:val="24"/>
              </w:rPr>
              <w:t>？</w:t>
            </w:r>
          </w:p>
          <w:p w14:paraId="503A3A1F" w14:textId="77777777" w:rsidR="00AF5396" w:rsidRDefault="00E9046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</w:t>
            </w:r>
            <w:r>
              <w:rPr>
                <w:rFonts w:ascii="宋体"/>
                <w:sz w:val="24"/>
              </w:rPr>
              <w:t>:</w:t>
            </w:r>
            <w:r>
              <w:rPr>
                <w:rFonts w:ascii="宋体" w:hint="eastAsia"/>
                <w:sz w:val="24"/>
              </w:rPr>
              <w:t>电力全面市场化是大势所趋，电价将不再由一个固定的行政定价来决定，而是由区域电力供需格局、负荷特性和电源结构共同作用，未来会呈现出</w:t>
            </w:r>
            <w:r>
              <w:rPr>
                <w:rFonts w:ascii="宋体" w:hint="eastAsia"/>
                <w:sz w:val="24"/>
              </w:rPr>
              <w:t>明显的区域分化和时段分化。在用电负荷高、</w:t>
            </w:r>
            <w:r>
              <w:rPr>
                <w:rFonts w:ascii="宋体" w:hint="eastAsia"/>
                <w:sz w:val="24"/>
              </w:rPr>
              <w:lastRenderedPageBreak/>
              <w:t>电力供应偏紧的地区，电价中枢会有比较强的支撑，盈利空间相对稳定。但在新能源集中投产、需要大量外送的地区，由于供给相对冗余，低谷时段的电价压力会比较突出。这也是公司判断项目收益时重点关注的变量。</w:t>
            </w:r>
          </w:p>
          <w:p w14:paraId="64D4A388" w14:textId="77777777" w:rsidR="00AF5396" w:rsidRDefault="00E9046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面对新能源全面参与市场带来的电价下行压力，公司持续锻造以电力交易为核心的系统性能力，主动管理收益波动。核心抓手主要体现在以下三个层面：</w:t>
            </w:r>
          </w:p>
          <w:p w14:paraId="4C92844D" w14:textId="77777777" w:rsidR="00AF5396" w:rsidRDefault="00E9046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一是建立高效的信息</w:t>
            </w:r>
            <w:proofErr w:type="gramStart"/>
            <w:r>
              <w:rPr>
                <w:rFonts w:ascii="宋体" w:hint="eastAsia"/>
                <w:sz w:val="24"/>
              </w:rPr>
              <w:t>研</w:t>
            </w:r>
            <w:proofErr w:type="gramEnd"/>
            <w:r>
              <w:rPr>
                <w:rFonts w:ascii="宋体" w:hint="eastAsia"/>
                <w:sz w:val="24"/>
              </w:rPr>
              <w:t>判与市场响应能力。公司持续跟踪各省政策、交易规则和电源结构变化，建立了区域电力市场数据库，做到“一场</w:t>
            </w:r>
            <w:proofErr w:type="gramStart"/>
            <w:r>
              <w:rPr>
                <w:rFonts w:ascii="宋体" w:hint="eastAsia"/>
                <w:sz w:val="24"/>
              </w:rPr>
              <w:t>一</w:t>
            </w:r>
            <w:proofErr w:type="gramEnd"/>
            <w:r>
              <w:rPr>
                <w:rFonts w:ascii="宋体" w:hint="eastAsia"/>
                <w:sz w:val="24"/>
              </w:rPr>
              <w:t>策”。在交易策略上，</w:t>
            </w:r>
            <w:r>
              <w:rPr>
                <w:rFonts w:ascii="宋体" w:hint="eastAsia"/>
                <w:sz w:val="24"/>
              </w:rPr>
              <w:t>坚持以</w:t>
            </w:r>
            <w:proofErr w:type="gramStart"/>
            <w:r>
              <w:rPr>
                <w:rFonts w:ascii="宋体" w:hint="eastAsia"/>
                <w:sz w:val="24"/>
              </w:rPr>
              <w:t>中长期长协锁定</w:t>
            </w:r>
            <w:proofErr w:type="gramEnd"/>
            <w:r>
              <w:rPr>
                <w:rFonts w:ascii="宋体" w:hint="eastAsia"/>
                <w:sz w:val="24"/>
              </w:rPr>
              <w:t>大部分基础收益，并作为“压舱石”作用；同时，通过省间交易、短周期省内交易和现货交易，灵活捕捉高峰红利。长短搭配、多品种联动，既稳住了基本盘，又有效争取了超额收益。</w:t>
            </w:r>
          </w:p>
          <w:p w14:paraId="2BEA6D64" w14:textId="77777777" w:rsidR="00AF5396" w:rsidRDefault="00E9046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二是加强技术赋能与市场开拓。公司依靠数字化功率预测和精细化调度能力，精准匹配发电出力和交易合约，减少偏差带来的损失，提升履约质量。同时，统筹省间省内、</w:t>
            </w:r>
            <w:proofErr w:type="gramStart"/>
            <w:r>
              <w:rPr>
                <w:rFonts w:ascii="宋体" w:hint="eastAsia"/>
                <w:sz w:val="24"/>
              </w:rPr>
              <w:t>常规电和绿电</w:t>
            </w:r>
            <w:proofErr w:type="gramEnd"/>
            <w:r>
              <w:rPr>
                <w:rFonts w:ascii="宋体" w:hint="eastAsia"/>
                <w:sz w:val="24"/>
              </w:rPr>
              <w:t>等多品种交易，拓宽收益渠道，提升整体抗风险能力，推动技术与业务形成合力。</w:t>
            </w:r>
          </w:p>
          <w:p w14:paraId="2B04EBDD" w14:textId="77777777" w:rsidR="00AF5396" w:rsidRDefault="00E9046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三是打造专业的交易人才队伍。公司持续建</w:t>
            </w:r>
            <w:proofErr w:type="gramStart"/>
            <w:r>
              <w:rPr>
                <w:rFonts w:ascii="宋体" w:hint="eastAsia"/>
                <w:sz w:val="24"/>
              </w:rPr>
              <w:t>强交易</w:t>
            </w:r>
            <w:proofErr w:type="gramEnd"/>
            <w:r>
              <w:rPr>
                <w:rFonts w:ascii="宋体" w:hint="eastAsia"/>
                <w:sz w:val="24"/>
              </w:rPr>
              <w:t>团队，坚持“以战代练”，在实战中锤炼研判能力与决</w:t>
            </w:r>
            <w:r>
              <w:rPr>
                <w:rFonts w:ascii="宋体" w:hint="eastAsia"/>
                <w:sz w:val="24"/>
              </w:rPr>
              <w:t>策水平。同时，完善与业绩贡献强挂钩的激励机制，确保创造价值的人员获得应有回报，充分激发团队的主动性与创造力。通过系统化的培训体系和阶梯式的人才培养路径，为公司在复杂多变的市场环境中平稳运营提供坚实的人才保障。</w:t>
            </w:r>
          </w:p>
          <w:p w14:paraId="3DB16307" w14:textId="77777777" w:rsidR="00AF5396" w:rsidRDefault="00E90469">
            <w:pPr>
              <w:spacing w:line="560" w:lineRule="exact"/>
              <w:rPr>
                <w:b/>
              </w:rPr>
            </w:pPr>
            <w:r>
              <w:rPr>
                <w:rFonts w:ascii="宋体"/>
                <w:b/>
                <w:sz w:val="24"/>
              </w:rPr>
              <w:lastRenderedPageBreak/>
              <w:t>3</w:t>
            </w:r>
            <w:r>
              <w:rPr>
                <w:rFonts w:ascii="宋体"/>
                <w:b/>
                <w:sz w:val="24"/>
              </w:rPr>
              <w:t>、</w:t>
            </w:r>
            <w:r>
              <w:rPr>
                <w:rFonts w:ascii="宋体" w:hint="eastAsia"/>
                <w:b/>
                <w:sz w:val="24"/>
              </w:rPr>
              <w:t>根据年报等披露信息，公司</w:t>
            </w:r>
            <w:r>
              <w:rPr>
                <w:rFonts w:ascii="宋体" w:hint="eastAsia"/>
                <w:b/>
                <w:sz w:val="24"/>
              </w:rPr>
              <w:t>2025</w:t>
            </w:r>
            <w:r>
              <w:rPr>
                <w:rFonts w:ascii="宋体" w:hint="eastAsia"/>
                <w:b/>
                <w:sz w:val="24"/>
              </w:rPr>
              <w:t>年管理提升和挖潜增效取得了一些实效，期间费用同比下降，关于财务费用方面，请问公司</w:t>
            </w:r>
            <w:r>
              <w:rPr>
                <w:rFonts w:ascii="宋体" w:hint="eastAsia"/>
                <w:b/>
                <w:sz w:val="24"/>
              </w:rPr>
              <w:t>2025</w:t>
            </w:r>
            <w:r>
              <w:rPr>
                <w:rFonts w:ascii="宋体" w:hint="eastAsia"/>
                <w:b/>
                <w:sz w:val="24"/>
              </w:rPr>
              <w:t>年采取了哪些有效措施来压降融资成本，同时对</w:t>
            </w:r>
            <w:r>
              <w:rPr>
                <w:rFonts w:ascii="宋体" w:hint="eastAsia"/>
                <w:b/>
                <w:sz w:val="24"/>
              </w:rPr>
              <w:t>2026</w:t>
            </w:r>
            <w:r>
              <w:rPr>
                <w:rFonts w:ascii="宋体" w:hint="eastAsia"/>
                <w:b/>
                <w:sz w:val="24"/>
              </w:rPr>
              <w:t>年财务费用管控有没有进一步的考虑和安排？</w:t>
            </w:r>
          </w:p>
          <w:p w14:paraId="499DBC01" w14:textId="3621A04F" w:rsidR="00AF5396" w:rsidRDefault="00E9046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</w:t>
            </w:r>
            <w:r>
              <w:rPr>
                <w:rFonts w:ascii="宋体"/>
                <w:sz w:val="24"/>
              </w:rPr>
              <w:t>:</w:t>
            </w:r>
            <w:r>
              <w:rPr>
                <w:rFonts w:ascii="宋体" w:hint="eastAsia"/>
                <w:sz w:val="24"/>
              </w:rPr>
              <w:t>2025</w:t>
            </w:r>
            <w:r>
              <w:rPr>
                <w:rFonts w:ascii="宋体" w:hint="eastAsia"/>
                <w:sz w:val="24"/>
              </w:rPr>
              <w:t>年公司围绕“管理提升”工作目标，进一步加强财务成本管控，主要通过贷款置换、</w:t>
            </w:r>
            <w:r>
              <w:rPr>
                <w:rFonts w:ascii="宋体" w:hint="eastAsia"/>
                <w:sz w:val="24"/>
              </w:rPr>
              <w:t>协商降息、提前还款、优化资金配置等方式不断降低公司财务成本，全年利息费用同比下降</w:t>
            </w:r>
            <w:r>
              <w:rPr>
                <w:rFonts w:ascii="宋体" w:hint="eastAsia"/>
                <w:sz w:val="24"/>
              </w:rPr>
              <w:t>3.55%</w:t>
            </w:r>
            <w:r>
              <w:rPr>
                <w:rFonts w:ascii="宋体" w:hint="eastAsia"/>
                <w:sz w:val="24"/>
              </w:rPr>
              <w:t>，年末综合融资成本较年初下降</w:t>
            </w:r>
            <w:r>
              <w:rPr>
                <w:rFonts w:ascii="宋体" w:hint="eastAsia"/>
                <w:sz w:val="24"/>
              </w:rPr>
              <w:t>46bps</w:t>
            </w:r>
            <w:r>
              <w:rPr>
                <w:rFonts w:ascii="宋体" w:hint="eastAsia"/>
                <w:sz w:val="24"/>
              </w:rPr>
              <w:t>。同时，公司积极拓宽融资渠道，获得银行间债务融资工具和公司债券发行批文，实现直接融资和间接融资双轮驱动，保障公司资金安全稳健、降低资金成本和优化资本结构。公司已于</w:t>
            </w:r>
            <w:bookmarkStart w:id="0" w:name="_GoBack"/>
            <w:bookmarkEnd w:id="0"/>
            <w:r>
              <w:rPr>
                <w:rFonts w:ascii="宋体" w:hint="eastAsia"/>
                <w:sz w:val="24"/>
              </w:rPr>
              <w:t>2025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>12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>12</w:t>
            </w:r>
            <w:r>
              <w:rPr>
                <w:rFonts w:ascii="宋体" w:hint="eastAsia"/>
                <w:sz w:val="24"/>
              </w:rPr>
              <w:t>日以较低的票面利率成功发行</w:t>
            </w:r>
            <w:r w:rsidRPr="006C37C7">
              <w:rPr>
                <w:rFonts w:ascii="宋体" w:hint="eastAsia"/>
                <w:sz w:val="24"/>
              </w:rPr>
              <w:t>2025</w:t>
            </w:r>
            <w:r w:rsidRPr="006C37C7">
              <w:rPr>
                <w:rFonts w:ascii="宋体" w:hint="eastAsia"/>
                <w:sz w:val="24"/>
              </w:rPr>
              <w:t>年度第一期中期票据</w:t>
            </w:r>
            <w:r>
              <w:rPr>
                <w:rFonts w:ascii="宋体" w:hint="eastAsia"/>
                <w:sz w:val="24"/>
              </w:rPr>
              <w:t>。</w:t>
            </w:r>
          </w:p>
          <w:p w14:paraId="20ECF64B" w14:textId="77777777" w:rsidR="00AF5396" w:rsidRDefault="00E9046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2026</w:t>
            </w:r>
            <w:r>
              <w:rPr>
                <w:rFonts w:ascii="宋体" w:hint="eastAsia"/>
                <w:sz w:val="24"/>
              </w:rPr>
              <w:t>年，公司将继续不断优化资金的使用和管理，发挥财务管理的价值创造功能。一是进一步精细</w:t>
            </w:r>
            <w:proofErr w:type="gramStart"/>
            <w:r>
              <w:rPr>
                <w:rFonts w:ascii="宋体" w:hint="eastAsia"/>
                <w:sz w:val="24"/>
              </w:rPr>
              <w:t>化资金</w:t>
            </w:r>
            <w:proofErr w:type="gramEnd"/>
            <w:r>
              <w:rPr>
                <w:rFonts w:ascii="宋体" w:hint="eastAsia"/>
                <w:sz w:val="24"/>
              </w:rPr>
              <w:t>管理，提高资金使用效率，降低资金成本；二是充分运用债券融资工具，拓展直接融资规模，降低融资成本，公司于</w:t>
            </w:r>
            <w:r>
              <w:rPr>
                <w:rFonts w:ascii="宋体" w:hint="eastAsia"/>
                <w:sz w:val="24"/>
              </w:rPr>
              <w:t>2026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>12</w:t>
            </w:r>
            <w:r>
              <w:rPr>
                <w:rFonts w:ascii="宋体" w:hint="eastAsia"/>
                <w:sz w:val="24"/>
              </w:rPr>
              <w:t>日成功发行</w:t>
            </w:r>
            <w:proofErr w:type="gramStart"/>
            <w:r>
              <w:rPr>
                <w:rFonts w:ascii="宋体" w:hint="eastAsia"/>
                <w:sz w:val="24"/>
              </w:rPr>
              <w:t>第一期科创公司</w:t>
            </w:r>
            <w:proofErr w:type="gramEnd"/>
            <w:r>
              <w:rPr>
                <w:rFonts w:ascii="宋体" w:hint="eastAsia"/>
                <w:sz w:val="24"/>
              </w:rPr>
              <w:t>债，票面利率实现今年以来浙江省同</w:t>
            </w:r>
            <w:proofErr w:type="gramStart"/>
            <w:r>
              <w:rPr>
                <w:rFonts w:ascii="宋体" w:hint="eastAsia"/>
                <w:sz w:val="24"/>
              </w:rPr>
              <w:t>期限科创公</w:t>
            </w:r>
            <w:proofErr w:type="gramEnd"/>
            <w:r>
              <w:rPr>
                <w:rFonts w:ascii="宋体" w:hint="eastAsia"/>
                <w:sz w:val="24"/>
              </w:rPr>
              <w:t>司债新低；三是优化融资结构，丰富资金融通方式，探索创新型融资工具，保障公司资金安全稳健。</w:t>
            </w:r>
          </w:p>
          <w:p w14:paraId="1CBF34EE" w14:textId="77777777" w:rsidR="00AF5396" w:rsidRDefault="00AF5396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  <w:tr w:rsidR="00AF5396" w14:paraId="4CE2125D" w14:textId="77777777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019762AC" w14:textId="77777777" w:rsidR="00AF5396" w:rsidRDefault="00E9046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27B1038D" w14:textId="77777777" w:rsidR="00AF5396" w:rsidRDefault="00E90469">
            <w:pPr>
              <w:spacing w:beforeLines="50" w:before="156"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本次活动不涉及未公开披露的重大信息。</w:t>
            </w:r>
          </w:p>
        </w:tc>
      </w:tr>
      <w:tr w:rsidR="00AF5396" w14:paraId="0CB705AD" w14:textId="77777777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793B6B0E" w14:textId="77777777" w:rsidR="00AF5396" w:rsidRDefault="00E90469">
            <w:pPr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7786E2C8" w14:textId="77777777" w:rsidR="00AF5396" w:rsidRDefault="00E90469">
            <w:pPr>
              <w:spacing w:line="46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AF5396" w14:paraId="028CD284" w14:textId="77777777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219FC01A" w14:textId="77777777" w:rsidR="00AF5396" w:rsidRDefault="00E90469">
            <w:pPr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08997792" w14:textId="77777777" w:rsidR="00AF5396" w:rsidRDefault="00E90469">
            <w:pPr>
              <w:spacing w:line="46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2026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29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01DEBDAB" w14:textId="77777777" w:rsidR="00AF5396" w:rsidRDefault="00AF5396"/>
    <w:sectPr w:rsidR="00AF5396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0EED4" w14:textId="77777777" w:rsidR="00E90469" w:rsidRDefault="00E90469">
      <w:r>
        <w:separator/>
      </w:r>
    </w:p>
  </w:endnote>
  <w:endnote w:type="continuationSeparator" w:id="0">
    <w:p w14:paraId="7F044EFD" w14:textId="77777777" w:rsidR="00E90469" w:rsidRDefault="00E9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3FEA5" w14:textId="77777777" w:rsidR="00E90469" w:rsidRDefault="00E90469">
      <w:r>
        <w:separator/>
      </w:r>
    </w:p>
  </w:footnote>
  <w:footnote w:type="continuationSeparator" w:id="0">
    <w:p w14:paraId="534AAAD2" w14:textId="77777777" w:rsidR="00E90469" w:rsidRDefault="00E9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4B175" w14:textId="77777777" w:rsidR="00AF5396" w:rsidRDefault="00E90469">
    <w:pPr>
      <w:pStyle w:val="a9"/>
      <w:tabs>
        <w:tab w:val="clear" w:pos="4153"/>
      </w:tabs>
      <w:jc w:val="right"/>
    </w:pPr>
    <w:r>
      <w:rPr>
        <w:rFonts w:hint="eastAsia"/>
      </w:rPr>
      <w:t>浙江省新能源投资集团股份有限公司投资者关系活动记录表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3NTlhNGJhZTk1YmZkMTc2MTM0MTg2MGI3NTFmMTEifQ=="/>
  </w:docVars>
  <w:rsids>
    <w:rsidRoot w:val="007A4AA7"/>
    <w:rsid w:val="00041141"/>
    <w:rsid w:val="000D5894"/>
    <w:rsid w:val="000D6995"/>
    <w:rsid w:val="001106E0"/>
    <w:rsid w:val="00111209"/>
    <w:rsid w:val="00144FE7"/>
    <w:rsid w:val="001A6EE2"/>
    <w:rsid w:val="001B5130"/>
    <w:rsid w:val="001B7E5D"/>
    <w:rsid w:val="001D58B3"/>
    <w:rsid w:val="002E5A81"/>
    <w:rsid w:val="00312015"/>
    <w:rsid w:val="00330E24"/>
    <w:rsid w:val="003C1510"/>
    <w:rsid w:val="003C7879"/>
    <w:rsid w:val="00405080"/>
    <w:rsid w:val="0041513C"/>
    <w:rsid w:val="00492688"/>
    <w:rsid w:val="004A5D45"/>
    <w:rsid w:val="004D3AA6"/>
    <w:rsid w:val="00507B0B"/>
    <w:rsid w:val="00520763"/>
    <w:rsid w:val="005219AE"/>
    <w:rsid w:val="005703EB"/>
    <w:rsid w:val="005A5B7B"/>
    <w:rsid w:val="005B2B5E"/>
    <w:rsid w:val="005C1B9A"/>
    <w:rsid w:val="006060BC"/>
    <w:rsid w:val="0064091E"/>
    <w:rsid w:val="00654A79"/>
    <w:rsid w:val="00665C76"/>
    <w:rsid w:val="006B6230"/>
    <w:rsid w:val="006C37C7"/>
    <w:rsid w:val="007926D9"/>
    <w:rsid w:val="007A4AA7"/>
    <w:rsid w:val="007B3B5F"/>
    <w:rsid w:val="00825047"/>
    <w:rsid w:val="00846C35"/>
    <w:rsid w:val="00887F7F"/>
    <w:rsid w:val="0094472F"/>
    <w:rsid w:val="009843EE"/>
    <w:rsid w:val="009C0A93"/>
    <w:rsid w:val="00A36022"/>
    <w:rsid w:val="00A361BC"/>
    <w:rsid w:val="00AA76D0"/>
    <w:rsid w:val="00AF5396"/>
    <w:rsid w:val="00B60E86"/>
    <w:rsid w:val="00B75B2E"/>
    <w:rsid w:val="00C05BD1"/>
    <w:rsid w:val="00CA42B8"/>
    <w:rsid w:val="00D23A6D"/>
    <w:rsid w:val="00DE478E"/>
    <w:rsid w:val="00DF593C"/>
    <w:rsid w:val="00E168E2"/>
    <w:rsid w:val="00E90469"/>
    <w:rsid w:val="00F34730"/>
    <w:rsid w:val="00F660A5"/>
    <w:rsid w:val="00F849CD"/>
    <w:rsid w:val="00FA08DB"/>
    <w:rsid w:val="00FA2CFA"/>
    <w:rsid w:val="1CB2496B"/>
    <w:rsid w:val="48FA476F"/>
    <w:rsid w:val="50263724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D76E4C-DC8F-487B-BE6A-DA0B75C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FollowedHyperlink"/>
    <w:basedOn w:val="a0"/>
    <w:rPr>
      <w:color w:val="800080" w:themeColor="followedHyperlink"/>
      <w:u w:val="single"/>
    </w:rPr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kern w:val="2"/>
      <w:sz w:val="21"/>
      <w:szCs w:val="22"/>
    </w:rPr>
  </w:style>
  <w:style w:type="character" w:customStyle="1" w:styleId="ab">
    <w:name w:val="批注主题 字符"/>
    <w:basedOn w:val="a4"/>
    <w:link w:val="aa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</cp:lastModifiedBy>
  <cp:revision>2</cp:revision>
  <cp:lastPrinted>2025-09-18T07:53:00Z</cp:lastPrinted>
  <dcterms:created xsi:type="dcterms:W3CDTF">2026-04-28T09:02:00Z</dcterms:created>
  <dcterms:modified xsi:type="dcterms:W3CDTF">2026-04-28T09:02:00Z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0CE144365FE1460EBADD131E12AC6298_13</vt:lpwstr>
  </property>
  <property fmtid="{D5CDD505-2E9C-101B-9397-08002B2CF9AE}" pid="4" name="KSOTemplateDocerSaveRecord">
    <vt:lpwstr>eyJoZGlkIjoiYzg2MGRmNGE5NGVjZWExN2Y0YmVkNzdjNzkwZjA4ZWMiLCJ1c2VySWQiOiI3MTkzMzM2NTYifQ==</vt:lpwstr>
  </property>
</Properties>
</file>