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A1EE4" w14:textId="77777777" w:rsidR="001D5CDA" w:rsidRDefault="00FA1EBC">
      <w:pPr>
        <w:spacing w:line="288" w:lineRule="auto"/>
        <w:rPr>
          <w:rFonts w:ascii="宋体" w:eastAsia="宋体" w:hAnsi="宋体" w:cs="宋体"/>
          <w:sz w:val="24"/>
        </w:rPr>
      </w:pPr>
      <w:r>
        <w:rPr>
          <w:rFonts w:ascii="宋体" w:eastAsia="宋体" w:hAnsi="宋体" w:cs="宋体" w:hint="eastAsia"/>
          <w:sz w:val="24"/>
        </w:rPr>
        <w:t>证券代码：688146                                   证券简称：中船特气</w:t>
      </w:r>
    </w:p>
    <w:p w14:paraId="5E4FDBC1" w14:textId="77777777" w:rsidR="001D5CDA" w:rsidRDefault="00FA1EBC">
      <w:pPr>
        <w:spacing w:beforeLines="50" w:before="156" w:afterLines="50" w:after="156"/>
        <w:jc w:val="center"/>
        <w:rPr>
          <w:rFonts w:asciiTheme="minorEastAsia" w:hAnsiTheme="minorEastAsia" w:cstheme="minorEastAsia"/>
          <w:b/>
          <w:bCs/>
          <w:sz w:val="36"/>
          <w:szCs w:val="36"/>
        </w:rPr>
      </w:pPr>
      <w:r>
        <w:rPr>
          <w:rFonts w:asciiTheme="minorEastAsia" w:hAnsiTheme="minorEastAsia" w:cstheme="minorEastAsia" w:hint="eastAsia"/>
          <w:b/>
          <w:bCs/>
          <w:sz w:val="36"/>
          <w:szCs w:val="36"/>
        </w:rPr>
        <w:t>中船（邯郸）派瑞特种气体股份有限公司</w:t>
      </w:r>
    </w:p>
    <w:p w14:paraId="38AE6D88" w14:textId="77777777" w:rsidR="001D5CDA" w:rsidRDefault="00FA1EBC">
      <w:pPr>
        <w:spacing w:beforeLines="50" w:before="156" w:afterLines="50" w:after="156"/>
        <w:jc w:val="center"/>
        <w:rPr>
          <w:rFonts w:asciiTheme="minorEastAsia" w:hAnsiTheme="minorEastAsia" w:cstheme="minorEastAsia"/>
          <w:b/>
          <w:bCs/>
          <w:sz w:val="36"/>
          <w:szCs w:val="36"/>
        </w:rPr>
      </w:pPr>
      <w:r>
        <w:rPr>
          <w:rFonts w:asciiTheme="minorEastAsia" w:hAnsiTheme="minorEastAsia" w:cstheme="minorEastAsia" w:hint="eastAsia"/>
          <w:b/>
          <w:bCs/>
          <w:sz w:val="36"/>
          <w:szCs w:val="36"/>
        </w:rPr>
        <w:t>投资者关系活动记录表</w:t>
      </w:r>
    </w:p>
    <w:p w14:paraId="16ACBBE5" w14:textId="041D4AAD" w:rsidR="001D5CDA" w:rsidRDefault="00FA1EBC">
      <w:pPr>
        <w:spacing w:line="288" w:lineRule="auto"/>
        <w:jc w:val="right"/>
        <w:rPr>
          <w:rFonts w:ascii="宋体" w:eastAsia="宋体" w:hAnsi="宋体" w:cs="宋体"/>
          <w:sz w:val="24"/>
        </w:rPr>
      </w:pPr>
      <w:r>
        <w:rPr>
          <w:rFonts w:ascii="宋体" w:eastAsia="宋体" w:hAnsi="宋体" w:cs="宋体"/>
          <w:sz w:val="24"/>
        </w:rPr>
        <w:t>编号：202</w:t>
      </w:r>
      <w:r w:rsidR="00E334B6">
        <w:rPr>
          <w:rFonts w:ascii="宋体" w:eastAsia="宋体" w:hAnsi="宋体" w:cs="宋体" w:hint="eastAsia"/>
          <w:sz w:val="24"/>
        </w:rPr>
        <w:t>6</w:t>
      </w:r>
      <w:r>
        <w:rPr>
          <w:rFonts w:ascii="宋体" w:eastAsia="宋体" w:hAnsi="宋体" w:cs="宋体" w:hint="eastAsia"/>
          <w:sz w:val="24"/>
        </w:rPr>
        <w:t>-</w:t>
      </w:r>
      <w:r w:rsidR="00C36C41" w:rsidRPr="004D69C4">
        <w:rPr>
          <w:rFonts w:ascii="宋体" w:eastAsia="宋体" w:hAnsi="宋体" w:cs="宋体" w:hint="eastAsia"/>
          <w:sz w:val="24"/>
        </w:rPr>
        <w:t>0</w:t>
      </w:r>
      <w:r w:rsidR="002B1C01" w:rsidRPr="004D69C4">
        <w:rPr>
          <w:rFonts w:ascii="宋体" w:eastAsia="宋体" w:hAnsi="宋体" w:cs="宋体" w:hint="eastAsia"/>
          <w:sz w:val="24"/>
        </w:rPr>
        <w:t>0</w:t>
      </w:r>
      <w:r w:rsidR="00FE575F">
        <w:rPr>
          <w:rFonts w:ascii="宋体" w:eastAsia="宋体" w:hAnsi="宋体" w:cs="宋体" w:hint="eastAsia"/>
          <w:sz w:val="24"/>
        </w:rPr>
        <w:t>4</w:t>
      </w:r>
    </w:p>
    <w:tbl>
      <w:tblPr>
        <w:tblStyle w:val="a7"/>
        <w:tblW w:w="0" w:type="auto"/>
        <w:tblLook w:val="04A0" w:firstRow="1" w:lastRow="0" w:firstColumn="1" w:lastColumn="0" w:noHBand="0" w:noVBand="1"/>
      </w:tblPr>
      <w:tblGrid>
        <w:gridCol w:w="2330"/>
        <w:gridCol w:w="5966"/>
      </w:tblGrid>
      <w:tr w:rsidR="004D69C4" w14:paraId="68DDF505" w14:textId="77777777">
        <w:trPr>
          <w:trHeight w:val="2223"/>
        </w:trPr>
        <w:tc>
          <w:tcPr>
            <w:tcW w:w="2361" w:type="dxa"/>
            <w:vAlign w:val="center"/>
          </w:tcPr>
          <w:p w14:paraId="7BB11096" w14:textId="77777777" w:rsidR="001D5CDA" w:rsidRDefault="00FA1EBC">
            <w:pPr>
              <w:spacing w:line="360" w:lineRule="auto"/>
              <w:rPr>
                <w:rFonts w:ascii="宋体" w:eastAsia="宋体" w:hAnsi="宋体" w:cs="宋体"/>
                <w:b/>
                <w:bCs/>
                <w:sz w:val="24"/>
              </w:rPr>
            </w:pPr>
            <w:r>
              <w:rPr>
                <w:rFonts w:ascii="宋体" w:eastAsia="宋体" w:hAnsi="宋体" w:cs="宋体"/>
                <w:b/>
                <w:bCs/>
                <w:sz w:val="24"/>
              </w:rPr>
              <w:t>投资者关系</w:t>
            </w:r>
          </w:p>
          <w:p w14:paraId="52D646DF" w14:textId="77777777" w:rsidR="001D5CDA" w:rsidRDefault="00FA1EBC">
            <w:pPr>
              <w:spacing w:line="360" w:lineRule="auto"/>
              <w:rPr>
                <w:rFonts w:ascii="宋体" w:eastAsia="宋体" w:hAnsi="宋体" w:cs="宋体"/>
                <w:sz w:val="24"/>
              </w:rPr>
            </w:pPr>
            <w:r>
              <w:rPr>
                <w:rFonts w:ascii="宋体" w:eastAsia="宋体" w:hAnsi="宋体" w:cs="宋体"/>
                <w:b/>
                <w:bCs/>
                <w:sz w:val="24"/>
              </w:rPr>
              <w:t>活动类别</w:t>
            </w:r>
          </w:p>
        </w:tc>
        <w:tc>
          <w:tcPr>
            <w:tcW w:w="6058" w:type="dxa"/>
            <w:vAlign w:val="center"/>
          </w:tcPr>
          <w:p w14:paraId="0169C6F0" w14:textId="5BD74265" w:rsidR="001D5CDA" w:rsidRDefault="00FE575F">
            <w:pPr>
              <w:spacing w:line="360" w:lineRule="auto"/>
              <w:rPr>
                <w:rFonts w:ascii="宋体" w:eastAsia="宋体" w:hAnsi="宋体" w:cs="宋体"/>
                <w:sz w:val="24"/>
              </w:rPr>
            </w:pPr>
            <w:r>
              <w:rPr>
                <w:rFonts w:ascii="宋体" w:eastAsia="宋体" w:hAnsi="宋体" w:cs="宋体" w:hint="eastAsia"/>
                <w:sz w:val="24"/>
              </w:rPr>
              <w:t>□</w:t>
            </w:r>
            <w:r w:rsidR="00FA1EBC">
              <w:rPr>
                <w:rFonts w:ascii="宋体" w:eastAsia="宋体" w:hAnsi="宋体" w:cs="宋体"/>
                <w:sz w:val="24"/>
              </w:rPr>
              <w:t xml:space="preserve">特定对象调研 </w:t>
            </w:r>
            <w:r w:rsidR="00FA1EBC">
              <w:rPr>
                <w:rFonts w:ascii="宋体" w:eastAsia="宋体" w:hAnsi="宋体" w:cs="宋体" w:hint="eastAsia"/>
                <w:sz w:val="24"/>
              </w:rPr>
              <w:t xml:space="preserve">  </w:t>
            </w:r>
            <w:r>
              <w:rPr>
                <w:rFonts w:ascii="宋体" w:eastAsia="宋体" w:hAnsi="宋体" w:cs="宋体" w:hint="eastAsia"/>
                <w:sz w:val="24"/>
              </w:rPr>
              <w:sym w:font="Wingdings 2" w:char="F052"/>
            </w:r>
            <w:r w:rsidR="00FA1EBC">
              <w:rPr>
                <w:rFonts w:ascii="宋体" w:eastAsia="宋体" w:hAnsi="宋体" w:cs="宋体"/>
                <w:sz w:val="24"/>
              </w:rPr>
              <w:t>分析师会议</w:t>
            </w:r>
          </w:p>
          <w:p w14:paraId="52018435" w14:textId="77777777" w:rsidR="001D5CDA" w:rsidRDefault="00FA1EBC">
            <w:pPr>
              <w:spacing w:line="360" w:lineRule="auto"/>
              <w:rPr>
                <w:rFonts w:ascii="宋体" w:eastAsia="宋体" w:hAnsi="宋体" w:cs="宋体"/>
                <w:sz w:val="24"/>
              </w:rPr>
            </w:pPr>
            <w:r>
              <w:rPr>
                <w:rFonts w:ascii="宋体" w:eastAsia="宋体" w:hAnsi="宋体" w:cs="宋体" w:hint="eastAsia"/>
                <w:sz w:val="24"/>
              </w:rPr>
              <w:t>□</w:t>
            </w:r>
            <w:r>
              <w:rPr>
                <w:rFonts w:ascii="宋体" w:eastAsia="宋体" w:hAnsi="宋体" w:cs="宋体"/>
                <w:sz w:val="24"/>
              </w:rPr>
              <w:t xml:space="preserve">媒体采访 </w:t>
            </w:r>
            <w:r>
              <w:rPr>
                <w:rFonts w:ascii="宋体" w:eastAsia="宋体" w:hAnsi="宋体" w:cs="宋体" w:hint="eastAsia"/>
                <w:sz w:val="24"/>
              </w:rPr>
              <w:t xml:space="preserve">      </w:t>
            </w:r>
            <w:r w:rsidR="00BA1E03">
              <w:rPr>
                <w:rFonts w:ascii="宋体" w:eastAsia="宋体" w:hAnsi="宋体" w:cs="宋体" w:hint="eastAsia"/>
                <w:sz w:val="24"/>
              </w:rPr>
              <w:t>□</w:t>
            </w:r>
            <w:r>
              <w:rPr>
                <w:rFonts w:ascii="宋体" w:eastAsia="宋体" w:hAnsi="宋体" w:cs="宋体"/>
                <w:sz w:val="24"/>
              </w:rPr>
              <w:t>业绩说明会</w:t>
            </w:r>
          </w:p>
          <w:p w14:paraId="1F39C6BD" w14:textId="77777777" w:rsidR="001D5CDA" w:rsidRDefault="00FA1EBC">
            <w:pPr>
              <w:spacing w:line="360" w:lineRule="auto"/>
              <w:rPr>
                <w:rFonts w:ascii="宋体" w:eastAsia="宋体" w:hAnsi="宋体" w:cs="宋体"/>
                <w:sz w:val="24"/>
              </w:rPr>
            </w:pPr>
            <w:r>
              <w:rPr>
                <w:rFonts w:ascii="宋体" w:eastAsia="宋体" w:hAnsi="宋体" w:cs="宋体"/>
                <w:sz w:val="24"/>
              </w:rPr>
              <w:t xml:space="preserve">□新闻发布会 </w:t>
            </w:r>
            <w:r>
              <w:rPr>
                <w:rFonts w:ascii="宋体" w:eastAsia="宋体" w:hAnsi="宋体" w:cs="宋体" w:hint="eastAsia"/>
                <w:sz w:val="24"/>
              </w:rPr>
              <w:t xml:space="preserve">    □</w:t>
            </w:r>
            <w:r>
              <w:rPr>
                <w:rFonts w:ascii="宋体" w:eastAsia="宋体" w:hAnsi="宋体" w:cs="宋体"/>
                <w:sz w:val="24"/>
              </w:rPr>
              <w:t>路演活动</w:t>
            </w:r>
          </w:p>
          <w:p w14:paraId="068A0BAB" w14:textId="631FBDAD" w:rsidR="001D5CDA" w:rsidRDefault="00FE575F">
            <w:pPr>
              <w:spacing w:line="360" w:lineRule="auto"/>
              <w:rPr>
                <w:rFonts w:ascii="宋体" w:eastAsia="宋体" w:hAnsi="宋体" w:cs="宋体"/>
                <w:sz w:val="24"/>
              </w:rPr>
            </w:pPr>
            <w:r>
              <w:rPr>
                <w:rFonts w:ascii="宋体" w:eastAsia="宋体" w:hAnsi="宋体" w:cs="宋体" w:hint="eastAsia"/>
                <w:sz w:val="24"/>
              </w:rPr>
              <w:t>□</w:t>
            </w:r>
            <w:r w:rsidR="00FA1EBC">
              <w:rPr>
                <w:rFonts w:ascii="宋体" w:eastAsia="宋体" w:hAnsi="宋体" w:cs="宋体"/>
                <w:sz w:val="24"/>
              </w:rPr>
              <w:t xml:space="preserve">现场参观 </w:t>
            </w:r>
            <w:r w:rsidR="00614B51">
              <w:rPr>
                <w:rFonts w:ascii="宋体" w:eastAsia="宋体" w:hAnsi="宋体" w:cs="宋体" w:hint="eastAsia"/>
                <w:sz w:val="24"/>
              </w:rPr>
              <w:t xml:space="preserve">  </w:t>
            </w:r>
            <w:r w:rsidR="00FA1EBC">
              <w:rPr>
                <w:rFonts w:ascii="宋体" w:eastAsia="宋体" w:hAnsi="宋体" w:cs="宋体" w:hint="eastAsia"/>
                <w:sz w:val="24"/>
              </w:rPr>
              <w:t xml:space="preserve">   </w:t>
            </w:r>
            <w:r w:rsidR="00583EB6">
              <w:rPr>
                <w:rFonts w:ascii="宋体" w:eastAsia="宋体" w:hAnsi="宋体" w:cs="宋体"/>
                <w:sz w:val="24"/>
              </w:rPr>
              <w:t xml:space="preserve"> </w:t>
            </w:r>
            <w:r w:rsidR="00E334B6">
              <w:rPr>
                <w:rFonts w:ascii="宋体" w:eastAsia="宋体" w:hAnsi="宋体" w:cs="宋体" w:hint="eastAsia"/>
                <w:sz w:val="24"/>
              </w:rPr>
              <w:t>□</w:t>
            </w:r>
            <w:r w:rsidR="00FA1EBC">
              <w:rPr>
                <w:rFonts w:ascii="宋体" w:eastAsia="宋体" w:hAnsi="宋体" w:cs="宋体"/>
                <w:sz w:val="24"/>
              </w:rPr>
              <w:t>电话会议</w:t>
            </w:r>
          </w:p>
          <w:p w14:paraId="78EE4BC6" w14:textId="77777777" w:rsidR="001D5CDA" w:rsidRDefault="00FA1EBC" w:rsidP="004D69C4">
            <w:pPr>
              <w:spacing w:line="360" w:lineRule="auto"/>
              <w:rPr>
                <w:rFonts w:ascii="宋体" w:eastAsia="宋体" w:hAnsi="宋体" w:cs="宋体"/>
                <w:sz w:val="24"/>
              </w:rPr>
            </w:pPr>
            <w:r>
              <w:rPr>
                <w:rFonts w:ascii="宋体" w:eastAsia="宋体" w:hAnsi="宋体" w:cs="宋体"/>
                <w:sz w:val="24"/>
              </w:rPr>
              <w:t>□其他</w:t>
            </w:r>
          </w:p>
        </w:tc>
      </w:tr>
      <w:tr w:rsidR="004D69C4" w14:paraId="1D3BDE78" w14:textId="77777777">
        <w:trPr>
          <w:trHeight w:val="1132"/>
        </w:trPr>
        <w:tc>
          <w:tcPr>
            <w:tcW w:w="2361" w:type="dxa"/>
            <w:vAlign w:val="center"/>
          </w:tcPr>
          <w:p w14:paraId="260DB807" w14:textId="77777777" w:rsidR="001D5CDA" w:rsidRDefault="00FA1EBC">
            <w:pPr>
              <w:spacing w:line="360" w:lineRule="auto"/>
              <w:rPr>
                <w:rFonts w:ascii="宋体" w:eastAsia="宋体" w:hAnsi="宋体" w:cs="宋体"/>
                <w:sz w:val="24"/>
              </w:rPr>
            </w:pPr>
            <w:r>
              <w:rPr>
                <w:rFonts w:ascii="宋体" w:eastAsia="宋体" w:hAnsi="宋体" w:cs="宋体"/>
                <w:b/>
                <w:bCs/>
                <w:sz w:val="24"/>
              </w:rPr>
              <w:t>参与单位名称</w:t>
            </w:r>
            <w:r>
              <w:rPr>
                <w:rFonts w:ascii="宋体" w:eastAsia="宋体" w:hAnsi="宋体" w:cs="宋体"/>
                <w:sz w:val="24"/>
              </w:rPr>
              <w:t>：</w:t>
            </w:r>
          </w:p>
        </w:tc>
        <w:tc>
          <w:tcPr>
            <w:tcW w:w="6058" w:type="dxa"/>
            <w:vAlign w:val="center"/>
          </w:tcPr>
          <w:p w14:paraId="5280409E" w14:textId="715417BC" w:rsidR="001D5CDA" w:rsidRPr="003065CA" w:rsidRDefault="00D94E8C" w:rsidP="00D94E8C">
            <w:pPr>
              <w:spacing w:line="360" w:lineRule="auto"/>
              <w:jc w:val="left"/>
              <w:rPr>
                <w:rFonts w:ascii="宋体" w:eastAsia="宋体" w:hAnsi="宋体" w:cs="宋体"/>
                <w:sz w:val="24"/>
              </w:rPr>
            </w:pPr>
            <w:r w:rsidRPr="00D94E8C">
              <w:rPr>
                <w:rFonts w:ascii="宋体" w:eastAsia="宋体" w:hAnsi="宋体" w:cs="宋体" w:hint="eastAsia"/>
                <w:sz w:val="24"/>
              </w:rPr>
              <w:t>交银施罗德</w:t>
            </w:r>
            <w:r>
              <w:rPr>
                <w:rFonts w:ascii="宋体" w:eastAsia="宋体" w:hAnsi="宋体" w:cs="宋体" w:hint="eastAsia"/>
                <w:sz w:val="24"/>
              </w:rPr>
              <w:t>、</w:t>
            </w:r>
            <w:r w:rsidRPr="00D94E8C">
              <w:rPr>
                <w:rFonts w:ascii="宋体" w:eastAsia="宋体" w:hAnsi="宋体" w:cs="宋体" w:hint="eastAsia"/>
                <w:sz w:val="24"/>
              </w:rPr>
              <w:t>海富通</w:t>
            </w:r>
            <w:r>
              <w:rPr>
                <w:rFonts w:ascii="宋体" w:eastAsia="宋体" w:hAnsi="宋体" w:cs="宋体" w:hint="eastAsia"/>
                <w:sz w:val="24"/>
              </w:rPr>
              <w:t>、</w:t>
            </w:r>
            <w:r w:rsidRPr="00D94E8C">
              <w:rPr>
                <w:rFonts w:ascii="宋体" w:eastAsia="宋体" w:hAnsi="宋体" w:cs="宋体" w:hint="eastAsia"/>
                <w:sz w:val="24"/>
              </w:rPr>
              <w:t>银河基金</w:t>
            </w:r>
            <w:r>
              <w:rPr>
                <w:rFonts w:ascii="宋体" w:eastAsia="宋体" w:hAnsi="宋体" w:cs="宋体" w:hint="eastAsia"/>
                <w:sz w:val="24"/>
              </w:rPr>
              <w:t>、</w:t>
            </w:r>
            <w:r w:rsidRPr="00D94E8C">
              <w:rPr>
                <w:rFonts w:ascii="宋体" w:eastAsia="宋体" w:hAnsi="宋体" w:cs="宋体" w:hint="eastAsia"/>
                <w:sz w:val="24"/>
              </w:rPr>
              <w:t>域秀资本</w:t>
            </w:r>
            <w:r>
              <w:rPr>
                <w:rFonts w:ascii="宋体" w:eastAsia="宋体" w:hAnsi="宋体" w:cs="宋体" w:hint="eastAsia"/>
                <w:sz w:val="24"/>
              </w:rPr>
              <w:t>、</w:t>
            </w:r>
            <w:r w:rsidRPr="00D94E8C">
              <w:rPr>
                <w:rFonts w:ascii="宋体" w:eastAsia="宋体" w:hAnsi="宋体" w:cs="宋体" w:hint="eastAsia"/>
                <w:sz w:val="24"/>
              </w:rPr>
              <w:t>晨燕资产</w:t>
            </w:r>
            <w:r>
              <w:rPr>
                <w:rFonts w:ascii="宋体" w:eastAsia="宋体" w:hAnsi="宋体" w:cs="宋体" w:hint="eastAsia"/>
                <w:sz w:val="24"/>
              </w:rPr>
              <w:t>、</w:t>
            </w:r>
            <w:r w:rsidRPr="00D94E8C">
              <w:rPr>
                <w:rFonts w:ascii="宋体" w:eastAsia="宋体" w:hAnsi="宋体" w:cs="宋体" w:hint="eastAsia"/>
                <w:sz w:val="24"/>
              </w:rPr>
              <w:t>勤辰投资</w:t>
            </w:r>
            <w:r>
              <w:rPr>
                <w:rFonts w:ascii="宋体" w:eastAsia="宋体" w:hAnsi="宋体" w:cs="宋体" w:hint="eastAsia"/>
                <w:sz w:val="24"/>
              </w:rPr>
              <w:t>、</w:t>
            </w:r>
            <w:r w:rsidRPr="00D94E8C">
              <w:rPr>
                <w:rFonts w:ascii="宋体" w:eastAsia="宋体" w:hAnsi="宋体" w:cs="宋体" w:hint="eastAsia"/>
                <w:sz w:val="24"/>
              </w:rPr>
              <w:t>非马投资</w:t>
            </w:r>
            <w:r>
              <w:rPr>
                <w:rFonts w:ascii="宋体" w:eastAsia="宋体" w:hAnsi="宋体" w:cs="宋体" w:hint="eastAsia"/>
                <w:sz w:val="24"/>
              </w:rPr>
              <w:t>、</w:t>
            </w:r>
            <w:r w:rsidRPr="00D94E8C">
              <w:rPr>
                <w:rFonts w:ascii="宋体" w:eastAsia="宋体" w:hAnsi="宋体" w:cs="宋体" w:hint="eastAsia"/>
                <w:sz w:val="24"/>
              </w:rPr>
              <w:t>运舟</w:t>
            </w:r>
            <w:r>
              <w:rPr>
                <w:rFonts w:ascii="宋体" w:eastAsia="宋体" w:hAnsi="宋体" w:cs="宋体" w:hint="eastAsia"/>
                <w:sz w:val="24"/>
              </w:rPr>
              <w:t>、</w:t>
            </w:r>
            <w:r w:rsidR="0050639A">
              <w:rPr>
                <w:rFonts w:ascii="宋体" w:eastAsia="宋体" w:hAnsi="宋体" w:cs="宋体" w:hint="eastAsia"/>
                <w:sz w:val="24"/>
              </w:rPr>
              <w:t>观火投研、华宝基金、</w:t>
            </w:r>
            <w:r w:rsidR="00C46A52">
              <w:rPr>
                <w:rFonts w:ascii="宋体" w:eastAsia="宋体" w:hAnsi="宋体" w:cs="宋体" w:hint="eastAsia"/>
                <w:sz w:val="24"/>
              </w:rPr>
              <w:t>上海证券</w:t>
            </w:r>
            <w:r>
              <w:rPr>
                <w:rFonts w:ascii="宋体" w:eastAsia="宋体" w:hAnsi="宋体" w:cs="宋体" w:hint="eastAsia"/>
                <w:sz w:val="24"/>
              </w:rPr>
              <w:t>、</w:t>
            </w:r>
            <w:r w:rsidR="0050639A">
              <w:rPr>
                <w:rFonts w:ascii="宋体" w:eastAsia="宋体" w:hAnsi="宋体" w:cs="宋体" w:hint="eastAsia"/>
                <w:sz w:val="24"/>
              </w:rPr>
              <w:t>弥远投资、常春藤基金、</w:t>
            </w:r>
            <w:r w:rsidRPr="00D94E8C">
              <w:rPr>
                <w:rFonts w:ascii="宋体" w:eastAsia="宋体" w:hAnsi="宋体" w:cs="宋体" w:hint="eastAsia"/>
                <w:sz w:val="24"/>
              </w:rPr>
              <w:t>慈阳投资</w:t>
            </w:r>
            <w:r>
              <w:rPr>
                <w:rFonts w:ascii="宋体" w:eastAsia="宋体" w:hAnsi="宋体" w:cs="宋体" w:hint="eastAsia"/>
                <w:sz w:val="24"/>
              </w:rPr>
              <w:t>、</w:t>
            </w:r>
            <w:r w:rsidRPr="00D94E8C">
              <w:rPr>
                <w:rFonts w:ascii="宋体" w:eastAsia="宋体" w:hAnsi="宋体" w:cs="宋体" w:hint="eastAsia"/>
                <w:sz w:val="24"/>
              </w:rPr>
              <w:t>华西资管</w:t>
            </w:r>
            <w:r>
              <w:rPr>
                <w:rFonts w:ascii="宋体" w:eastAsia="宋体" w:hAnsi="宋体" w:cs="宋体" w:hint="eastAsia"/>
                <w:sz w:val="24"/>
              </w:rPr>
              <w:t>、</w:t>
            </w:r>
            <w:r w:rsidR="0050639A">
              <w:rPr>
                <w:rFonts w:ascii="宋体" w:eastAsia="宋体" w:hAnsi="宋体" w:cs="宋体" w:hint="eastAsia"/>
                <w:sz w:val="24"/>
              </w:rPr>
              <w:t>中信理财、华安证券、汉</w:t>
            </w:r>
            <w:r w:rsidR="00C46A52">
              <w:rPr>
                <w:rFonts w:ascii="宋体" w:eastAsia="宋体" w:hAnsi="宋体" w:cs="宋体" w:hint="eastAsia"/>
                <w:sz w:val="24"/>
              </w:rPr>
              <w:t>鸿</w:t>
            </w:r>
            <w:r w:rsidR="0050639A">
              <w:rPr>
                <w:rFonts w:ascii="宋体" w:eastAsia="宋体" w:hAnsi="宋体" w:cs="宋体" w:hint="eastAsia"/>
                <w:sz w:val="24"/>
              </w:rPr>
              <w:t>基金、</w:t>
            </w:r>
            <w:r w:rsidRPr="00D94E8C">
              <w:rPr>
                <w:rFonts w:ascii="宋体" w:eastAsia="宋体" w:hAnsi="宋体" w:cs="宋体" w:hint="eastAsia"/>
                <w:sz w:val="24"/>
              </w:rPr>
              <w:t>深圳海航兴科技有限公司</w:t>
            </w:r>
            <w:r w:rsidR="0083791E">
              <w:rPr>
                <w:rFonts w:ascii="宋体" w:eastAsia="宋体" w:hAnsi="宋体" w:cs="宋体" w:hint="eastAsia"/>
                <w:sz w:val="24"/>
              </w:rPr>
              <w:t>、</w:t>
            </w:r>
            <w:r w:rsidR="001C62FE">
              <w:rPr>
                <w:rFonts w:ascii="宋体" w:eastAsia="宋体" w:hAnsi="宋体" w:cs="宋体" w:hint="eastAsia"/>
                <w:sz w:val="24"/>
              </w:rPr>
              <w:t>汇添富基金、太平资产、</w:t>
            </w:r>
            <w:r w:rsidR="0083791E" w:rsidRPr="0083791E">
              <w:rPr>
                <w:rFonts w:ascii="宋体" w:eastAsia="宋体" w:hAnsi="宋体" w:cs="宋体" w:hint="eastAsia"/>
                <w:sz w:val="24"/>
              </w:rPr>
              <w:t>申万菱信</w:t>
            </w:r>
            <w:r w:rsidR="0083791E">
              <w:rPr>
                <w:rFonts w:ascii="宋体" w:eastAsia="宋体" w:hAnsi="宋体" w:cs="宋体" w:hint="eastAsia"/>
                <w:sz w:val="24"/>
              </w:rPr>
              <w:t>、</w:t>
            </w:r>
            <w:r w:rsidR="001C62FE">
              <w:rPr>
                <w:rFonts w:ascii="宋体" w:eastAsia="宋体" w:hAnsi="宋体" w:cs="宋体" w:hint="eastAsia"/>
                <w:sz w:val="24"/>
              </w:rPr>
              <w:t>中欧基金、银华基金</w:t>
            </w:r>
          </w:p>
        </w:tc>
      </w:tr>
      <w:tr w:rsidR="004D69C4" w14:paraId="2DAFE6A7" w14:textId="77777777">
        <w:trPr>
          <w:trHeight w:val="599"/>
        </w:trPr>
        <w:tc>
          <w:tcPr>
            <w:tcW w:w="2361" w:type="dxa"/>
            <w:vAlign w:val="center"/>
          </w:tcPr>
          <w:p w14:paraId="1CD258BE" w14:textId="77777777" w:rsidR="001D5CDA" w:rsidRDefault="00FA1EBC">
            <w:pPr>
              <w:spacing w:line="360" w:lineRule="auto"/>
              <w:rPr>
                <w:rFonts w:ascii="宋体" w:eastAsia="宋体" w:hAnsi="宋体" w:cs="宋体"/>
                <w:b/>
                <w:bCs/>
                <w:sz w:val="24"/>
              </w:rPr>
            </w:pPr>
            <w:r>
              <w:rPr>
                <w:rFonts w:ascii="宋体" w:eastAsia="宋体" w:hAnsi="宋体" w:cs="宋体" w:hint="eastAsia"/>
                <w:b/>
                <w:bCs/>
                <w:sz w:val="24"/>
              </w:rPr>
              <w:t>时间</w:t>
            </w:r>
          </w:p>
        </w:tc>
        <w:tc>
          <w:tcPr>
            <w:tcW w:w="6058" w:type="dxa"/>
            <w:vAlign w:val="center"/>
          </w:tcPr>
          <w:p w14:paraId="4CA33EE0" w14:textId="28CBCDC9" w:rsidR="001D5CDA" w:rsidRPr="003065CA" w:rsidRDefault="00FA1EBC" w:rsidP="007836EA">
            <w:pPr>
              <w:spacing w:line="360" w:lineRule="auto"/>
              <w:rPr>
                <w:rFonts w:ascii="宋体" w:eastAsia="宋体" w:hAnsi="宋体" w:cs="宋体"/>
                <w:sz w:val="24"/>
              </w:rPr>
            </w:pPr>
            <w:r>
              <w:rPr>
                <w:rFonts w:ascii="宋体" w:eastAsia="宋体" w:hAnsi="宋体" w:cs="宋体" w:hint="eastAsia"/>
                <w:sz w:val="24"/>
              </w:rPr>
              <w:t>202</w:t>
            </w:r>
            <w:r w:rsidR="00601F1A">
              <w:rPr>
                <w:rFonts w:ascii="宋体" w:eastAsia="宋体" w:hAnsi="宋体" w:cs="宋体"/>
                <w:sz w:val="24"/>
              </w:rPr>
              <w:t>6</w:t>
            </w:r>
            <w:r w:rsidR="00E31DB3">
              <w:rPr>
                <w:rFonts w:ascii="宋体" w:eastAsia="宋体" w:hAnsi="宋体" w:cs="宋体" w:hint="eastAsia"/>
                <w:sz w:val="24"/>
              </w:rPr>
              <w:t xml:space="preserve"> </w:t>
            </w:r>
            <w:r>
              <w:rPr>
                <w:rFonts w:ascii="宋体" w:eastAsia="宋体" w:hAnsi="宋体" w:cs="宋体" w:hint="eastAsia"/>
                <w:sz w:val="24"/>
              </w:rPr>
              <w:t>年</w:t>
            </w:r>
            <w:r w:rsidR="00601F1A">
              <w:rPr>
                <w:rFonts w:ascii="宋体" w:eastAsia="宋体" w:hAnsi="宋体" w:cs="宋体"/>
                <w:sz w:val="24"/>
              </w:rPr>
              <w:t>04</w:t>
            </w:r>
            <w:r>
              <w:rPr>
                <w:rFonts w:ascii="宋体" w:eastAsia="宋体" w:hAnsi="宋体" w:cs="宋体" w:hint="eastAsia"/>
                <w:sz w:val="24"/>
              </w:rPr>
              <w:t>月</w:t>
            </w:r>
            <w:r w:rsidR="004D69C4">
              <w:rPr>
                <w:rFonts w:ascii="宋体" w:eastAsia="宋体" w:hAnsi="宋体" w:cs="宋体" w:hint="eastAsia"/>
                <w:sz w:val="24"/>
              </w:rPr>
              <w:t>2</w:t>
            </w:r>
            <w:r w:rsidR="00FE575F">
              <w:rPr>
                <w:rFonts w:ascii="宋体" w:eastAsia="宋体" w:hAnsi="宋体" w:cs="宋体" w:hint="eastAsia"/>
                <w:sz w:val="24"/>
              </w:rPr>
              <w:t>8</w:t>
            </w:r>
            <w:r>
              <w:rPr>
                <w:rFonts w:ascii="宋体" w:eastAsia="宋体" w:hAnsi="宋体" w:cs="宋体" w:hint="eastAsia"/>
                <w:sz w:val="24"/>
              </w:rPr>
              <w:t>日</w:t>
            </w:r>
            <w:r w:rsidR="00C46A52">
              <w:rPr>
                <w:rFonts w:ascii="宋体" w:eastAsia="宋体" w:hAnsi="宋体" w:cs="宋体" w:hint="eastAsia"/>
                <w:sz w:val="24"/>
              </w:rPr>
              <w:t>-04月29日</w:t>
            </w:r>
          </w:p>
        </w:tc>
      </w:tr>
      <w:tr w:rsidR="004D69C4" w14:paraId="425CBD16" w14:textId="77777777">
        <w:trPr>
          <w:trHeight w:val="604"/>
        </w:trPr>
        <w:tc>
          <w:tcPr>
            <w:tcW w:w="2361" w:type="dxa"/>
            <w:vAlign w:val="center"/>
          </w:tcPr>
          <w:p w14:paraId="50304EE3" w14:textId="77777777" w:rsidR="001D5CDA" w:rsidRDefault="003A39C0">
            <w:pPr>
              <w:spacing w:line="360" w:lineRule="auto"/>
              <w:rPr>
                <w:rFonts w:ascii="宋体" w:eastAsia="宋体" w:hAnsi="宋体" w:cs="宋体"/>
                <w:b/>
                <w:bCs/>
                <w:sz w:val="24"/>
              </w:rPr>
            </w:pPr>
            <w:r>
              <w:rPr>
                <w:rFonts w:ascii="宋体" w:eastAsia="宋体" w:hAnsi="宋体" w:cs="宋体" w:hint="eastAsia"/>
                <w:b/>
                <w:bCs/>
                <w:sz w:val="24"/>
              </w:rPr>
              <w:t>地点</w:t>
            </w:r>
          </w:p>
        </w:tc>
        <w:tc>
          <w:tcPr>
            <w:tcW w:w="6058" w:type="dxa"/>
            <w:vAlign w:val="center"/>
          </w:tcPr>
          <w:p w14:paraId="684F3979" w14:textId="125FD1B0" w:rsidR="001D5CDA" w:rsidRDefault="001C62FE" w:rsidP="003065CA">
            <w:pPr>
              <w:wordWrap w:val="0"/>
              <w:spacing w:line="360" w:lineRule="auto"/>
              <w:rPr>
                <w:rFonts w:ascii="宋体" w:eastAsia="宋体" w:hAnsi="宋体" w:cs="宋体"/>
                <w:sz w:val="24"/>
              </w:rPr>
            </w:pPr>
            <w:r>
              <w:rPr>
                <w:rFonts w:ascii="宋体" w:eastAsia="宋体" w:hAnsi="宋体" w:cs="宋体" w:hint="eastAsia"/>
                <w:sz w:val="24"/>
              </w:rPr>
              <w:t>上海浦东 香格里拉大酒店</w:t>
            </w:r>
          </w:p>
        </w:tc>
      </w:tr>
      <w:tr w:rsidR="004D69C4" w14:paraId="77AF91A1" w14:textId="77777777" w:rsidTr="007250C4">
        <w:trPr>
          <w:trHeight w:val="603"/>
        </w:trPr>
        <w:tc>
          <w:tcPr>
            <w:tcW w:w="2361" w:type="dxa"/>
            <w:vAlign w:val="center"/>
          </w:tcPr>
          <w:p w14:paraId="7ACEBE92" w14:textId="77777777" w:rsidR="001D5CDA" w:rsidRDefault="00FA1EBC">
            <w:pPr>
              <w:spacing w:line="360" w:lineRule="auto"/>
              <w:rPr>
                <w:rFonts w:ascii="宋体" w:eastAsia="宋体" w:hAnsi="宋体" w:cs="宋体"/>
                <w:b/>
                <w:bCs/>
                <w:sz w:val="24"/>
              </w:rPr>
            </w:pPr>
            <w:r>
              <w:rPr>
                <w:rFonts w:ascii="宋体" w:eastAsia="宋体" w:hAnsi="宋体" w:cs="宋体" w:hint="eastAsia"/>
                <w:b/>
                <w:bCs/>
                <w:sz w:val="24"/>
              </w:rPr>
              <w:t>上市公司接待人员</w:t>
            </w:r>
          </w:p>
        </w:tc>
        <w:tc>
          <w:tcPr>
            <w:tcW w:w="6058" w:type="dxa"/>
            <w:vAlign w:val="center"/>
          </w:tcPr>
          <w:p w14:paraId="712370E9" w14:textId="6DF4753A" w:rsidR="003479D7" w:rsidRPr="00784D9E" w:rsidRDefault="00784D9E" w:rsidP="003065CA">
            <w:pPr>
              <w:spacing w:line="360" w:lineRule="auto"/>
              <w:rPr>
                <w:rFonts w:ascii="宋体" w:eastAsia="宋体" w:hAnsi="宋体" w:cs="宋体"/>
                <w:sz w:val="24"/>
              </w:rPr>
            </w:pPr>
            <w:r>
              <w:rPr>
                <w:rFonts w:ascii="宋体" w:eastAsia="宋体" w:hAnsi="宋体" w:cs="宋体" w:hint="eastAsia"/>
                <w:sz w:val="24"/>
              </w:rPr>
              <w:t>副总经理、董事会秘书</w:t>
            </w:r>
            <w:r w:rsidR="00E334B6">
              <w:rPr>
                <w:rFonts w:ascii="宋体" w:eastAsia="宋体" w:hAnsi="宋体" w:cs="宋体" w:hint="eastAsia"/>
                <w:sz w:val="24"/>
              </w:rPr>
              <w:t>：</w:t>
            </w:r>
            <w:r>
              <w:rPr>
                <w:rFonts w:ascii="宋体" w:eastAsia="宋体" w:hAnsi="宋体" w:cs="宋体" w:hint="eastAsia"/>
                <w:sz w:val="24"/>
              </w:rPr>
              <w:t>许晖</w:t>
            </w:r>
          </w:p>
        </w:tc>
      </w:tr>
      <w:tr w:rsidR="004D69C4" w14:paraId="2813E315" w14:textId="77777777">
        <w:trPr>
          <w:trHeight w:val="1884"/>
        </w:trPr>
        <w:tc>
          <w:tcPr>
            <w:tcW w:w="2361" w:type="dxa"/>
            <w:vAlign w:val="center"/>
          </w:tcPr>
          <w:p w14:paraId="2572B86A" w14:textId="77777777" w:rsidR="001D5CDA" w:rsidRDefault="00FA1EBC">
            <w:pPr>
              <w:spacing w:line="360" w:lineRule="auto"/>
              <w:rPr>
                <w:rFonts w:ascii="宋体" w:eastAsia="宋体" w:hAnsi="宋体" w:cs="宋体"/>
                <w:b/>
                <w:bCs/>
                <w:sz w:val="24"/>
              </w:rPr>
            </w:pPr>
            <w:r>
              <w:rPr>
                <w:rFonts w:ascii="宋体" w:eastAsia="宋体" w:hAnsi="宋体" w:cs="宋体"/>
                <w:b/>
                <w:bCs/>
                <w:sz w:val="24"/>
              </w:rPr>
              <w:t>投资者关系活动</w:t>
            </w:r>
          </w:p>
          <w:p w14:paraId="3D1975C7" w14:textId="77777777" w:rsidR="001D5CDA" w:rsidRDefault="00FA1EBC">
            <w:pPr>
              <w:spacing w:line="360" w:lineRule="auto"/>
              <w:rPr>
                <w:rFonts w:ascii="宋体" w:eastAsia="宋体" w:hAnsi="宋体" w:cs="宋体"/>
                <w:sz w:val="24"/>
              </w:rPr>
            </w:pPr>
            <w:r>
              <w:rPr>
                <w:rFonts w:ascii="宋体" w:eastAsia="宋体" w:hAnsi="宋体" w:cs="宋体"/>
                <w:b/>
                <w:bCs/>
                <w:sz w:val="24"/>
              </w:rPr>
              <w:t>主要内容</w:t>
            </w:r>
          </w:p>
        </w:tc>
        <w:tc>
          <w:tcPr>
            <w:tcW w:w="6058" w:type="dxa"/>
            <w:vAlign w:val="center"/>
          </w:tcPr>
          <w:p w14:paraId="5C9DF85C" w14:textId="43D80F62" w:rsidR="00BA1E03" w:rsidRPr="00784D9E" w:rsidRDefault="00FE575F" w:rsidP="00BA1E03">
            <w:pPr>
              <w:spacing w:line="360" w:lineRule="auto"/>
              <w:ind w:firstLine="482"/>
              <w:rPr>
                <w:rFonts w:ascii="宋体" w:eastAsia="宋体" w:hAnsi="宋体" w:cs="宋体"/>
                <w:b/>
                <w:bCs/>
                <w:sz w:val="24"/>
              </w:rPr>
            </w:pPr>
            <w:r w:rsidRPr="00784D9E">
              <w:rPr>
                <w:rFonts w:ascii="宋体" w:eastAsia="宋体" w:hAnsi="宋体" w:cs="宋体" w:hint="eastAsia"/>
                <w:b/>
                <w:bCs/>
                <w:sz w:val="24"/>
              </w:rPr>
              <w:t>一</w:t>
            </w:r>
            <w:r w:rsidR="00BA1E03" w:rsidRPr="00784D9E">
              <w:rPr>
                <w:rFonts w:ascii="宋体" w:eastAsia="宋体" w:hAnsi="宋体" w:cs="宋体" w:hint="eastAsia"/>
                <w:b/>
                <w:bCs/>
                <w:sz w:val="24"/>
              </w:rPr>
              <w:t>、问答及交流</w:t>
            </w:r>
          </w:p>
          <w:p w14:paraId="76E56AC7" w14:textId="3D36B957" w:rsidR="00784D9E" w:rsidRPr="00784D9E" w:rsidRDefault="003065CA" w:rsidP="00784D9E">
            <w:pPr>
              <w:spacing w:line="360" w:lineRule="auto"/>
              <w:ind w:firstLineChars="200" w:firstLine="482"/>
              <w:rPr>
                <w:rFonts w:ascii="宋体" w:eastAsia="宋体" w:hAnsi="宋体" w:cs="宋体"/>
                <w:b/>
                <w:bCs/>
                <w:sz w:val="24"/>
              </w:rPr>
            </w:pPr>
            <w:r w:rsidRPr="00784D9E">
              <w:rPr>
                <w:rFonts w:ascii="宋体" w:eastAsia="宋体" w:hAnsi="宋体" w:cs="宋体"/>
                <w:b/>
                <w:bCs/>
                <w:sz w:val="24"/>
              </w:rPr>
              <w:t>1.</w:t>
            </w:r>
            <w:r w:rsidR="00784D9E" w:rsidRPr="00784D9E">
              <w:rPr>
                <w:rFonts w:ascii="宋体" w:eastAsia="宋体" w:hAnsi="宋体" w:cs="宋体" w:hint="eastAsia"/>
                <w:b/>
                <w:bCs/>
                <w:sz w:val="24"/>
              </w:rPr>
              <w:t>公司三氟化氮产品在不同应用领域的市场竞争态势有何差异？</w:t>
            </w:r>
          </w:p>
          <w:p w14:paraId="193DEF2D" w14:textId="77777777" w:rsidR="00784D9E" w:rsidRPr="00784D9E" w:rsidRDefault="00784D9E" w:rsidP="00784D9E">
            <w:pPr>
              <w:spacing w:line="360" w:lineRule="auto"/>
              <w:ind w:firstLineChars="200" w:firstLine="480"/>
              <w:rPr>
                <w:rFonts w:ascii="宋体" w:eastAsia="宋体" w:hAnsi="宋体" w:cs="宋体"/>
                <w:sz w:val="24"/>
              </w:rPr>
            </w:pPr>
            <w:r w:rsidRPr="00784D9E">
              <w:rPr>
                <w:rFonts w:ascii="宋体" w:eastAsia="宋体" w:hAnsi="宋体" w:cs="宋体" w:hint="eastAsia"/>
                <w:sz w:val="24"/>
              </w:rPr>
              <w:t>答：三氟化氮产品在不同下游应用领域呈现结构性分化特征。在光伏、液晶面板等应用领域，市场竞争相对激烈；在集成电路先进制程领域，客户对产品纯度、品质一致性及供应链安全可靠性要求更为严格，具备核心技术和稳定供应能力的企业仍具有相对竞争优势。公司三氟化氮产品均为电子级，目前总产能18500吨/年，</w:t>
            </w:r>
            <w:r w:rsidRPr="00784D9E">
              <w:rPr>
                <w:rFonts w:ascii="宋体" w:eastAsia="宋体" w:hAnsi="宋体" w:cs="宋体" w:hint="eastAsia"/>
                <w:sz w:val="24"/>
              </w:rPr>
              <w:lastRenderedPageBreak/>
              <w:t>其中内蒙子公司7500吨/年产能已于2025年5月取得安全生产许可证并投入运营。</w:t>
            </w:r>
          </w:p>
          <w:p w14:paraId="1F1930D8" w14:textId="4E6E29DA" w:rsidR="00E05429" w:rsidRPr="00E05429" w:rsidRDefault="0081221E" w:rsidP="00E05429">
            <w:pPr>
              <w:spacing w:line="360" w:lineRule="auto"/>
              <w:ind w:firstLineChars="200" w:firstLine="482"/>
              <w:rPr>
                <w:rFonts w:ascii="宋体" w:eastAsia="宋体" w:hAnsi="宋体" w:cs="宋体"/>
                <w:b/>
                <w:bCs/>
                <w:sz w:val="24"/>
              </w:rPr>
            </w:pPr>
            <w:r w:rsidRPr="00784D9E">
              <w:rPr>
                <w:rFonts w:ascii="宋体" w:eastAsia="宋体" w:hAnsi="宋体" w:cs="宋体" w:hint="eastAsia"/>
                <w:b/>
                <w:bCs/>
                <w:sz w:val="24"/>
              </w:rPr>
              <w:t>2.</w:t>
            </w:r>
            <w:r w:rsidR="00E05429" w:rsidRPr="00E05429">
              <w:rPr>
                <w:rFonts w:ascii="宋体" w:eastAsia="宋体" w:hAnsi="宋体" w:cs="宋体" w:hint="eastAsia"/>
                <w:b/>
                <w:bCs/>
                <w:sz w:val="24"/>
              </w:rPr>
              <w:t>公司六氟化钨产品在3D NAND先进制程中的适用性如何？层数提升对产品需求有何影响？</w:t>
            </w:r>
          </w:p>
          <w:p w14:paraId="7F35C81B" w14:textId="62F15A60" w:rsidR="00E05429" w:rsidRPr="00E05429" w:rsidRDefault="00E05429" w:rsidP="00E05429">
            <w:pPr>
              <w:spacing w:line="360" w:lineRule="auto"/>
              <w:ind w:firstLineChars="200" w:firstLine="480"/>
              <w:rPr>
                <w:rFonts w:ascii="宋体" w:eastAsia="宋体" w:hAnsi="宋体" w:cs="宋体"/>
                <w:sz w:val="24"/>
              </w:rPr>
            </w:pPr>
            <w:r w:rsidRPr="00E05429">
              <w:rPr>
                <w:rFonts w:ascii="宋体" w:eastAsia="宋体" w:hAnsi="宋体" w:cs="宋体" w:hint="eastAsia"/>
                <w:sz w:val="24"/>
              </w:rPr>
              <w:t>答：公司六氟化钨产品纯度均为6N级，关键杂质指标如金属离子总含量等控制已达到半导体级要求，</w:t>
            </w:r>
            <w:r w:rsidR="00C46A52">
              <w:rPr>
                <w:rFonts w:ascii="宋体" w:eastAsia="宋体" w:hAnsi="宋体" w:cs="宋体" w:hint="eastAsia"/>
                <w:sz w:val="24"/>
              </w:rPr>
              <w:t>目前</w:t>
            </w:r>
            <w:r w:rsidRPr="00E05429">
              <w:rPr>
                <w:rFonts w:ascii="宋体" w:eastAsia="宋体" w:hAnsi="宋体" w:cs="宋体" w:hint="eastAsia"/>
                <w:sz w:val="24"/>
              </w:rPr>
              <w:t>可满足</w:t>
            </w:r>
            <w:r w:rsidR="00C46A52">
              <w:rPr>
                <w:rFonts w:ascii="宋体" w:eastAsia="宋体" w:hAnsi="宋体" w:cs="宋体" w:hint="eastAsia"/>
                <w:sz w:val="24"/>
              </w:rPr>
              <w:t>先进存储芯片</w:t>
            </w:r>
            <w:r w:rsidRPr="00E05429">
              <w:rPr>
                <w:rFonts w:ascii="宋体" w:eastAsia="宋体" w:hAnsi="宋体" w:cs="宋体" w:hint="eastAsia"/>
                <w:sz w:val="24"/>
              </w:rPr>
              <w:t>及</w:t>
            </w:r>
            <w:r w:rsidR="00CC5C1E">
              <w:rPr>
                <w:rFonts w:ascii="宋体" w:eastAsia="宋体" w:hAnsi="宋体" w:cs="宋体" w:hint="eastAsia"/>
                <w:sz w:val="24"/>
              </w:rPr>
              <w:t>先进</w:t>
            </w:r>
            <w:r w:rsidRPr="00E05429">
              <w:rPr>
                <w:rFonts w:ascii="宋体" w:eastAsia="宋体" w:hAnsi="宋体" w:cs="宋体" w:hint="eastAsia"/>
                <w:sz w:val="24"/>
              </w:rPr>
              <w:t>逻辑芯片制程需求。从技术原理看，六氟化钨在薄膜沉积工艺中起到连接电路的关键作用，其消耗量与堆叠层数呈</w:t>
            </w:r>
            <w:r w:rsidR="0083791E">
              <w:rPr>
                <w:rFonts w:ascii="宋体" w:eastAsia="宋体" w:hAnsi="宋体" w:cs="宋体" w:hint="eastAsia"/>
                <w:sz w:val="24"/>
              </w:rPr>
              <w:t>直接正相关</w:t>
            </w:r>
            <w:r w:rsidRPr="00E05429">
              <w:rPr>
                <w:rFonts w:ascii="宋体" w:eastAsia="宋体" w:hAnsi="宋体" w:cs="宋体" w:hint="eastAsia"/>
                <w:sz w:val="24"/>
              </w:rPr>
              <w:t>，层数越高，单颗芯片对六氟化钨的用量越大。</w:t>
            </w:r>
          </w:p>
          <w:p w14:paraId="4D4ABF06" w14:textId="594BDD1B" w:rsidR="00E05429" w:rsidRPr="00E05429" w:rsidRDefault="00E05429" w:rsidP="00E05429">
            <w:pPr>
              <w:spacing w:line="360" w:lineRule="auto"/>
              <w:ind w:firstLineChars="200" w:firstLine="482"/>
              <w:rPr>
                <w:rFonts w:ascii="宋体" w:eastAsia="宋体" w:hAnsi="宋体" w:cs="宋体"/>
                <w:b/>
                <w:bCs/>
                <w:sz w:val="24"/>
              </w:rPr>
            </w:pPr>
            <w:r w:rsidRPr="00E05429">
              <w:rPr>
                <w:rFonts w:ascii="宋体" w:eastAsia="宋体" w:hAnsi="宋体" w:cs="宋体" w:hint="eastAsia"/>
                <w:b/>
                <w:bCs/>
                <w:sz w:val="24"/>
              </w:rPr>
              <w:t>3.六氟化钨的下一代技术方向是否为7N？公司对此有何判断？</w:t>
            </w:r>
          </w:p>
          <w:p w14:paraId="30DBA284" w14:textId="0A5A5EA7" w:rsidR="00784D9E" w:rsidRPr="00E05429" w:rsidRDefault="00E05429" w:rsidP="00E05429">
            <w:pPr>
              <w:spacing w:line="360" w:lineRule="auto"/>
              <w:ind w:firstLineChars="200" w:firstLine="480"/>
              <w:rPr>
                <w:rFonts w:ascii="宋体" w:eastAsia="宋体" w:hAnsi="宋体" w:cs="宋体"/>
                <w:sz w:val="24"/>
              </w:rPr>
            </w:pPr>
            <w:r w:rsidRPr="00E05429">
              <w:rPr>
                <w:rFonts w:ascii="宋体" w:eastAsia="宋体" w:hAnsi="宋体" w:cs="宋体" w:hint="eastAsia"/>
                <w:sz w:val="24"/>
              </w:rPr>
              <w:t>答：根据公司技术判断，6N级六氟化钨已可适配当前所有先进制程需求，下一代方向并非在原有产品上继续提升纯度至7N，而是全新的替代产品路线。</w:t>
            </w:r>
            <w:r w:rsidR="00C46A52">
              <w:rPr>
                <w:rFonts w:ascii="宋体" w:eastAsia="宋体" w:hAnsi="宋体" w:cs="宋体" w:hint="eastAsia"/>
                <w:sz w:val="24"/>
              </w:rPr>
              <w:t>针对下一代方向，公司已进行相关的技术储备</w:t>
            </w:r>
            <w:r w:rsidRPr="00E05429">
              <w:rPr>
                <w:rFonts w:ascii="宋体" w:eastAsia="宋体" w:hAnsi="宋体" w:cs="宋体" w:hint="eastAsia"/>
                <w:sz w:val="24"/>
              </w:rPr>
              <w:t>。</w:t>
            </w:r>
          </w:p>
          <w:p w14:paraId="3A8A9BBC" w14:textId="39DBF2F4" w:rsidR="00784D9E" w:rsidRPr="00784D9E" w:rsidRDefault="00E05429" w:rsidP="00784D9E">
            <w:pPr>
              <w:spacing w:line="360" w:lineRule="auto"/>
              <w:ind w:firstLineChars="200" w:firstLine="482"/>
              <w:rPr>
                <w:rFonts w:ascii="宋体" w:eastAsia="宋体" w:hAnsi="宋体" w:cs="宋体"/>
                <w:b/>
                <w:bCs/>
                <w:sz w:val="24"/>
              </w:rPr>
            </w:pPr>
            <w:r>
              <w:rPr>
                <w:rFonts w:ascii="宋体" w:eastAsia="宋体" w:hAnsi="宋体" w:cs="宋体" w:hint="eastAsia"/>
                <w:b/>
                <w:bCs/>
                <w:sz w:val="24"/>
              </w:rPr>
              <w:t>4</w:t>
            </w:r>
            <w:r w:rsidR="0081221E" w:rsidRPr="00784D9E">
              <w:rPr>
                <w:rFonts w:ascii="宋体" w:eastAsia="宋体" w:hAnsi="宋体" w:cs="宋体" w:hint="eastAsia"/>
                <w:b/>
                <w:bCs/>
                <w:sz w:val="24"/>
              </w:rPr>
              <w:t>.</w:t>
            </w:r>
            <w:r w:rsidR="00784D9E" w:rsidRPr="00784D9E">
              <w:rPr>
                <w:rFonts w:ascii="宋体" w:eastAsia="宋体" w:hAnsi="宋体" w:cs="宋体" w:hint="eastAsia"/>
                <w:b/>
                <w:bCs/>
                <w:sz w:val="24"/>
              </w:rPr>
              <w:t>公司</w:t>
            </w:r>
            <w:r w:rsidR="007250C4">
              <w:rPr>
                <w:rFonts w:ascii="宋体" w:eastAsia="宋体" w:hAnsi="宋体" w:cs="宋体" w:hint="eastAsia"/>
                <w:b/>
                <w:bCs/>
                <w:sz w:val="24"/>
              </w:rPr>
              <w:t>六氟化钨</w:t>
            </w:r>
            <w:r w:rsidR="00784D9E" w:rsidRPr="00784D9E">
              <w:rPr>
                <w:rFonts w:ascii="宋体" w:eastAsia="宋体" w:hAnsi="宋体" w:cs="宋体" w:hint="eastAsia"/>
                <w:b/>
                <w:bCs/>
                <w:sz w:val="24"/>
              </w:rPr>
              <w:t>产品定价机制从年度转向</w:t>
            </w:r>
            <w:r w:rsidR="00784D9E">
              <w:rPr>
                <w:rFonts w:ascii="宋体" w:eastAsia="宋体" w:hAnsi="宋体" w:cs="宋体" w:hint="eastAsia"/>
                <w:b/>
                <w:bCs/>
                <w:sz w:val="24"/>
              </w:rPr>
              <w:t>更短周期的</w:t>
            </w:r>
            <w:r w:rsidR="00784D9E" w:rsidRPr="00784D9E">
              <w:rPr>
                <w:rFonts w:ascii="宋体" w:eastAsia="宋体" w:hAnsi="宋体" w:cs="宋体" w:hint="eastAsia"/>
                <w:b/>
                <w:bCs/>
                <w:sz w:val="24"/>
              </w:rPr>
              <w:t>调整，其背后的主要考量是什么？</w:t>
            </w:r>
          </w:p>
          <w:p w14:paraId="7E0CB932" w14:textId="7BB26AEF" w:rsidR="00784D9E" w:rsidRDefault="00784D9E" w:rsidP="00784D9E">
            <w:pPr>
              <w:spacing w:line="360" w:lineRule="auto"/>
              <w:ind w:firstLineChars="200" w:firstLine="480"/>
              <w:rPr>
                <w:rFonts w:ascii="宋体" w:eastAsia="宋体" w:hAnsi="宋体" w:cs="宋体"/>
                <w:sz w:val="24"/>
              </w:rPr>
            </w:pPr>
            <w:r w:rsidRPr="00784D9E">
              <w:rPr>
                <w:rFonts w:ascii="宋体" w:eastAsia="宋体" w:hAnsi="宋体" w:cs="宋体" w:hint="eastAsia"/>
                <w:sz w:val="24"/>
              </w:rPr>
              <w:t>答：公司</w:t>
            </w:r>
            <w:r w:rsidR="007250C4">
              <w:rPr>
                <w:rFonts w:ascii="宋体" w:eastAsia="宋体" w:hAnsi="宋体" w:cs="宋体" w:hint="eastAsia"/>
                <w:sz w:val="24"/>
              </w:rPr>
              <w:t>六氟化钨产品</w:t>
            </w:r>
            <w:r w:rsidRPr="00784D9E">
              <w:rPr>
                <w:rFonts w:ascii="宋体" w:eastAsia="宋体" w:hAnsi="宋体" w:cs="宋体" w:hint="eastAsia"/>
                <w:sz w:val="24"/>
              </w:rPr>
              <w:t>调价机制的优化主要基于以下考虑：上游原材料价格波动幅度较大，原有年度调价周期难以充分、及时反映成本变化。公司正推动将调价周期逐步缩短，由年度向季度过渡，并视情况进一步向月度演进，目的是使产品价格更真实地反映当期供需关系及成本变动，确保经营成果在财务报表中得以更准确的体现。公司</w:t>
            </w:r>
            <w:r>
              <w:rPr>
                <w:rFonts w:ascii="宋体" w:eastAsia="宋体" w:hAnsi="宋体" w:cs="宋体" w:hint="eastAsia"/>
                <w:sz w:val="24"/>
              </w:rPr>
              <w:t>将</w:t>
            </w:r>
            <w:r w:rsidRPr="00784D9E">
              <w:rPr>
                <w:rFonts w:ascii="宋体" w:eastAsia="宋体" w:hAnsi="宋体" w:cs="宋体" w:hint="eastAsia"/>
                <w:sz w:val="24"/>
              </w:rPr>
              <w:t>始终秉持契约精神，在协议约定框架内与客户协商推进价格调整。</w:t>
            </w:r>
          </w:p>
          <w:p w14:paraId="1454AE54" w14:textId="3910631C" w:rsidR="00E05429" w:rsidRPr="00E05429" w:rsidRDefault="00E05429" w:rsidP="00E05429">
            <w:pPr>
              <w:spacing w:line="360" w:lineRule="auto"/>
              <w:ind w:firstLineChars="200" w:firstLine="482"/>
              <w:rPr>
                <w:rFonts w:ascii="宋体" w:eastAsia="宋体" w:hAnsi="宋体" w:cs="宋体"/>
                <w:b/>
                <w:bCs/>
                <w:sz w:val="24"/>
              </w:rPr>
            </w:pPr>
            <w:r>
              <w:rPr>
                <w:rFonts w:ascii="宋体" w:eastAsia="宋体" w:hAnsi="宋体" w:cs="宋体" w:hint="eastAsia"/>
                <w:b/>
                <w:bCs/>
                <w:sz w:val="24"/>
              </w:rPr>
              <w:t>5.</w:t>
            </w:r>
            <w:r w:rsidRPr="00E05429">
              <w:rPr>
                <w:rFonts w:ascii="宋体" w:eastAsia="宋体" w:hAnsi="宋体" w:cs="宋体" w:hint="eastAsia"/>
                <w:b/>
                <w:bCs/>
                <w:sz w:val="24"/>
              </w:rPr>
              <w:t>公司境内外市场的定价差异及原因是什么？</w:t>
            </w:r>
          </w:p>
          <w:p w14:paraId="3B5A6301" w14:textId="6DA36890" w:rsidR="00120ED8" w:rsidRDefault="00E05429" w:rsidP="00E05429">
            <w:pPr>
              <w:spacing w:line="360" w:lineRule="auto"/>
              <w:ind w:firstLineChars="200" w:firstLine="480"/>
              <w:rPr>
                <w:rFonts w:ascii="宋体" w:eastAsia="宋体" w:hAnsi="宋体" w:cs="宋体"/>
                <w:sz w:val="24"/>
              </w:rPr>
            </w:pPr>
            <w:r w:rsidRPr="00E05429">
              <w:rPr>
                <w:rFonts w:ascii="宋体" w:eastAsia="宋体" w:hAnsi="宋体" w:cs="宋体" w:hint="eastAsia"/>
                <w:sz w:val="24"/>
              </w:rPr>
              <w:t>答：根据2025年年度报告，公司境外销售收入占比约25%。从整体来看，境外销售价格及毛利率相对优于</w:t>
            </w:r>
            <w:r w:rsidRPr="00E05429">
              <w:rPr>
                <w:rFonts w:ascii="宋体" w:eastAsia="宋体" w:hAnsi="宋体" w:cs="宋体" w:hint="eastAsia"/>
                <w:sz w:val="24"/>
              </w:rPr>
              <w:lastRenderedPageBreak/>
              <w:t>境内。该差异主要源于两方面：一是境外客户尤其是先进制程领域客户对产品品质及供应稳定性要求更高，商业谈判环境更为市场化；二是国内市场存在一定程度的价格竞争，尤其在</w:t>
            </w:r>
            <w:r w:rsidR="00C46A52">
              <w:rPr>
                <w:rFonts w:ascii="宋体" w:eastAsia="宋体" w:hAnsi="宋体" w:cs="宋体" w:hint="eastAsia"/>
                <w:sz w:val="24"/>
              </w:rPr>
              <w:t>液晶面板</w:t>
            </w:r>
            <w:r w:rsidRPr="00E05429">
              <w:rPr>
                <w:rFonts w:ascii="宋体" w:eastAsia="宋体" w:hAnsi="宋体" w:cs="宋体" w:hint="eastAsia"/>
                <w:sz w:val="24"/>
              </w:rPr>
              <w:t>应用领域更为明显。</w:t>
            </w:r>
          </w:p>
          <w:p w14:paraId="01A65029" w14:textId="18355032" w:rsidR="00E05429" w:rsidRPr="00E05429" w:rsidRDefault="00E05429" w:rsidP="00E05429">
            <w:pPr>
              <w:spacing w:line="360" w:lineRule="auto"/>
              <w:ind w:firstLineChars="200" w:firstLine="482"/>
              <w:rPr>
                <w:rFonts w:ascii="宋体" w:eastAsia="宋体" w:hAnsi="宋体" w:cs="宋体"/>
                <w:b/>
                <w:bCs/>
                <w:sz w:val="24"/>
              </w:rPr>
            </w:pPr>
            <w:r w:rsidRPr="00E05429">
              <w:rPr>
                <w:rFonts w:ascii="宋体" w:eastAsia="宋体" w:hAnsi="宋体" w:cs="宋体" w:hint="eastAsia"/>
                <w:b/>
                <w:bCs/>
                <w:sz w:val="24"/>
              </w:rPr>
              <w:t>6.公司如何看待集成电路产业的发展前景及自身在其中的角色？</w:t>
            </w:r>
          </w:p>
          <w:p w14:paraId="3018B168" w14:textId="77777777" w:rsidR="00E05429" w:rsidRDefault="00E05429" w:rsidP="00E05429">
            <w:pPr>
              <w:spacing w:line="360" w:lineRule="auto"/>
              <w:ind w:firstLineChars="200" w:firstLine="480"/>
              <w:rPr>
                <w:rFonts w:ascii="宋体" w:eastAsia="宋体" w:hAnsi="宋体" w:cs="宋体"/>
                <w:sz w:val="24"/>
              </w:rPr>
            </w:pPr>
            <w:r w:rsidRPr="00E05429">
              <w:rPr>
                <w:rFonts w:ascii="宋体" w:eastAsia="宋体" w:hAnsi="宋体" w:cs="宋体" w:hint="eastAsia"/>
                <w:sz w:val="24"/>
              </w:rPr>
              <w:t>答：集成电路产业是国家战略性产业，电子特气作为关键支撑材料，其市场需求与下游半导体产业景气度密切相关。当前中国在成熟制程领域已具备全球领先地位，先进制程正在加速突破。随着AI等新兴技术驱动，先进制程与存储芯片对电子特气的单位耗用量呈增长趋势。公司作为中国船舶集团旗下企业，将持续加大研发投入，丰富产品矩阵，积极参与全球市场竞争，服务于产业链供应链安全稳定。</w:t>
            </w:r>
          </w:p>
          <w:p w14:paraId="4936EF8A" w14:textId="77777777" w:rsidR="00B25BC6" w:rsidRPr="00B25BC6" w:rsidRDefault="00B25BC6" w:rsidP="00B25BC6">
            <w:pPr>
              <w:spacing w:line="360" w:lineRule="auto"/>
              <w:ind w:firstLineChars="200" w:firstLine="482"/>
              <w:rPr>
                <w:rFonts w:ascii="宋体" w:eastAsia="宋体" w:hAnsi="宋体" w:cs="宋体"/>
                <w:b/>
                <w:bCs/>
                <w:sz w:val="24"/>
              </w:rPr>
            </w:pPr>
            <w:r w:rsidRPr="00B25BC6">
              <w:rPr>
                <w:rFonts w:ascii="宋体" w:eastAsia="宋体" w:hAnsi="宋体" w:cs="宋体" w:hint="eastAsia"/>
                <w:b/>
                <w:bCs/>
                <w:sz w:val="24"/>
              </w:rPr>
              <w:t>7. 公司三氟甲磺酸系列产品未来发展态势如何？</w:t>
            </w:r>
          </w:p>
          <w:p w14:paraId="0F0E0649" w14:textId="2D893F90" w:rsidR="00B25BC6" w:rsidRPr="00120ED8" w:rsidRDefault="00B25BC6" w:rsidP="00E05429">
            <w:pPr>
              <w:spacing w:line="360" w:lineRule="auto"/>
              <w:ind w:firstLineChars="200" w:firstLine="480"/>
              <w:rPr>
                <w:rFonts w:ascii="宋体" w:eastAsia="宋体" w:hAnsi="宋体" w:cs="宋体" w:hint="eastAsia"/>
                <w:sz w:val="24"/>
              </w:rPr>
            </w:pPr>
            <w:r>
              <w:rPr>
                <w:rFonts w:ascii="宋体" w:eastAsia="宋体" w:hAnsi="宋体" w:cs="宋体" w:hint="eastAsia"/>
                <w:sz w:val="24"/>
              </w:rPr>
              <w:t>答：</w:t>
            </w:r>
            <w:r w:rsidRPr="00B25BC6">
              <w:rPr>
                <w:rFonts w:ascii="宋体" w:eastAsia="宋体" w:hAnsi="宋体" w:cs="宋体"/>
                <w:sz w:val="24"/>
              </w:rPr>
              <w:t>从近期经营表现来看，公司三氟甲磺酸系列产品保持着良好的发展势头</w:t>
            </w:r>
            <w:r w:rsidR="00A557CE">
              <w:rPr>
                <w:rFonts w:ascii="宋体" w:eastAsia="宋体" w:hAnsi="宋体" w:cs="宋体" w:hint="eastAsia"/>
                <w:sz w:val="24"/>
              </w:rPr>
              <w:t>，未来</w:t>
            </w:r>
            <w:r w:rsidR="00A557CE" w:rsidRPr="00A557CE">
              <w:rPr>
                <w:rFonts w:ascii="宋体" w:eastAsia="宋体" w:hAnsi="宋体" w:cs="宋体"/>
                <w:sz w:val="24"/>
              </w:rPr>
              <w:t>有望成长为公司新的业绩增长极。</w:t>
            </w:r>
          </w:p>
        </w:tc>
      </w:tr>
      <w:tr w:rsidR="004D69C4" w14:paraId="13C3FBD0" w14:textId="77777777">
        <w:trPr>
          <w:trHeight w:val="1100"/>
        </w:trPr>
        <w:tc>
          <w:tcPr>
            <w:tcW w:w="2361" w:type="dxa"/>
            <w:vAlign w:val="center"/>
          </w:tcPr>
          <w:p w14:paraId="1DFB57D3" w14:textId="77777777" w:rsidR="001D5CDA" w:rsidRDefault="00FA1EBC" w:rsidP="00494DCA">
            <w:pPr>
              <w:spacing w:line="360" w:lineRule="auto"/>
              <w:rPr>
                <w:rFonts w:ascii="宋体" w:eastAsia="宋体" w:hAnsi="宋体" w:cs="宋体"/>
                <w:sz w:val="24"/>
              </w:rPr>
            </w:pPr>
            <w:r>
              <w:rPr>
                <w:rFonts w:ascii="宋体" w:eastAsia="宋体" w:hAnsi="宋体" w:cs="宋体" w:hint="eastAsia"/>
                <w:b/>
                <w:bCs/>
                <w:sz w:val="24"/>
              </w:rPr>
              <w:lastRenderedPageBreak/>
              <w:t>附件清单</w:t>
            </w:r>
          </w:p>
        </w:tc>
        <w:tc>
          <w:tcPr>
            <w:tcW w:w="6058" w:type="dxa"/>
            <w:vAlign w:val="center"/>
          </w:tcPr>
          <w:p w14:paraId="4E650029" w14:textId="77777777" w:rsidR="001D5CDA" w:rsidRDefault="00FA1EBC">
            <w:pPr>
              <w:spacing w:line="360" w:lineRule="auto"/>
              <w:rPr>
                <w:rFonts w:ascii="宋体" w:eastAsia="宋体" w:hAnsi="宋体" w:cs="宋体"/>
                <w:sz w:val="24"/>
              </w:rPr>
            </w:pPr>
            <w:r>
              <w:rPr>
                <w:rFonts w:ascii="宋体" w:eastAsia="宋体" w:hAnsi="宋体" w:cs="宋体"/>
                <w:sz w:val="24"/>
              </w:rPr>
              <w:t>无</w:t>
            </w:r>
          </w:p>
        </w:tc>
      </w:tr>
    </w:tbl>
    <w:p w14:paraId="60A02903" w14:textId="77777777" w:rsidR="001D5CDA" w:rsidRDefault="001D5CDA">
      <w:pPr>
        <w:rPr>
          <w:rFonts w:ascii="宋体" w:eastAsia="宋体" w:hAnsi="宋体" w:cs="宋体"/>
          <w:sz w:val="24"/>
        </w:rPr>
      </w:pPr>
    </w:p>
    <w:sectPr w:rsidR="001D5CD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9A07D" w14:textId="77777777" w:rsidR="00D07733" w:rsidRDefault="00D07733" w:rsidP="00097DF2">
      <w:r>
        <w:separator/>
      </w:r>
    </w:p>
  </w:endnote>
  <w:endnote w:type="continuationSeparator" w:id="0">
    <w:p w14:paraId="2F0E2BFE" w14:textId="77777777" w:rsidR="00D07733" w:rsidRDefault="00D07733" w:rsidP="00097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929F7" w14:textId="77777777" w:rsidR="00D07733" w:rsidRDefault="00D07733" w:rsidP="00097DF2">
      <w:r>
        <w:separator/>
      </w:r>
    </w:p>
  </w:footnote>
  <w:footnote w:type="continuationSeparator" w:id="0">
    <w:p w14:paraId="590AD067" w14:textId="77777777" w:rsidR="00D07733" w:rsidRDefault="00D07733" w:rsidP="00097D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5F50B8B"/>
    <w:multiLevelType w:val="singleLevel"/>
    <w:tmpl w:val="F5F50B8B"/>
    <w:lvl w:ilvl="0">
      <w:start w:val="1"/>
      <w:numFmt w:val="decimal"/>
      <w:lvlText w:val="%1."/>
      <w:lvlJc w:val="left"/>
      <w:pPr>
        <w:tabs>
          <w:tab w:val="left" w:pos="312"/>
        </w:tabs>
      </w:pPr>
    </w:lvl>
  </w:abstractNum>
  <w:abstractNum w:abstractNumId="1" w15:restartNumberingAfterBreak="0">
    <w:nsid w:val="13C760C9"/>
    <w:multiLevelType w:val="hybridMultilevel"/>
    <w:tmpl w:val="A1B04634"/>
    <w:lvl w:ilvl="0" w:tplc="489E4B28">
      <w:start w:val="2"/>
      <w:numFmt w:val="japaneseCounting"/>
      <w:lvlText w:val="%1、"/>
      <w:lvlJc w:val="left"/>
      <w:pPr>
        <w:ind w:left="500" w:hanging="50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1B333C46"/>
    <w:multiLevelType w:val="hybridMultilevel"/>
    <w:tmpl w:val="8EE09B30"/>
    <w:lvl w:ilvl="0" w:tplc="A2F28BB2">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4C4C3A95"/>
    <w:multiLevelType w:val="hybridMultilevel"/>
    <w:tmpl w:val="AB544F24"/>
    <w:lvl w:ilvl="0" w:tplc="27A41B96">
      <w:start w:val="1"/>
      <w:numFmt w:val="japaneseCounting"/>
      <w:lvlText w:val="%1、"/>
      <w:lvlJc w:val="left"/>
      <w:pPr>
        <w:ind w:left="1202" w:hanging="720"/>
      </w:pPr>
      <w:rPr>
        <w:rFonts w:hint="default"/>
      </w:r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num w:numId="1" w16cid:durableId="261106337">
    <w:abstractNumId w:val="0"/>
  </w:num>
  <w:num w:numId="2" w16cid:durableId="221061181">
    <w:abstractNumId w:val="1"/>
  </w:num>
  <w:num w:numId="3" w16cid:durableId="2106030161">
    <w:abstractNumId w:val="2"/>
  </w:num>
  <w:num w:numId="4" w16cid:durableId="9298940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JiYzNkOWYyZjA1ZGM0ZjI0YzBkMzEwMjI5OTMxOTYifQ=="/>
  </w:docVars>
  <w:rsids>
    <w:rsidRoot w:val="00E41DD3"/>
    <w:rsid w:val="0002334C"/>
    <w:rsid w:val="000420C5"/>
    <w:rsid w:val="0004696C"/>
    <w:rsid w:val="00047A58"/>
    <w:rsid w:val="00047D33"/>
    <w:rsid w:val="000619DF"/>
    <w:rsid w:val="00080B0E"/>
    <w:rsid w:val="00097DF2"/>
    <w:rsid w:val="000B69AB"/>
    <w:rsid w:val="000C265C"/>
    <w:rsid w:val="000D37DA"/>
    <w:rsid w:val="000E4815"/>
    <w:rsid w:val="000F0EAB"/>
    <w:rsid w:val="00102C3D"/>
    <w:rsid w:val="001058FB"/>
    <w:rsid w:val="00112CFF"/>
    <w:rsid w:val="0011307A"/>
    <w:rsid w:val="0011435A"/>
    <w:rsid w:val="00120ED8"/>
    <w:rsid w:val="00126CC4"/>
    <w:rsid w:val="0013310C"/>
    <w:rsid w:val="00136CB9"/>
    <w:rsid w:val="0014011E"/>
    <w:rsid w:val="0015638D"/>
    <w:rsid w:val="00156953"/>
    <w:rsid w:val="00162EAA"/>
    <w:rsid w:val="001A08E2"/>
    <w:rsid w:val="001A6617"/>
    <w:rsid w:val="001B0496"/>
    <w:rsid w:val="001B628C"/>
    <w:rsid w:val="001C5D9E"/>
    <w:rsid w:val="001C62FE"/>
    <w:rsid w:val="001D5CDA"/>
    <w:rsid w:val="00200CD0"/>
    <w:rsid w:val="00204F66"/>
    <w:rsid w:val="0021387A"/>
    <w:rsid w:val="00224437"/>
    <w:rsid w:val="00237C1F"/>
    <w:rsid w:val="002432EE"/>
    <w:rsid w:val="00255892"/>
    <w:rsid w:val="00273527"/>
    <w:rsid w:val="00291E73"/>
    <w:rsid w:val="002B1C01"/>
    <w:rsid w:val="002B312D"/>
    <w:rsid w:val="002C3803"/>
    <w:rsid w:val="002C424F"/>
    <w:rsid w:val="002C4C59"/>
    <w:rsid w:val="002D714D"/>
    <w:rsid w:val="003057E1"/>
    <w:rsid w:val="003065CA"/>
    <w:rsid w:val="003147DC"/>
    <w:rsid w:val="00320893"/>
    <w:rsid w:val="003479D7"/>
    <w:rsid w:val="00352AAB"/>
    <w:rsid w:val="00360DF7"/>
    <w:rsid w:val="00361851"/>
    <w:rsid w:val="0037392B"/>
    <w:rsid w:val="003A39C0"/>
    <w:rsid w:val="003B181E"/>
    <w:rsid w:val="004543E6"/>
    <w:rsid w:val="00464A9A"/>
    <w:rsid w:val="004861CD"/>
    <w:rsid w:val="00494DCA"/>
    <w:rsid w:val="004A1C8D"/>
    <w:rsid w:val="004D079B"/>
    <w:rsid w:val="004D0DE8"/>
    <w:rsid w:val="004D5456"/>
    <w:rsid w:val="004D69C4"/>
    <w:rsid w:val="005022A2"/>
    <w:rsid w:val="0050639A"/>
    <w:rsid w:val="005305F5"/>
    <w:rsid w:val="00550720"/>
    <w:rsid w:val="00552D82"/>
    <w:rsid w:val="00583EB6"/>
    <w:rsid w:val="00596575"/>
    <w:rsid w:val="005C13B0"/>
    <w:rsid w:val="005D7FDD"/>
    <w:rsid w:val="00601F1A"/>
    <w:rsid w:val="00603EE3"/>
    <w:rsid w:val="00614B51"/>
    <w:rsid w:val="00621B8D"/>
    <w:rsid w:val="00624D09"/>
    <w:rsid w:val="00647780"/>
    <w:rsid w:val="00650180"/>
    <w:rsid w:val="006518ED"/>
    <w:rsid w:val="00673A71"/>
    <w:rsid w:val="006A4388"/>
    <w:rsid w:val="006B13E9"/>
    <w:rsid w:val="006C23B5"/>
    <w:rsid w:val="006D3709"/>
    <w:rsid w:val="006E553B"/>
    <w:rsid w:val="006F6563"/>
    <w:rsid w:val="0071750F"/>
    <w:rsid w:val="007250C4"/>
    <w:rsid w:val="00732907"/>
    <w:rsid w:val="00737DEE"/>
    <w:rsid w:val="007504E2"/>
    <w:rsid w:val="00752A8C"/>
    <w:rsid w:val="00755A3E"/>
    <w:rsid w:val="007613FB"/>
    <w:rsid w:val="00767F36"/>
    <w:rsid w:val="00775286"/>
    <w:rsid w:val="0078343D"/>
    <w:rsid w:val="007836EA"/>
    <w:rsid w:val="00784D9E"/>
    <w:rsid w:val="00791D44"/>
    <w:rsid w:val="007B569E"/>
    <w:rsid w:val="007B6F87"/>
    <w:rsid w:val="007E23FB"/>
    <w:rsid w:val="00804746"/>
    <w:rsid w:val="0081221E"/>
    <w:rsid w:val="00821414"/>
    <w:rsid w:val="008251BA"/>
    <w:rsid w:val="0083791E"/>
    <w:rsid w:val="008565A6"/>
    <w:rsid w:val="00867AC9"/>
    <w:rsid w:val="008737EA"/>
    <w:rsid w:val="008B30D6"/>
    <w:rsid w:val="008C1707"/>
    <w:rsid w:val="008C4F8D"/>
    <w:rsid w:val="008C7324"/>
    <w:rsid w:val="008D1146"/>
    <w:rsid w:val="008E0E57"/>
    <w:rsid w:val="008F23BF"/>
    <w:rsid w:val="00920FD8"/>
    <w:rsid w:val="0093255B"/>
    <w:rsid w:val="00953355"/>
    <w:rsid w:val="009575A0"/>
    <w:rsid w:val="009924E1"/>
    <w:rsid w:val="009B101A"/>
    <w:rsid w:val="00A06C21"/>
    <w:rsid w:val="00A24293"/>
    <w:rsid w:val="00A37175"/>
    <w:rsid w:val="00A45DE0"/>
    <w:rsid w:val="00A50C5B"/>
    <w:rsid w:val="00A55535"/>
    <w:rsid w:val="00A557CE"/>
    <w:rsid w:val="00A70E42"/>
    <w:rsid w:val="00A71158"/>
    <w:rsid w:val="00A727BA"/>
    <w:rsid w:val="00A76526"/>
    <w:rsid w:val="00AA6A79"/>
    <w:rsid w:val="00AB3D43"/>
    <w:rsid w:val="00AC21AA"/>
    <w:rsid w:val="00AF1C7A"/>
    <w:rsid w:val="00AF22B9"/>
    <w:rsid w:val="00B10D7A"/>
    <w:rsid w:val="00B25BC6"/>
    <w:rsid w:val="00B754FB"/>
    <w:rsid w:val="00B83BCF"/>
    <w:rsid w:val="00BA1E03"/>
    <w:rsid w:val="00BE1853"/>
    <w:rsid w:val="00C0231E"/>
    <w:rsid w:val="00C124E6"/>
    <w:rsid w:val="00C213B4"/>
    <w:rsid w:val="00C36C41"/>
    <w:rsid w:val="00C46A52"/>
    <w:rsid w:val="00C51DCB"/>
    <w:rsid w:val="00C52567"/>
    <w:rsid w:val="00C61EFC"/>
    <w:rsid w:val="00C83676"/>
    <w:rsid w:val="00C858DF"/>
    <w:rsid w:val="00CC5C1E"/>
    <w:rsid w:val="00CE0DED"/>
    <w:rsid w:val="00CF6629"/>
    <w:rsid w:val="00D05D35"/>
    <w:rsid w:val="00D07391"/>
    <w:rsid w:val="00D07733"/>
    <w:rsid w:val="00D362F2"/>
    <w:rsid w:val="00D45C12"/>
    <w:rsid w:val="00D510BB"/>
    <w:rsid w:val="00D53E95"/>
    <w:rsid w:val="00D5744D"/>
    <w:rsid w:val="00D60741"/>
    <w:rsid w:val="00D7482C"/>
    <w:rsid w:val="00D94E8C"/>
    <w:rsid w:val="00DB2CD7"/>
    <w:rsid w:val="00DB7DF4"/>
    <w:rsid w:val="00DC2F31"/>
    <w:rsid w:val="00DC7861"/>
    <w:rsid w:val="00DE16D3"/>
    <w:rsid w:val="00DE2D30"/>
    <w:rsid w:val="00DE73B3"/>
    <w:rsid w:val="00DF6552"/>
    <w:rsid w:val="00E0335A"/>
    <w:rsid w:val="00E05429"/>
    <w:rsid w:val="00E30A59"/>
    <w:rsid w:val="00E31DB3"/>
    <w:rsid w:val="00E334B6"/>
    <w:rsid w:val="00E41DD3"/>
    <w:rsid w:val="00E47A2C"/>
    <w:rsid w:val="00E53973"/>
    <w:rsid w:val="00E66A72"/>
    <w:rsid w:val="00E929AE"/>
    <w:rsid w:val="00EB4107"/>
    <w:rsid w:val="00EF07D4"/>
    <w:rsid w:val="00EF7D75"/>
    <w:rsid w:val="00F25459"/>
    <w:rsid w:val="00F306B2"/>
    <w:rsid w:val="00F61E25"/>
    <w:rsid w:val="00FA1EBC"/>
    <w:rsid w:val="00FC574F"/>
    <w:rsid w:val="00FD281E"/>
    <w:rsid w:val="00FD476B"/>
    <w:rsid w:val="00FE575F"/>
    <w:rsid w:val="0D522589"/>
    <w:rsid w:val="0E436275"/>
    <w:rsid w:val="24E84DA9"/>
    <w:rsid w:val="4CBA251B"/>
    <w:rsid w:val="505F3BA0"/>
    <w:rsid w:val="5B4C0B44"/>
    <w:rsid w:val="5E3865C5"/>
    <w:rsid w:val="626443FB"/>
    <w:rsid w:val="6F994FF1"/>
    <w:rsid w:val="6FBE6756"/>
    <w:rsid w:val="76B669CC"/>
    <w:rsid w:val="777318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A5377F"/>
  <w15:docId w15:val="{130E8584-A0E0-4EFC-B66F-D2F9323CB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13B4"/>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qFormat/>
    <w:rPr>
      <w:rFonts w:asciiTheme="minorHAnsi" w:eastAsiaTheme="minorEastAsia" w:hAnsiTheme="minorHAnsi" w:cstheme="minorBidi"/>
      <w:kern w:val="2"/>
      <w:sz w:val="18"/>
      <w:szCs w:val="18"/>
    </w:rPr>
  </w:style>
  <w:style w:type="character" w:customStyle="1" w:styleId="a4">
    <w:name w:val="页脚 字符"/>
    <w:basedOn w:val="a0"/>
    <w:link w:val="a3"/>
    <w:rPr>
      <w:rFonts w:asciiTheme="minorHAnsi" w:eastAsiaTheme="minorEastAsia" w:hAnsiTheme="minorHAnsi" w:cstheme="minorBidi"/>
      <w:kern w:val="2"/>
      <w:sz w:val="18"/>
      <w:szCs w:val="18"/>
    </w:rPr>
  </w:style>
  <w:style w:type="paragraph" w:styleId="a8">
    <w:name w:val="List Paragraph"/>
    <w:basedOn w:val="a"/>
    <w:uiPriority w:val="9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930181">
      <w:bodyDiv w:val="1"/>
      <w:marLeft w:val="0"/>
      <w:marRight w:val="0"/>
      <w:marTop w:val="0"/>
      <w:marBottom w:val="0"/>
      <w:divBdr>
        <w:top w:val="none" w:sz="0" w:space="0" w:color="auto"/>
        <w:left w:val="none" w:sz="0" w:space="0" w:color="auto"/>
        <w:bottom w:val="none" w:sz="0" w:space="0" w:color="auto"/>
        <w:right w:val="none" w:sz="0" w:space="0" w:color="auto"/>
      </w:divBdr>
    </w:div>
    <w:div w:id="8093711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3647E-D84C-45C9-8FBE-678D68681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3</Pages>
  <Words>239</Words>
  <Characters>1364</Characters>
  <Application>Microsoft Office Word</Application>
  <DocSecurity>0</DocSecurity>
  <Lines>11</Lines>
  <Paragraphs>3</Paragraphs>
  <ScaleCrop>false</ScaleCrop>
  <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董事会办公室</dc:creator>
  <cp:lastModifiedBy>磊 付</cp:lastModifiedBy>
  <cp:revision>14</cp:revision>
  <dcterms:created xsi:type="dcterms:W3CDTF">2026-04-22T10:14:00Z</dcterms:created>
  <dcterms:modified xsi:type="dcterms:W3CDTF">2026-04-29T08:13:00Z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7A6FFA7B47CA44F8AA231AC75C1D7AAB_13</vt:lpwstr>
  </property>
</Properties>
</file>