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14C9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湖北振华化学股份有限公司</w:t>
      </w:r>
    </w:p>
    <w:p w14:paraId="0EA8CDFB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2025年年度暨2026年第一季度</w:t>
      </w:r>
    </w:p>
    <w:p w14:paraId="7AAA535C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业绩说明会</w:t>
      </w:r>
      <w:r>
        <w:rPr>
          <w:rFonts w:hint="eastAsia" w:ascii="宋体" w:hAnsi="宋体" w:eastAsia="宋体"/>
          <w:b/>
          <w:sz w:val="32"/>
          <w:szCs w:val="32"/>
        </w:rPr>
        <w:t>（通讯）内容纪要</w:t>
      </w:r>
    </w:p>
    <w:p w14:paraId="6ABBA092">
      <w:pPr>
        <w:spacing w:line="360" w:lineRule="auto"/>
        <w:ind w:firstLine="562" w:firstLineChars="200"/>
        <w:jc w:val="left"/>
        <w:rPr>
          <w:rFonts w:hint="eastAsia" w:ascii="宋体" w:hAnsi="宋体" w:eastAsia="宋体"/>
          <w:b/>
          <w:bCs/>
          <w:sz w:val="28"/>
          <w:szCs w:val="28"/>
        </w:rPr>
      </w:pPr>
    </w:p>
    <w:p w14:paraId="3B3BA793">
      <w:pPr>
        <w:ind w:firstLine="562" w:firstLineChars="20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一、会议基本情况</w:t>
      </w:r>
    </w:p>
    <w:p w14:paraId="7A9883D9">
      <w:pPr>
        <w:ind w:firstLine="562" w:firstLineChars="200"/>
        <w:jc w:val="left"/>
        <w:rPr>
          <w:rFonts w:hint="eastAsia"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会议时间：    </w:t>
      </w:r>
      <w:r>
        <w:rPr>
          <w:rFonts w:hint="eastAsia" w:ascii="宋体" w:hAnsi="宋体" w:eastAsia="宋体"/>
          <w:sz w:val="28"/>
          <w:szCs w:val="28"/>
        </w:rPr>
        <w:t>2026年4月29日</w:t>
      </w:r>
    </w:p>
    <w:p w14:paraId="0A1C6717">
      <w:pPr>
        <w:ind w:firstLine="562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公司参会人员：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韩翔    总经理助理</w:t>
      </w:r>
    </w:p>
    <w:p w14:paraId="767511D7">
      <w:pPr>
        <w:ind w:firstLine="562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参会机构：    </w:t>
      </w:r>
      <w:r>
        <w:rPr>
          <w:rFonts w:hint="eastAsia" w:ascii="宋体" w:hAnsi="宋体" w:eastAsia="宋体"/>
          <w:sz w:val="28"/>
          <w:szCs w:val="28"/>
        </w:rPr>
        <w:t>详见附件“参会机构清单”</w:t>
      </w:r>
    </w:p>
    <w:p w14:paraId="0392CCA1">
      <w:pPr>
        <w:ind w:firstLine="562" w:firstLineChars="200"/>
        <w:jc w:val="left"/>
        <w:rPr>
          <w:rFonts w:hint="eastAsia" w:ascii="宋体" w:hAnsi="宋体" w:eastAsia="宋体"/>
          <w:b/>
          <w:bCs/>
          <w:sz w:val="28"/>
          <w:szCs w:val="28"/>
        </w:rPr>
      </w:pPr>
    </w:p>
    <w:p w14:paraId="793420D9">
      <w:pPr>
        <w:ind w:firstLine="562" w:firstLineChars="200"/>
        <w:jc w:val="left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二、会议交流的主要内容</w:t>
      </w:r>
    </w:p>
    <w:p w14:paraId="401EE4F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（一）2025年年报核心数据解读</w:t>
      </w:r>
    </w:p>
    <w:p w14:paraId="7C4266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非经常性损益说明：2025年公司扣非归母净利润与不扣非归母净利润差异较大，主要因1.55亿元营业外收入，该收入来源于公司参与新疆沈宏集团破产重整并表后，相关固定资产、无形资产（主要为6000余亩土地）的评估增值，以可辨认净资产增额</w:t>
      </w:r>
      <w:r>
        <w:rPr>
          <w:rFonts w:hint="eastAsia" w:ascii="宋体" w:hAnsi="宋体" w:eastAsia="宋体" w:cs="宋体"/>
          <w:sz w:val="24"/>
          <w:lang w:val="en-US" w:eastAsia="zh-CN"/>
        </w:rPr>
        <w:t>即</w:t>
      </w:r>
      <w:r>
        <w:rPr>
          <w:rFonts w:hint="eastAsia" w:ascii="宋体" w:hAnsi="宋体" w:eastAsia="宋体" w:cs="宋体"/>
          <w:sz w:val="24"/>
        </w:rPr>
        <w:t>负商誉形式计入损益表。该评估增值</w:t>
      </w:r>
      <w:r>
        <w:rPr>
          <w:rFonts w:hint="eastAsia" w:ascii="宋体" w:hAnsi="宋体" w:eastAsia="宋体" w:cs="宋体"/>
          <w:sz w:val="24"/>
          <w:lang w:val="en-US" w:eastAsia="zh-CN"/>
        </w:rPr>
        <w:t>公允体现了</w:t>
      </w:r>
      <w:r>
        <w:rPr>
          <w:rFonts w:hint="eastAsia" w:ascii="宋体" w:hAnsi="宋体" w:eastAsia="宋体" w:cs="宋体"/>
          <w:sz w:val="24"/>
        </w:rPr>
        <w:t>新疆沈宏</w:t>
      </w:r>
      <w:r>
        <w:rPr>
          <w:rFonts w:hint="eastAsia" w:ascii="宋体" w:hAnsi="宋体" w:eastAsia="宋体" w:cs="宋体"/>
          <w:sz w:val="24"/>
          <w:lang w:val="en-US" w:eastAsia="zh-CN"/>
        </w:rPr>
        <w:t>在存续经营基础上的企业价值，但</w:t>
      </w:r>
      <w:r>
        <w:rPr>
          <w:rFonts w:hint="eastAsia" w:ascii="宋体" w:hAnsi="宋体" w:eastAsia="宋体" w:cs="宋体"/>
          <w:sz w:val="24"/>
        </w:rPr>
        <w:t>短期</w:t>
      </w:r>
      <w:r>
        <w:rPr>
          <w:rFonts w:hint="eastAsia" w:ascii="宋体" w:hAnsi="宋体" w:eastAsia="宋体" w:cs="宋体"/>
          <w:sz w:val="24"/>
          <w:lang w:val="en-US" w:eastAsia="zh-CN"/>
        </w:rPr>
        <w:t>并不直接带来现金流入</w:t>
      </w:r>
      <w:r>
        <w:rPr>
          <w:rFonts w:hint="eastAsia" w:ascii="宋体" w:hAnsi="宋体" w:eastAsia="宋体" w:cs="宋体"/>
          <w:sz w:val="24"/>
        </w:rPr>
        <w:t>，建议投资者</w:t>
      </w:r>
      <w:r>
        <w:rPr>
          <w:rFonts w:hint="eastAsia" w:ascii="宋体" w:hAnsi="宋体" w:eastAsia="宋体" w:cs="宋体"/>
          <w:sz w:val="24"/>
          <w:lang w:val="en-US" w:eastAsia="zh-CN"/>
        </w:rPr>
        <w:t>理</w:t>
      </w:r>
      <w:r>
        <w:rPr>
          <w:rFonts w:hint="eastAsia" w:ascii="宋体" w:hAnsi="宋体" w:eastAsia="宋体" w:cs="宋体"/>
          <w:sz w:val="24"/>
        </w:rPr>
        <w:t>性看待。</w:t>
      </w:r>
    </w:p>
    <w:p w14:paraId="1A7120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2、减值计提说明：去年四季度公司计提各类减值近5000万元，主要包括三部分：一是湖北本部住宅地产项目库存减值</w:t>
      </w:r>
      <w:r>
        <w:rPr>
          <w:rFonts w:hint="eastAsia" w:ascii="宋体" w:hAnsi="宋体" w:eastAsia="宋体" w:cs="宋体"/>
          <w:sz w:val="24"/>
          <w:lang w:val="en-US" w:eastAsia="zh-CN"/>
        </w:rPr>
        <w:t>约</w:t>
      </w:r>
      <w:r>
        <w:rPr>
          <w:rFonts w:hint="eastAsia" w:ascii="宋体" w:hAnsi="宋体" w:eastAsia="宋体" w:cs="宋体"/>
          <w:sz w:val="24"/>
        </w:rPr>
        <w:t>3200万元，该项目已完成开发并预售，受房地产</w:t>
      </w:r>
      <w:r>
        <w:rPr>
          <w:rFonts w:hint="eastAsia" w:ascii="宋体" w:hAnsi="宋体" w:eastAsia="宋体" w:cs="宋体"/>
          <w:sz w:val="24"/>
          <w:lang w:val="en-US" w:eastAsia="zh-CN"/>
        </w:rPr>
        <w:t>宏观环境</w:t>
      </w:r>
      <w:r>
        <w:rPr>
          <w:rFonts w:hint="eastAsia" w:ascii="宋体" w:hAnsi="宋体" w:eastAsia="宋体" w:cs="宋体"/>
          <w:sz w:val="24"/>
        </w:rPr>
        <w:t>影响</w:t>
      </w:r>
      <w:r>
        <w:rPr>
          <w:rFonts w:hint="eastAsia" w:ascii="宋体" w:hAnsi="宋体" w:eastAsia="宋体" w:cs="宋体"/>
          <w:sz w:val="24"/>
          <w:lang w:val="en-US" w:eastAsia="zh-CN"/>
        </w:rPr>
        <w:t>出现减值迹象，公司基于审慎性做了会计处理</w:t>
      </w:r>
      <w:r>
        <w:rPr>
          <w:rFonts w:hint="eastAsia" w:ascii="宋体" w:hAnsi="宋体" w:eastAsia="宋体" w:cs="宋体"/>
          <w:sz w:val="24"/>
        </w:rPr>
        <w:t>；二是对重庆基地某被执行客户的应收账款全额计提</w:t>
      </w:r>
      <w:r>
        <w:rPr>
          <w:rFonts w:hint="eastAsia" w:ascii="宋体" w:hAnsi="宋体" w:eastAsia="宋体" w:cs="宋体"/>
          <w:sz w:val="24"/>
          <w:lang w:val="en-US" w:eastAsia="zh-CN"/>
        </w:rPr>
        <w:t>单项</w:t>
      </w:r>
      <w:r>
        <w:rPr>
          <w:rFonts w:hint="eastAsia" w:ascii="宋体" w:hAnsi="宋体" w:eastAsia="宋体" w:cs="宋体"/>
          <w:sz w:val="24"/>
        </w:rPr>
        <w:t>信用减值</w:t>
      </w:r>
      <w:r>
        <w:rPr>
          <w:rFonts w:hint="eastAsia" w:ascii="宋体" w:hAnsi="宋体" w:eastAsia="宋体" w:cs="宋体"/>
          <w:sz w:val="24"/>
          <w:lang w:val="en-US" w:eastAsia="zh-CN"/>
        </w:rPr>
        <w:t>约</w:t>
      </w:r>
      <w:r>
        <w:rPr>
          <w:rFonts w:hint="eastAsia" w:ascii="宋体" w:hAnsi="宋体" w:eastAsia="宋体" w:cs="宋体"/>
          <w:sz w:val="24"/>
        </w:rPr>
        <w:t>1000万元；三是少量固定资产报废及处置损失。上述减值集中体现在四季度，</w:t>
      </w:r>
      <w:r>
        <w:rPr>
          <w:rFonts w:hint="eastAsia" w:ascii="宋体" w:hAnsi="宋体" w:eastAsia="宋体" w:cs="宋体"/>
          <w:sz w:val="24"/>
          <w:lang w:val="en-US" w:eastAsia="zh-CN"/>
        </w:rPr>
        <w:t>从业务性质上看，减值损失具有一定的偶发性</w:t>
      </w:r>
      <w:r>
        <w:rPr>
          <w:rFonts w:hint="eastAsia" w:ascii="宋体" w:hAnsi="宋体" w:eastAsia="宋体" w:cs="宋体"/>
          <w:sz w:val="24"/>
        </w:rPr>
        <w:t>。</w:t>
      </w:r>
    </w:p>
    <w:p w14:paraId="00FE5D9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（二）2026年第一季报核心数据解读</w:t>
      </w:r>
    </w:p>
    <w:p w14:paraId="3959492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1、产能与产量：一季度公司三大基地（黄石、重庆、新疆）折重铬酸钠总产量超9.2万吨，创历史单季度新高，</w:t>
      </w:r>
      <w:r>
        <w:rPr>
          <w:rFonts w:hint="eastAsia" w:ascii="宋体" w:hAnsi="宋体" w:eastAsia="宋体" w:cs="宋体"/>
          <w:sz w:val="24"/>
          <w:lang w:val="en-US" w:eastAsia="zh-CN"/>
        </w:rPr>
        <w:t>在行业整体面临较强供给约束的现实环境中，</w:t>
      </w:r>
      <w:r>
        <w:rPr>
          <w:rFonts w:hint="eastAsia" w:ascii="宋体" w:hAnsi="宋体" w:eastAsia="宋体" w:cs="宋体"/>
          <w:sz w:val="24"/>
        </w:rPr>
        <w:t>体现出</w:t>
      </w:r>
      <w:r>
        <w:rPr>
          <w:rFonts w:hint="eastAsia" w:ascii="宋体" w:hAnsi="宋体" w:eastAsia="宋体" w:cs="宋体"/>
          <w:sz w:val="24"/>
          <w:lang w:val="en-US" w:eastAsia="zh-CN"/>
        </w:rPr>
        <w:t>独特</w:t>
      </w:r>
      <w:r>
        <w:rPr>
          <w:rFonts w:hint="eastAsia" w:ascii="宋体" w:hAnsi="宋体" w:eastAsia="宋体" w:cs="宋体"/>
          <w:sz w:val="24"/>
        </w:rPr>
        <w:t>的产能弹性。其中，新疆基地目前正推进技术改造以提升产能，预期年化产能实现同比增长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0%</w:t>
      </w:r>
      <w:r>
        <w:rPr>
          <w:rFonts w:hint="eastAsia" w:ascii="宋体" w:hAnsi="宋体" w:eastAsia="宋体" w:cs="宋体"/>
          <w:sz w:val="24"/>
          <w:lang w:val="en-US" w:eastAsia="zh-CN"/>
        </w:rPr>
        <w:t>左右</w:t>
      </w:r>
      <w:r>
        <w:rPr>
          <w:rFonts w:hint="eastAsia" w:ascii="宋体" w:hAnsi="宋体" w:eastAsia="宋体" w:cs="宋体"/>
          <w:sz w:val="24"/>
        </w:rPr>
        <w:t>；黄石基地实际产能已达15万吨/年，短期无大幅提升空间；重庆基地叠加新技术优化，动态满产能力预计</w:t>
      </w:r>
      <w:r>
        <w:rPr>
          <w:rFonts w:hint="eastAsia" w:ascii="宋体" w:hAnsi="宋体" w:eastAsia="宋体" w:cs="宋体"/>
          <w:sz w:val="24"/>
          <w:lang w:val="en-US" w:eastAsia="zh-CN"/>
        </w:rPr>
        <w:t>在去年基础上仍有一定的提升潜力</w:t>
      </w:r>
      <w:r>
        <w:rPr>
          <w:rFonts w:hint="eastAsia" w:ascii="宋体" w:hAnsi="宋体" w:eastAsia="宋体" w:cs="宋体"/>
          <w:sz w:val="24"/>
        </w:rPr>
        <w:t>。</w:t>
      </w:r>
    </w:p>
    <w:p w14:paraId="3158AB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2、在途商品说明：一季度末存在延迟确认收入的在途/待交付商品，</w:t>
      </w:r>
      <w:r>
        <w:rPr>
          <w:rFonts w:hint="eastAsia" w:ascii="宋体" w:hAnsi="宋体" w:eastAsia="宋体" w:cs="宋体"/>
          <w:sz w:val="24"/>
          <w:lang w:val="en-US" w:eastAsia="zh-CN"/>
        </w:rPr>
        <w:t>以重铬酸钠计约2万吨，</w:t>
      </w:r>
      <w:r>
        <w:rPr>
          <w:rFonts w:hint="eastAsia" w:ascii="宋体" w:hAnsi="宋体" w:eastAsia="宋体" w:cs="宋体"/>
          <w:sz w:val="24"/>
        </w:rPr>
        <w:t>其中70%以上为金属铬，其余为铬酸酐、氧化铬绿等。延迟确认主要因3月份订单集中爆发，部分订单未完成</w:t>
      </w:r>
      <w:r>
        <w:rPr>
          <w:rFonts w:hint="eastAsia" w:ascii="宋体" w:hAnsi="宋体" w:eastAsia="宋体" w:cs="宋体"/>
          <w:sz w:val="24"/>
          <w:lang w:val="en-US" w:eastAsia="zh-CN"/>
        </w:rPr>
        <w:t>整</w:t>
      </w:r>
      <w:r>
        <w:rPr>
          <w:rFonts w:hint="eastAsia" w:ascii="宋体" w:hAnsi="宋体" w:eastAsia="宋体" w:cs="宋体"/>
          <w:sz w:val="24"/>
        </w:rPr>
        <w:t>批次交付或未取得</w:t>
      </w:r>
      <w:r>
        <w:rPr>
          <w:rFonts w:hint="eastAsia" w:ascii="宋体" w:hAnsi="宋体" w:eastAsia="宋体" w:cs="宋体"/>
          <w:sz w:val="24"/>
          <w:lang w:val="en-US" w:eastAsia="zh-CN"/>
        </w:rPr>
        <w:t>客户</w:t>
      </w:r>
      <w:r>
        <w:rPr>
          <w:rFonts w:hint="eastAsia" w:ascii="宋体" w:hAnsi="宋体" w:eastAsia="宋体" w:cs="宋体"/>
          <w:sz w:val="24"/>
        </w:rPr>
        <w:t>签收单，并非库存积压。3月份公司新签订单量、销售量、产出量及单月业绩均创历史新高，但该数据不具备年化参考价值。</w:t>
      </w:r>
    </w:p>
    <w:p w14:paraId="31C75B1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（三）主要产品量价情况</w:t>
      </w:r>
    </w:p>
    <w:p w14:paraId="47FF491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1、价格走势：金属铬价格自2024年三季度后出现阶段性上涨，2026年1-2月有所回落，3月有</w:t>
      </w:r>
      <w:r>
        <w:rPr>
          <w:rFonts w:hint="eastAsia" w:ascii="宋体" w:hAnsi="宋体" w:eastAsia="宋体" w:cs="宋体"/>
          <w:sz w:val="24"/>
          <w:lang w:val="en-US" w:eastAsia="zh-CN"/>
        </w:rPr>
        <w:t>所</w:t>
      </w:r>
      <w:r>
        <w:rPr>
          <w:rFonts w:hint="eastAsia" w:ascii="宋体" w:hAnsi="宋体" w:eastAsia="宋体" w:cs="宋体"/>
          <w:sz w:val="24"/>
        </w:rPr>
        <w:t>回升，整体波动</w:t>
      </w:r>
      <w:r>
        <w:rPr>
          <w:rFonts w:hint="eastAsia" w:ascii="宋体" w:hAnsi="宋体" w:eastAsia="宋体" w:cs="宋体"/>
          <w:sz w:val="24"/>
          <w:lang w:val="en-US" w:eastAsia="zh-CN"/>
        </w:rPr>
        <w:t>剧烈，价格中枢是在上升趋势中。</w:t>
      </w:r>
      <w:r>
        <w:rPr>
          <w:rFonts w:hint="eastAsia" w:ascii="宋体" w:hAnsi="宋体" w:eastAsia="宋体" w:cs="宋体"/>
          <w:sz w:val="24"/>
        </w:rPr>
        <w:t>重铬酸盐价格全年略有下跌，但对应原材料（除硫酸外）价格</w:t>
      </w:r>
      <w:r>
        <w:rPr>
          <w:rFonts w:hint="eastAsia" w:ascii="宋体" w:hAnsi="宋体" w:eastAsia="宋体" w:cs="宋体"/>
          <w:sz w:val="24"/>
          <w:lang w:val="en-US" w:eastAsia="zh-CN"/>
        </w:rPr>
        <w:t>同比</w:t>
      </w:r>
      <w:r>
        <w:rPr>
          <w:rFonts w:hint="eastAsia" w:ascii="宋体" w:hAnsi="宋体" w:eastAsia="宋体" w:cs="宋体"/>
          <w:sz w:val="24"/>
        </w:rPr>
        <w:t>均有两位数</w:t>
      </w:r>
      <w:r>
        <w:rPr>
          <w:rFonts w:hint="eastAsia" w:ascii="宋体" w:hAnsi="宋体" w:eastAsia="宋体" w:cs="宋体"/>
          <w:sz w:val="24"/>
          <w:lang w:val="en-US" w:eastAsia="zh-CN"/>
        </w:rPr>
        <w:t>以上的</w:t>
      </w:r>
      <w:r>
        <w:rPr>
          <w:rFonts w:hint="eastAsia" w:ascii="宋体" w:hAnsi="宋体" w:eastAsia="宋体" w:cs="宋体"/>
          <w:sz w:val="24"/>
        </w:rPr>
        <w:t>下跌，</w:t>
      </w:r>
      <w:r>
        <w:rPr>
          <w:rFonts w:hint="eastAsia" w:ascii="宋体" w:hAnsi="宋体" w:eastAsia="宋体" w:cs="宋体"/>
          <w:sz w:val="24"/>
          <w:lang w:val="en-US" w:eastAsia="zh-CN"/>
        </w:rPr>
        <w:t>故全年</w:t>
      </w:r>
      <w:r>
        <w:rPr>
          <w:rFonts w:hint="eastAsia" w:ascii="宋体" w:hAnsi="宋体" w:eastAsia="宋体" w:cs="宋体"/>
          <w:sz w:val="24"/>
        </w:rPr>
        <w:t>价差空间有所走阔。市场信息平台（百川、万得）相关数据参考价值有限。</w:t>
      </w:r>
    </w:p>
    <w:p w14:paraId="27A3E43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2、产品结构：重铬酸钠直接对外销量占比</w:t>
      </w:r>
      <w:r>
        <w:rPr>
          <w:rFonts w:hint="eastAsia" w:ascii="宋体" w:hAnsi="宋体" w:eastAsia="宋体" w:cs="宋体"/>
          <w:sz w:val="24"/>
          <w:lang w:val="en-US" w:eastAsia="zh-CN"/>
        </w:rPr>
        <w:t>很</w:t>
      </w:r>
      <w:r>
        <w:rPr>
          <w:rFonts w:hint="eastAsia" w:ascii="宋体" w:hAnsi="宋体" w:eastAsia="宋体" w:cs="宋体"/>
          <w:sz w:val="24"/>
        </w:rPr>
        <w:t>低（2025年占比</w:t>
      </w:r>
      <w:r>
        <w:rPr>
          <w:rFonts w:hint="eastAsia" w:ascii="宋体" w:hAnsi="宋体" w:eastAsia="宋体" w:cs="宋体"/>
          <w:sz w:val="24"/>
          <w:lang w:val="en-US" w:eastAsia="zh-CN"/>
        </w:rPr>
        <w:t>超</w:t>
      </w:r>
      <w:r>
        <w:rPr>
          <w:rFonts w:hint="eastAsia" w:ascii="宋体" w:hAnsi="宋体" w:eastAsia="宋体" w:cs="宋体"/>
          <w:sz w:val="24"/>
        </w:rPr>
        <w:t>10%，2026年一季度不足10%），不具备代表性；铬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氧化物（铬酸酐、氧化铬绿）占销售收入比例最高，其价格变动可反映公司</w:t>
      </w:r>
      <w:r>
        <w:rPr>
          <w:rFonts w:hint="eastAsia" w:ascii="宋体" w:hAnsi="宋体" w:eastAsia="宋体" w:cs="宋体"/>
          <w:sz w:val="24"/>
          <w:lang w:val="en-US" w:eastAsia="zh-CN"/>
        </w:rPr>
        <w:t>主要产品价格</w:t>
      </w:r>
      <w:r>
        <w:rPr>
          <w:rFonts w:hint="eastAsia" w:ascii="宋体" w:hAnsi="宋体" w:eastAsia="宋体" w:cs="宋体"/>
          <w:sz w:val="24"/>
        </w:rPr>
        <w:t>走势。铬基冶金材料（含金属铬、铬刚玉）一季度因铬刚玉集中售卖，加权平均单价有所下降，并非金属铬本身降价。</w:t>
      </w:r>
    </w:p>
    <w:p w14:paraId="55775B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3、量价策略：公司更注重</w:t>
      </w:r>
      <w:r>
        <w:rPr>
          <w:rFonts w:hint="eastAsia" w:ascii="宋体" w:hAnsi="宋体" w:eastAsia="宋体" w:cs="宋体"/>
          <w:sz w:val="24"/>
          <w:lang w:val="en-US" w:eastAsia="zh-CN"/>
        </w:rPr>
        <w:t>有效</w:t>
      </w:r>
      <w:r>
        <w:rPr>
          <w:rFonts w:hint="eastAsia" w:ascii="宋体" w:hAnsi="宋体" w:eastAsia="宋体" w:cs="宋体"/>
          <w:sz w:val="24"/>
        </w:rPr>
        <w:t>产能释放</w:t>
      </w:r>
      <w:r>
        <w:rPr>
          <w:rFonts w:hint="eastAsia" w:ascii="宋体" w:hAnsi="宋体" w:eastAsia="宋体" w:cs="宋体"/>
          <w:sz w:val="24"/>
          <w:lang w:val="en-US" w:eastAsia="zh-CN"/>
        </w:rPr>
        <w:t>的速率及</w:t>
      </w:r>
      <w:r>
        <w:rPr>
          <w:rFonts w:hint="eastAsia" w:ascii="宋体" w:hAnsi="宋体" w:eastAsia="宋体" w:cs="宋体"/>
          <w:sz w:val="24"/>
        </w:rPr>
        <w:t>市场份额</w:t>
      </w:r>
      <w:r>
        <w:rPr>
          <w:rFonts w:hint="eastAsia" w:ascii="宋体" w:hAnsi="宋体" w:eastAsia="宋体" w:cs="宋体"/>
          <w:sz w:val="24"/>
          <w:lang w:val="en-US" w:eastAsia="zh-CN"/>
        </w:rPr>
        <w:t>提升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当有增量需求出现时，优先会以</w:t>
      </w:r>
      <w:r>
        <w:rPr>
          <w:rFonts w:hint="eastAsia" w:ascii="宋体" w:hAnsi="宋体" w:eastAsia="宋体" w:cs="宋体"/>
          <w:sz w:val="24"/>
        </w:rPr>
        <w:t>新增产能供给</w:t>
      </w:r>
      <w:r>
        <w:rPr>
          <w:rFonts w:hint="eastAsia" w:ascii="宋体" w:hAnsi="宋体" w:eastAsia="宋体" w:cs="宋体"/>
          <w:sz w:val="24"/>
          <w:lang w:val="en-US" w:eastAsia="zh-CN"/>
        </w:rPr>
        <w:t>进行匹配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然后再考虑调整价格杠杆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>中期来看公司</w:t>
      </w:r>
      <w:r>
        <w:rPr>
          <w:rFonts w:hint="eastAsia" w:ascii="宋体" w:hAnsi="宋体" w:eastAsia="宋体" w:cs="宋体"/>
          <w:sz w:val="24"/>
        </w:rPr>
        <w:t>业绩增量主要来源于销量驱动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>同时也应看到，</w:t>
      </w:r>
      <w:r>
        <w:rPr>
          <w:rFonts w:hint="eastAsia" w:ascii="宋体" w:hAnsi="宋体" w:eastAsia="宋体" w:cs="宋体"/>
          <w:sz w:val="24"/>
        </w:rPr>
        <w:t>若下游需求</w:t>
      </w:r>
      <w:r>
        <w:rPr>
          <w:rFonts w:hint="eastAsia" w:ascii="宋体" w:hAnsi="宋体" w:eastAsia="宋体" w:cs="宋体"/>
          <w:sz w:val="24"/>
          <w:lang w:val="en-US" w:eastAsia="zh-CN"/>
        </w:rPr>
        <w:t>期间性的</w:t>
      </w:r>
      <w:r>
        <w:rPr>
          <w:rFonts w:hint="eastAsia" w:ascii="宋体" w:hAnsi="宋体" w:eastAsia="宋体" w:cs="宋体"/>
          <w:sz w:val="24"/>
        </w:rPr>
        <w:t>增长速度</w:t>
      </w:r>
      <w:r>
        <w:rPr>
          <w:rFonts w:hint="eastAsia" w:ascii="宋体" w:hAnsi="宋体" w:eastAsia="宋体" w:cs="宋体"/>
          <w:sz w:val="24"/>
          <w:lang w:val="en-US" w:eastAsia="zh-CN"/>
        </w:rPr>
        <w:t>超过</w:t>
      </w:r>
      <w:r>
        <w:rPr>
          <w:rFonts w:hint="eastAsia" w:ascii="宋体" w:hAnsi="宋体" w:eastAsia="宋体" w:cs="宋体"/>
          <w:sz w:val="24"/>
        </w:rPr>
        <w:t>产能释放速度，可能出现阶段性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价格</w:t>
      </w:r>
      <w:r>
        <w:rPr>
          <w:rFonts w:hint="eastAsia" w:ascii="宋体" w:hAnsi="宋体" w:eastAsia="宋体" w:cs="宋体"/>
          <w:sz w:val="24"/>
          <w:lang w:val="en-US" w:eastAsia="zh-CN"/>
        </w:rPr>
        <w:t>波动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>公司管理层坚持中长期稳健经营，该策略长期有利于</w:t>
      </w:r>
      <w:r>
        <w:rPr>
          <w:rFonts w:hint="eastAsia" w:ascii="宋体" w:hAnsi="宋体" w:eastAsia="宋体" w:cs="宋体"/>
          <w:sz w:val="24"/>
          <w:lang w:val="en-US" w:eastAsia="zh-CN"/>
        </w:rPr>
        <w:t>公司成长和行业健康有序发展</w:t>
      </w:r>
      <w:r>
        <w:rPr>
          <w:rFonts w:ascii="宋体" w:hAnsi="宋体" w:eastAsia="宋体" w:cs="宋体"/>
          <w:sz w:val="24"/>
        </w:rPr>
        <w:t>。</w:t>
      </w:r>
    </w:p>
    <w:p w14:paraId="5F10C75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（四）其他情况</w:t>
      </w:r>
    </w:p>
    <w:p w14:paraId="3A12AB37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公司成本端持续优化，</w:t>
      </w:r>
      <w:r>
        <w:rPr>
          <w:rFonts w:hint="eastAsia" w:ascii="宋体" w:hAnsi="宋体" w:eastAsia="宋体" w:cs="宋体"/>
          <w:sz w:val="24"/>
          <w:lang w:val="en-US" w:eastAsia="zh-CN"/>
        </w:rPr>
        <w:t>部分燃动材料的</w:t>
      </w:r>
      <w:r>
        <w:rPr>
          <w:rFonts w:hint="eastAsia" w:ascii="宋体" w:hAnsi="宋体" w:eastAsia="宋体" w:cs="宋体"/>
          <w:sz w:val="24"/>
        </w:rPr>
        <w:t>单吨成本创历史新低，重庆</w:t>
      </w:r>
      <w:r>
        <w:rPr>
          <w:rFonts w:hint="eastAsia" w:ascii="宋体" w:hAnsi="宋体" w:eastAsia="宋体" w:cs="宋体"/>
          <w:sz w:val="24"/>
          <w:lang w:val="en-US" w:eastAsia="zh-CN"/>
        </w:rPr>
        <w:t>新</w:t>
      </w:r>
      <w:r>
        <w:rPr>
          <w:rFonts w:hint="eastAsia" w:ascii="宋体" w:hAnsi="宋体" w:eastAsia="宋体" w:cs="宋体"/>
          <w:sz w:val="24"/>
        </w:rPr>
        <w:t>基地投产后将进一步强化成本优势，这是公司核心竞争力所在；市场</w:t>
      </w:r>
      <w:r>
        <w:rPr>
          <w:rFonts w:hint="eastAsia" w:ascii="宋体" w:hAnsi="宋体" w:eastAsia="宋体" w:cs="宋体"/>
          <w:sz w:val="24"/>
          <w:lang w:val="en-US" w:eastAsia="zh-CN"/>
        </w:rPr>
        <w:t>开发</w:t>
      </w:r>
      <w:r>
        <w:rPr>
          <w:rFonts w:hint="eastAsia" w:ascii="宋体" w:hAnsi="宋体" w:eastAsia="宋体" w:cs="宋体"/>
          <w:sz w:val="24"/>
        </w:rPr>
        <w:t>成效显著，2025年</w:t>
      </w:r>
      <w:r>
        <w:rPr>
          <w:rFonts w:hint="eastAsia" w:ascii="宋体" w:hAnsi="宋体" w:eastAsia="宋体" w:cs="宋体"/>
          <w:sz w:val="24"/>
          <w:lang w:val="en-US" w:eastAsia="zh-CN"/>
        </w:rPr>
        <w:t>铬盐</w:t>
      </w:r>
      <w:r>
        <w:rPr>
          <w:rFonts w:hint="eastAsia" w:ascii="宋体" w:hAnsi="宋体" w:eastAsia="宋体" w:cs="宋体"/>
          <w:sz w:val="24"/>
        </w:rPr>
        <w:t>产销</w:t>
      </w:r>
      <w:r>
        <w:rPr>
          <w:rFonts w:hint="eastAsia" w:ascii="宋体" w:hAnsi="宋体" w:eastAsia="宋体" w:cs="宋体"/>
          <w:sz w:val="24"/>
          <w:lang w:val="en-US" w:eastAsia="zh-CN"/>
        </w:rPr>
        <w:t>量</w:t>
      </w:r>
      <w:r>
        <w:rPr>
          <w:rFonts w:hint="eastAsia" w:ascii="宋体" w:hAnsi="宋体" w:eastAsia="宋体" w:cs="宋体"/>
          <w:sz w:val="24"/>
        </w:rPr>
        <w:t>创历史新高，金属铬</w:t>
      </w:r>
      <w:r>
        <w:rPr>
          <w:rFonts w:hint="eastAsia" w:ascii="宋体" w:hAnsi="宋体" w:eastAsia="宋体" w:cs="宋体"/>
          <w:sz w:val="24"/>
          <w:lang w:val="en-US" w:eastAsia="zh-CN"/>
        </w:rPr>
        <w:t>市场景气度持续提升，预计今年产</w:t>
      </w:r>
      <w:r>
        <w:rPr>
          <w:rFonts w:hint="eastAsia" w:ascii="宋体" w:hAnsi="宋体" w:eastAsia="宋体" w:cs="宋体"/>
          <w:sz w:val="24"/>
        </w:rPr>
        <w:t>销量</w:t>
      </w:r>
      <w:r>
        <w:rPr>
          <w:rFonts w:hint="eastAsia" w:ascii="宋体" w:hAnsi="宋体" w:eastAsia="宋体" w:cs="宋体"/>
          <w:sz w:val="24"/>
          <w:lang w:val="en-US" w:eastAsia="zh-CN"/>
        </w:rPr>
        <w:t>仍会</w:t>
      </w:r>
      <w:r>
        <w:rPr>
          <w:rFonts w:hint="eastAsia" w:ascii="宋体" w:hAnsi="宋体" w:eastAsia="宋体" w:cs="宋体"/>
          <w:sz w:val="24"/>
        </w:rPr>
        <w:t>保持</w:t>
      </w:r>
      <w:r>
        <w:rPr>
          <w:rFonts w:hint="eastAsia" w:ascii="宋体" w:hAnsi="宋体" w:eastAsia="宋体" w:cs="宋体"/>
          <w:sz w:val="24"/>
          <w:lang w:val="en-US" w:eastAsia="zh-CN"/>
        </w:rPr>
        <w:t>高位</w:t>
      </w:r>
      <w:r>
        <w:rPr>
          <w:rFonts w:hint="eastAsia" w:ascii="宋体" w:hAnsi="宋体" w:eastAsia="宋体" w:cs="宋体"/>
          <w:sz w:val="24"/>
        </w:rPr>
        <w:t>增长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公司正积极向国内外高端冶金、</w:t>
      </w:r>
      <w:r>
        <w:rPr>
          <w:rFonts w:hint="eastAsia" w:ascii="宋体" w:hAnsi="宋体" w:eastAsia="宋体" w:cs="宋体"/>
          <w:sz w:val="24"/>
          <w:lang w:val="en-US" w:eastAsia="zh-CN"/>
        </w:rPr>
        <w:t>特种</w:t>
      </w:r>
      <w:r>
        <w:rPr>
          <w:rFonts w:hint="eastAsia" w:ascii="宋体" w:hAnsi="宋体" w:eastAsia="宋体" w:cs="宋体"/>
          <w:sz w:val="24"/>
        </w:rPr>
        <w:t>合金客户</w:t>
      </w:r>
      <w:r>
        <w:rPr>
          <w:rFonts w:hint="eastAsia" w:ascii="宋体" w:hAnsi="宋体" w:eastAsia="宋体" w:cs="宋体"/>
          <w:sz w:val="24"/>
          <w:lang w:val="en-US" w:eastAsia="zh-CN"/>
        </w:rPr>
        <w:t>进行战略拓展</w:t>
      </w:r>
      <w:r>
        <w:rPr>
          <w:rFonts w:hint="eastAsia" w:ascii="宋体" w:hAnsi="宋体" w:eastAsia="宋体" w:cs="宋体"/>
          <w:sz w:val="24"/>
        </w:rPr>
        <w:t>，强化市场地位。超细氢氧化铝（可转债募投项目）2025年销量约4.5万吨，</w:t>
      </w:r>
      <w:r>
        <w:rPr>
          <w:rFonts w:hint="eastAsia" w:ascii="宋体" w:hAnsi="宋体" w:eastAsia="宋体" w:cs="宋体"/>
          <w:sz w:val="24"/>
          <w:lang w:val="en-US" w:eastAsia="zh-CN"/>
        </w:rPr>
        <w:t>虽创历史新高，但</w:t>
      </w:r>
      <w:r>
        <w:rPr>
          <w:rFonts w:hint="eastAsia" w:ascii="宋体" w:hAnsi="宋体" w:eastAsia="宋体" w:cs="宋体"/>
          <w:sz w:val="24"/>
        </w:rPr>
        <w:t>未达</w:t>
      </w:r>
      <w:r>
        <w:rPr>
          <w:rFonts w:hint="eastAsia" w:ascii="宋体" w:hAnsi="宋体" w:eastAsia="宋体" w:cs="宋体"/>
          <w:sz w:val="24"/>
          <w:lang w:val="en-US" w:eastAsia="zh-CN"/>
        </w:rPr>
        <w:t>年初计划的</w:t>
      </w:r>
      <w:r>
        <w:rPr>
          <w:rFonts w:hint="eastAsia" w:ascii="宋体" w:hAnsi="宋体" w:eastAsia="宋体" w:cs="宋体"/>
          <w:sz w:val="24"/>
        </w:rPr>
        <w:t>6万吨目标，主要因该产品对物理指标要求严苛，</w:t>
      </w:r>
      <w:r>
        <w:rPr>
          <w:rFonts w:hint="eastAsia" w:ascii="宋体" w:hAnsi="宋体" w:eastAsia="宋体" w:cs="宋体"/>
          <w:sz w:val="24"/>
          <w:lang w:val="en-US" w:eastAsia="zh-CN"/>
        </w:rPr>
        <w:t>公司的副产物作为原料在工艺放大方面有个适配的过程，</w:t>
      </w:r>
      <w:r>
        <w:rPr>
          <w:rFonts w:hint="eastAsia" w:ascii="宋体" w:hAnsi="宋体" w:eastAsia="宋体" w:cs="宋体"/>
          <w:sz w:val="24"/>
        </w:rPr>
        <w:t>预计2026年销量将</w:t>
      </w:r>
      <w:r>
        <w:rPr>
          <w:rFonts w:hint="eastAsia" w:ascii="宋体" w:hAnsi="宋体" w:eastAsia="宋体" w:cs="宋体"/>
          <w:sz w:val="24"/>
          <w:lang w:val="en-US" w:eastAsia="zh-CN"/>
        </w:rPr>
        <w:t>持续</w:t>
      </w:r>
      <w:r>
        <w:rPr>
          <w:rFonts w:hint="eastAsia" w:ascii="宋体" w:hAnsi="宋体" w:eastAsia="宋体" w:cs="宋体"/>
          <w:sz w:val="24"/>
        </w:rPr>
        <w:t>提升。</w:t>
      </w:r>
    </w:p>
    <w:p w14:paraId="52F3C4B4">
      <w:pPr>
        <w:spacing w:line="44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（二）问答情况</w:t>
      </w:r>
    </w:p>
    <w:p w14:paraId="01F334DA">
      <w:pPr>
        <w:rPr>
          <w:rFonts w:ascii="宋体" w:hAnsi="宋体" w:eastAsia="宋体"/>
        </w:rPr>
      </w:pPr>
    </w:p>
    <w:p w14:paraId="0E063E84">
      <w:pPr>
        <w:spacing w:line="360" w:lineRule="auto"/>
        <w:ind w:firstLine="42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问题1：燃气轮机、SOFC领域对铬的需求是否有明确体现？SOFC领域与BE是否有业务往来？</w:t>
      </w:r>
    </w:p>
    <w:p w14:paraId="2917E7CA">
      <w:pPr>
        <w:spacing w:line="360" w:lineRule="auto"/>
        <w:ind w:firstLine="42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公司作为源头材料厂商，</w:t>
      </w:r>
      <w:r>
        <w:rPr>
          <w:rFonts w:hint="eastAsia" w:ascii="宋体" w:hAnsi="宋体" w:eastAsia="宋体"/>
          <w:sz w:val="24"/>
          <w:lang w:val="en-US" w:eastAsia="zh-CN"/>
        </w:rPr>
        <w:t>在产业链上</w:t>
      </w:r>
      <w:r>
        <w:rPr>
          <w:rFonts w:hint="eastAsia" w:ascii="宋体" w:hAnsi="宋体" w:eastAsia="宋体"/>
          <w:sz w:val="24"/>
        </w:rPr>
        <w:t>与终端装备厂商</w:t>
      </w:r>
      <w:r>
        <w:rPr>
          <w:rFonts w:hint="eastAsia" w:ascii="宋体" w:hAnsi="宋体" w:eastAsia="宋体"/>
          <w:sz w:val="24"/>
          <w:lang w:val="en-US" w:eastAsia="zh-CN"/>
        </w:rPr>
        <w:t>存在2-3层销售间隔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因此对</w:t>
      </w:r>
      <w:r>
        <w:rPr>
          <w:rFonts w:hint="eastAsia" w:ascii="宋体" w:hAnsi="宋体" w:eastAsia="宋体"/>
          <w:sz w:val="24"/>
        </w:rPr>
        <w:t>终端领域</w:t>
      </w:r>
      <w:r>
        <w:rPr>
          <w:rFonts w:hint="eastAsia" w:ascii="宋体" w:hAnsi="宋体" w:eastAsia="宋体"/>
          <w:sz w:val="24"/>
          <w:lang w:val="en-US" w:eastAsia="zh-CN"/>
        </w:rPr>
        <w:t>的边际</w:t>
      </w:r>
      <w:r>
        <w:rPr>
          <w:rFonts w:hint="eastAsia" w:ascii="宋体" w:hAnsi="宋体" w:eastAsia="宋体"/>
          <w:sz w:val="24"/>
        </w:rPr>
        <w:t>需求</w:t>
      </w:r>
      <w:r>
        <w:rPr>
          <w:rFonts w:hint="eastAsia" w:ascii="宋体" w:hAnsi="宋体" w:eastAsia="宋体"/>
          <w:sz w:val="24"/>
          <w:lang w:val="en-US" w:eastAsia="zh-CN"/>
        </w:rPr>
        <w:t>变化</w:t>
      </w:r>
      <w:r>
        <w:rPr>
          <w:rFonts w:hint="eastAsia" w:ascii="宋体" w:hAnsi="宋体" w:eastAsia="宋体"/>
          <w:sz w:val="24"/>
        </w:rPr>
        <w:t>感知</w:t>
      </w:r>
      <w:r>
        <w:rPr>
          <w:rFonts w:hint="eastAsia" w:ascii="宋体" w:hAnsi="宋体" w:eastAsia="宋体"/>
          <w:sz w:val="24"/>
          <w:lang w:val="en-US" w:eastAsia="zh-CN"/>
        </w:rPr>
        <w:t>度较为间接</w:t>
      </w:r>
      <w:r>
        <w:rPr>
          <w:rFonts w:hint="eastAsia" w:ascii="宋体" w:hAnsi="宋体" w:eastAsia="宋体"/>
          <w:sz w:val="24"/>
        </w:rPr>
        <w:t>。2025年金属铬销量增长主要来源于国内高温合金厂商，</w:t>
      </w:r>
      <w:r>
        <w:rPr>
          <w:rFonts w:hint="eastAsia" w:ascii="宋体" w:hAnsi="宋体" w:eastAsia="宋体"/>
          <w:sz w:val="24"/>
          <w:lang w:val="en-US" w:eastAsia="zh-CN"/>
        </w:rPr>
        <w:t>通过与主流客户的沟通所知，其当前销售增量的</w:t>
      </w:r>
      <w:r>
        <w:rPr>
          <w:rFonts w:hint="eastAsia" w:ascii="宋体" w:hAnsi="宋体" w:eastAsia="宋体"/>
          <w:sz w:val="24"/>
        </w:rPr>
        <w:t>主要</w:t>
      </w:r>
      <w:r>
        <w:rPr>
          <w:rFonts w:hint="eastAsia" w:ascii="宋体" w:hAnsi="宋体" w:eastAsia="宋体"/>
          <w:sz w:val="24"/>
          <w:lang w:val="en-US" w:eastAsia="zh-CN"/>
        </w:rPr>
        <w:t>指向还是传统</w:t>
      </w:r>
      <w:r>
        <w:rPr>
          <w:rFonts w:hint="eastAsia" w:ascii="宋体" w:hAnsi="宋体" w:eastAsia="宋体"/>
          <w:sz w:val="24"/>
        </w:rPr>
        <w:t>航空航天材料，截至2026年一季度，</w:t>
      </w:r>
      <w:r>
        <w:rPr>
          <w:rFonts w:hint="eastAsia" w:ascii="宋体" w:hAnsi="宋体" w:eastAsia="宋体"/>
          <w:sz w:val="24"/>
          <w:lang w:val="en-US" w:eastAsia="zh-CN"/>
        </w:rPr>
        <w:t>我们</w:t>
      </w:r>
      <w:r>
        <w:rPr>
          <w:rFonts w:hint="eastAsia" w:ascii="宋体" w:hAnsi="宋体" w:eastAsia="宋体"/>
          <w:sz w:val="24"/>
        </w:rPr>
        <w:t>尚未</w:t>
      </w:r>
      <w:r>
        <w:rPr>
          <w:rFonts w:hint="eastAsia" w:ascii="宋体" w:hAnsi="宋体" w:eastAsia="宋体"/>
          <w:sz w:val="24"/>
          <w:lang w:val="en-US" w:eastAsia="zh-CN"/>
        </w:rPr>
        <w:t>获得国内</w:t>
      </w:r>
      <w:r>
        <w:rPr>
          <w:rFonts w:hint="eastAsia" w:ascii="宋体" w:hAnsi="宋体" w:eastAsia="宋体"/>
          <w:sz w:val="24"/>
        </w:rPr>
        <w:t>客户将</w:t>
      </w:r>
      <w:r>
        <w:rPr>
          <w:rFonts w:hint="eastAsia" w:ascii="宋体" w:hAnsi="宋体" w:eastAsia="宋体"/>
          <w:sz w:val="24"/>
          <w:lang w:val="en-US" w:eastAsia="zh-CN"/>
        </w:rPr>
        <w:t>公司所产</w:t>
      </w:r>
      <w:r>
        <w:rPr>
          <w:rFonts w:hint="eastAsia" w:ascii="宋体" w:hAnsi="宋体" w:eastAsia="宋体"/>
          <w:sz w:val="24"/>
        </w:rPr>
        <w:t>金属铬大批量</w:t>
      </w:r>
      <w:r>
        <w:rPr>
          <w:rFonts w:hint="eastAsia" w:ascii="宋体" w:hAnsi="宋体" w:eastAsia="宋体"/>
          <w:sz w:val="24"/>
          <w:lang w:val="en-US" w:eastAsia="zh-CN"/>
        </w:rPr>
        <w:t>应</w:t>
      </w:r>
      <w:r>
        <w:rPr>
          <w:rFonts w:hint="eastAsia" w:ascii="宋体" w:hAnsi="宋体" w:eastAsia="宋体"/>
          <w:sz w:val="24"/>
        </w:rPr>
        <w:t>用于燃气轮机</w:t>
      </w:r>
      <w:r>
        <w:rPr>
          <w:rFonts w:hint="eastAsia" w:ascii="宋体" w:hAnsi="宋体" w:eastAsia="宋体"/>
          <w:sz w:val="24"/>
          <w:lang w:val="en-US" w:eastAsia="zh-CN"/>
        </w:rPr>
        <w:t>等电力设备</w:t>
      </w:r>
      <w:r>
        <w:rPr>
          <w:rFonts w:hint="eastAsia" w:ascii="宋体" w:hAnsi="宋体" w:eastAsia="宋体"/>
          <w:sz w:val="24"/>
        </w:rPr>
        <w:t>领域</w:t>
      </w:r>
      <w:r>
        <w:rPr>
          <w:rFonts w:hint="eastAsia" w:ascii="宋体" w:hAnsi="宋体" w:eastAsia="宋体"/>
          <w:sz w:val="24"/>
          <w:lang w:val="en-US" w:eastAsia="zh-CN"/>
        </w:rPr>
        <w:t>的明确依据</w:t>
      </w:r>
      <w:r>
        <w:rPr>
          <w:rFonts w:hint="eastAsia" w:ascii="宋体" w:hAnsi="宋体" w:eastAsia="宋体"/>
          <w:sz w:val="24"/>
        </w:rPr>
        <w:t>。</w:t>
      </w:r>
    </w:p>
    <w:p w14:paraId="7B5478A1">
      <w:pPr>
        <w:spacing w:line="360" w:lineRule="auto"/>
        <w:ind w:firstLine="42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BE作为</w:t>
      </w:r>
      <w:r>
        <w:rPr>
          <w:rFonts w:hint="eastAsia" w:ascii="宋体" w:hAnsi="宋体" w:eastAsia="宋体"/>
          <w:sz w:val="24"/>
          <w:lang w:val="en-US" w:eastAsia="zh-CN"/>
        </w:rPr>
        <w:t>电力设备制造商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对公司铬材料的需求预计将通过中游的器件厂商间接实现。截止目前，公司已与BE供应链上多家金属连接件厂商进行了接洽或直接合作，后续相关进展将视情及时履行信披义务。</w:t>
      </w:r>
    </w:p>
    <w:p w14:paraId="079CCFC9">
      <w:pPr>
        <w:spacing w:line="360" w:lineRule="auto"/>
        <w:ind w:firstLine="42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问题2：泰国基地并购进展及海外发展规划？</w:t>
      </w:r>
    </w:p>
    <w:p w14:paraId="064719BE">
      <w:pPr>
        <w:spacing w:line="360" w:lineRule="auto"/>
        <w:ind w:firstLine="42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泰国公司于2025年11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月完成交割，设计产能</w:t>
      </w:r>
      <w:r>
        <w:rPr>
          <w:rFonts w:hint="eastAsia" w:ascii="宋体" w:hAnsi="宋体" w:eastAsia="宋体"/>
          <w:b w:val="0"/>
          <w:bCs w:val="0"/>
          <w:color w:val="auto"/>
          <w:sz w:val="24"/>
        </w:rPr>
        <w:t>7300</w:t>
      </w:r>
      <w:r>
        <w:rPr>
          <w:rFonts w:hint="eastAsia" w:ascii="宋体" w:hAnsi="宋体" w:eastAsia="宋体"/>
          <w:sz w:val="24"/>
        </w:rPr>
        <w:t>吨，仅生产碱式硫酸铬，历史上曾为英国西方化学投资企业，后由当地家族经营，因无原材料优势经营不佳，公司以接近土地评估价的价格</w:t>
      </w:r>
      <w:r>
        <w:rPr>
          <w:rFonts w:hint="eastAsia" w:ascii="宋体" w:hAnsi="宋体" w:eastAsia="宋体"/>
          <w:sz w:val="24"/>
          <w:lang w:val="en-US" w:eastAsia="zh-CN"/>
        </w:rPr>
        <w:t>实现</w:t>
      </w:r>
      <w:r>
        <w:rPr>
          <w:rFonts w:hint="eastAsia" w:ascii="宋体" w:hAnsi="宋体" w:eastAsia="宋体"/>
          <w:sz w:val="24"/>
        </w:rPr>
        <w:t>并购，性价比较高。</w:t>
      </w:r>
      <w:r>
        <w:rPr>
          <w:rFonts w:hint="eastAsia" w:ascii="宋体" w:hAnsi="宋体" w:eastAsia="宋体"/>
          <w:sz w:val="24"/>
          <w:lang w:val="en-US" w:eastAsia="zh-CN"/>
        </w:rPr>
        <w:t>该厂预计</w:t>
      </w:r>
      <w:r>
        <w:rPr>
          <w:rFonts w:hint="eastAsia" w:ascii="宋体" w:hAnsi="宋体" w:eastAsia="宋体"/>
          <w:sz w:val="24"/>
        </w:rPr>
        <w:t>短期内难以</w:t>
      </w:r>
      <w:r>
        <w:rPr>
          <w:rFonts w:hint="eastAsia" w:ascii="宋体" w:hAnsi="宋体" w:eastAsia="宋体"/>
          <w:sz w:val="24"/>
          <w:lang w:val="en-US" w:eastAsia="zh-CN"/>
        </w:rPr>
        <w:t>实现</w:t>
      </w:r>
      <w:r>
        <w:rPr>
          <w:rFonts w:hint="eastAsia" w:ascii="宋体" w:hAnsi="宋体" w:eastAsia="宋体"/>
          <w:sz w:val="24"/>
        </w:rPr>
        <w:t>大规模</w:t>
      </w:r>
      <w:r>
        <w:rPr>
          <w:rFonts w:hint="eastAsia" w:ascii="宋体" w:hAnsi="宋体" w:eastAsia="宋体"/>
          <w:sz w:val="24"/>
          <w:lang w:val="en-US" w:eastAsia="zh-CN"/>
        </w:rPr>
        <w:t>增产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公司对其定位为海外首个生产基地</w:t>
      </w:r>
      <w:r>
        <w:rPr>
          <w:rFonts w:hint="eastAsia" w:ascii="宋体" w:hAnsi="宋体" w:eastAsia="宋体"/>
          <w:sz w:val="24"/>
        </w:rPr>
        <w:t>，并计划依托当地区位优势开展转口贸易，辐射东南亚市场，规避</w:t>
      </w:r>
      <w:r>
        <w:rPr>
          <w:rFonts w:hint="eastAsia" w:ascii="宋体" w:hAnsi="宋体" w:eastAsia="宋体"/>
          <w:sz w:val="24"/>
          <w:lang w:val="en-US" w:eastAsia="zh-CN"/>
        </w:rPr>
        <w:t>地缘</w:t>
      </w:r>
      <w:r>
        <w:rPr>
          <w:rFonts w:hint="eastAsia" w:ascii="宋体" w:hAnsi="宋体" w:eastAsia="宋体"/>
          <w:sz w:val="24"/>
        </w:rPr>
        <w:t>风险</w:t>
      </w:r>
      <w:r>
        <w:rPr>
          <w:rFonts w:hint="eastAsia" w:ascii="宋体" w:hAnsi="宋体" w:eastAsia="宋体"/>
          <w:sz w:val="24"/>
          <w:lang w:val="en-US" w:eastAsia="zh-CN"/>
        </w:rPr>
        <w:t>因素</w:t>
      </w:r>
      <w:r>
        <w:rPr>
          <w:rFonts w:hint="eastAsia" w:ascii="宋体" w:hAnsi="宋体" w:eastAsia="宋体"/>
          <w:sz w:val="24"/>
        </w:rPr>
        <w:t>。</w:t>
      </w:r>
    </w:p>
    <w:p w14:paraId="5179F117">
      <w:pPr>
        <w:spacing w:line="360" w:lineRule="auto"/>
        <w:ind w:firstLine="42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问题3：1GW的SOFC和1GW燃气轮机对铬的消耗量及单GW价值量大概是多少？</w:t>
      </w:r>
    </w:p>
    <w:p w14:paraId="21180A13">
      <w:pPr>
        <w:spacing w:line="360" w:lineRule="auto"/>
        <w:ind w:firstLine="42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公司作为原材料厂商，</w:t>
      </w:r>
      <w:r>
        <w:rPr>
          <w:rFonts w:hint="eastAsia" w:ascii="宋体" w:hAnsi="宋体" w:eastAsia="宋体"/>
          <w:sz w:val="24"/>
          <w:lang w:val="en-US" w:eastAsia="zh-CN"/>
        </w:rPr>
        <w:t>对相关器件的金属铬单耗情况未能直接评估。</w:t>
      </w:r>
      <w:r>
        <w:rPr>
          <w:rFonts w:hint="eastAsia" w:ascii="宋体" w:hAnsi="宋体" w:eastAsia="宋体"/>
          <w:sz w:val="24"/>
        </w:rPr>
        <w:t>市场上不同测算数据差异较大，具体可参考国海化工等卖方团队的研究数据。</w:t>
      </w:r>
    </w:p>
    <w:p w14:paraId="2874D60A">
      <w:pPr>
        <w:spacing w:line="360" w:lineRule="auto"/>
        <w:ind w:firstLine="42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问题4：2026年全年铬产品供需缺口、价格涨幅及单吨利润预期？4月份当前单吨盈利情况？</w:t>
      </w:r>
    </w:p>
    <w:p w14:paraId="2543FBAD">
      <w:pPr>
        <w:spacing w:line="360" w:lineRule="auto"/>
        <w:ind w:firstLine="42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下游需求扩容</w:t>
      </w:r>
      <w:r>
        <w:rPr>
          <w:rFonts w:hint="eastAsia" w:ascii="宋体" w:hAnsi="宋体" w:eastAsia="宋体"/>
          <w:sz w:val="24"/>
          <w:lang w:val="en-US" w:eastAsia="zh-CN"/>
        </w:rPr>
        <w:t>效应显著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公司在</w:t>
      </w:r>
      <w:r>
        <w:rPr>
          <w:rFonts w:hint="eastAsia" w:ascii="宋体" w:hAnsi="宋体" w:eastAsia="宋体"/>
          <w:sz w:val="24"/>
        </w:rPr>
        <w:t>供给端也在持续发力，全年是否存在大幅供需缺口存在不确定性，不建议过度博弈价格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宋体" w:hAnsi="宋体" w:eastAsia="宋体"/>
          <w:sz w:val="24"/>
          <w:lang w:val="en-US" w:eastAsia="zh-CN"/>
        </w:rPr>
        <w:t>近期</w:t>
      </w:r>
      <w:r>
        <w:rPr>
          <w:rFonts w:hint="eastAsia" w:ascii="宋体" w:hAnsi="宋体" w:eastAsia="宋体"/>
          <w:sz w:val="24"/>
        </w:rPr>
        <w:t>金属铬单吨盈利与其他铬盐产品毛利率</w:t>
      </w:r>
      <w:r>
        <w:rPr>
          <w:rFonts w:hint="eastAsia" w:ascii="宋体" w:hAnsi="宋体" w:eastAsia="宋体"/>
          <w:sz w:val="24"/>
          <w:lang w:val="en-US" w:eastAsia="zh-CN"/>
        </w:rPr>
        <w:t>相比</w:t>
      </w:r>
      <w:r>
        <w:rPr>
          <w:rFonts w:hint="eastAsia" w:ascii="宋体" w:hAnsi="宋体" w:eastAsia="宋体"/>
          <w:sz w:val="24"/>
        </w:rPr>
        <w:t>差异不大，</w:t>
      </w:r>
      <w:r>
        <w:rPr>
          <w:rFonts w:hint="eastAsia" w:ascii="宋体" w:hAnsi="宋体" w:eastAsia="宋体"/>
          <w:sz w:val="24"/>
          <w:lang w:val="en-US" w:eastAsia="zh-CN"/>
        </w:rPr>
        <w:t>从源头</w:t>
      </w:r>
      <w:r>
        <w:rPr>
          <w:rFonts w:hint="eastAsia" w:ascii="宋体" w:hAnsi="宋体" w:eastAsia="宋体"/>
          <w:sz w:val="24"/>
        </w:rPr>
        <w:t>重铬酸钠</w:t>
      </w:r>
      <w:r>
        <w:rPr>
          <w:rFonts w:hint="eastAsia" w:ascii="宋体" w:hAnsi="宋体" w:eastAsia="宋体"/>
          <w:sz w:val="24"/>
          <w:lang w:val="en-US" w:eastAsia="zh-CN"/>
        </w:rPr>
        <w:t>作为起始点</w:t>
      </w:r>
      <w:r>
        <w:rPr>
          <w:rFonts w:hint="eastAsia" w:ascii="宋体" w:hAnsi="宋体" w:eastAsia="宋体"/>
          <w:sz w:val="24"/>
        </w:rPr>
        <w:t>核算</w:t>
      </w:r>
      <w:r>
        <w:rPr>
          <w:rFonts w:hint="eastAsia" w:ascii="宋体" w:hAnsi="宋体" w:eastAsia="宋体"/>
          <w:sz w:val="24"/>
          <w:lang w:val="en-US" w:eastAsia="zh-CN"/>
        </w:rPr>
        <w:t>单吨</w:t>
      </w:r>
      <w:r>
        <w:rPr>
          <w:rFonts w:hint="eastAsia" w:ascii="宋体" w:hAnsi="宋体" w:eastAsia="宋体"/>
          <w:sz w:val="24"/>
        </w:rPr>
        <w:t>利润相对最高。</w:t>
      </w:r>
    </w:p>
    <w:p w14:paraId="5AE509A9">
      <w:pPr>
        <w:spacing w:line="360" w:lineRule="auto"/>
        <w:ind w:firstLine="42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问题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4"/>
        </w:rPr>
        <w:t>：海外铬产品供给端是否存在约束？</w:t>
      </w:r>
    </w:p>
    <w:p w14:paraId="1FB075AF">
      <w:pPr>
        <w:spacing w:line="360" w:lineRule="auto"/>
        <w:ind w:firstLine="42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海外供给侧约束相对较强，单质铬主要厂商仅3家，重铬酸钠主要厂商仅</w:t>
      </w:r>
      <w:r>
        <w:rPr>
          <w:rFonts w:hint="eastAsia" w:ascii="宋体" w:hAnsi="宋体" w:eastAsia="宋体"/>
          <w:sz w:val="24"/>
          <w:lang w:val="en-US" w:eastAsia="zh-CN"/>
        </w:rPr>
        <w:t>6-7</w:t>
      </w:r>
      <w:r>
        <w:rPr>
          <w:rFonts w:hint="eastAsia" w:ascii="宋体" w:hAnsi="宋体" w:eastAsia="宋体"/>
          <w:sz w:val="24"/>
        </w:rPr>
        <w:t>家，且多数厂商产能</w:t>
      </w:r>
      <w:r>
        <w:rPr>
          <w:rFonts w:hint="eastAsia" w:ascii="宋体" w:hAnsi="宋体" w:eastAsia="宋体"/>
          <w:sz w:val="24"/>
          <w:lang w:val="en-US" w:eastAsia="zh-CN"/>
        </w:rPr>
        <w:t>弹性</w:t>
      </w:r>
      <w:r>
        <w:rPr>
          <w:rFonts w:hint="eastAsia" w:ascii="宋体" w:hAnsi="宋体" w:eastAsia="宋体"/>
          <w:sz w:val="24"/>
        </w:rPr>
        <w:t>有限。</w:t>
      </w:r>
      <w:r>
        <w:rPr>
          <w:rFonts w:hint="eastAsia" w:ascii="宋体" w:hAnsi="宋体" w:eastAsia="宋体"/>
          <w:sz w:val="24"/>
          <w:lang w:val="en-US" w:eastAsia="zh-CN"/>
        </w:rPr>
        <w:t>近期</w:t>
      </w:r>
      <w:r>
        <w:rPr>
          <w:rFonts w:hint="eastAsia" w:ascii="宋体" w:hAnsi="宋体" w:eastAsia="宋体"/>
          <w:sz w:val="24"/>
        </w:rPr>
        <w:t>值得关注的变量是俄罗斯（2家铬盐厂），受俄乌冲突影响产能利用率不足，但未完全停产，</w:t>
      </w:r>
      <w:r>
        <w:rPr>
          <w:rFonts w:hint="eastAsia" w:ascii="宋体" w:hAnsi="宋体" w:eastAsia="宋体"/>
          <w:sz w:val="24"/>
          <w:lang w:val="en-US" w:eastAsia="zh-CN"/>
        </w:rPr>
        <w:t>近年来</w:t>
      </w:r>
      <w:r>
        <w:rPr>
          <w:rFonts w:hint="eastAsia" w:ascii="宋体" w:hAnsi="宋体" w:eastAsia="宋体"/>
          <w:sz w:val="24"/>
        </w:rPr>
        <w:t>具体产量数据难以获取。2026年一季度海外需求一般，</w:t>
      </w:r>
      <w:r>
        <w:rPr>
          <w:rFonts w:hint="eastAsia" w:ascii="宋体" w:hAnsi="宋体" w:eastAsia="宋体"/>
          <w:sz w:val="24"/>
          <w:lang w:val="en-US" w:eastAsia="zh-CN"/>
        </w:rPr>
        <w:t>如前所述，部分行业的</w:t>
      </w:r>
      <w:r>
        <w:rPr>
          <w:rFonts w:hint="eastAsia" w:ascii="宋体" w:hAnsi="宋体" w:eastAsia="宋体"/>
          <w:sz w:val="24"/>
        </w:rPr>
        <w:t>需求提升尚未充分兑现，预计下半年公司可能加大海</w:t>
      </w:r>
      <w:r>
        <w:rPr>
          <w:rFonts w:hint="eastAsia" w:ascii="宋体" w:hAnsi="宋体" w:eastAsia="宋体"/>
          <w:sz w:val="24"/>
          <w:lang w:val="en-US" w:eastAsia="zh-CN"/>
        </w:rPr>
        <w:t>外</w:t>
      </w:r>
      <w:r>
        <w:rPr>
          <w:rFonts w:hint="eastAsia" w:ascii="宋体" w:hAnsi="宋体" w:eastAsia="宋体"/>
          <w:sz w:val="24"/>
        </w:rPr>
        <w:t>市场开拓力度。</w:t>
      </w:r>
    </w:p>
    <w:p w14:paraId="4F9F7385">
      <w:pPr>
        <w:spacing w:line="360" w:lineRule="auto"/>
        <w:ind w:firstLine="42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问题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4"/>
        </w:rPr>
        <w:t>：SOFC用金属铬与常规金属铬的价格差异？</w:t>
      </w:r>
    </w:p>
    <w:p w14:paraId="45CF596E">
      <w:pPr>
        <w:spacing w:line="360" w:lineRule="auto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价差超1万元/吨，SOFC对材料精细度要求严苛，标准难以放松，公司正推进该类产品的规模化、低成本生产。</w:t>
      </w:r>
    </w:p>
    <w:p w14:paraId="5E0CDB96">
      <w:pPr>
        <w:spacing w:line="360" w:lineRule="auto"/>
        <w:ind w:firstLine="420"/>
        <w:rPr>
          <w:rFonts w:ascii="宋体" w:hAnsi="宋体" w:eastAsia="宋体"/>
          <w:sz w:val="24"/>
        </w:rPr>
      </w:pPr>
    </w:p>
    <w:p w14:paraId="5EF3F8E9">
      <w:pPr>
        <w:spacing w:line="360" w:lineRule="auto"/>
        <w:ind w:firstLine="420"/>
        <w:rPr>
          <w:rFonts w:ascii="宋体" w:hAnsi="宋体" w:eastAsia="宋体"/>
          <w:sz w:val="24"/>
        </w:rPr>
      </w:pPr>
    </w:p>
    <w:p w14:paraId="4D0A12AE">
      <w:pPr>
        <w:spacing w:line="360" w:lineRule="auto"/>
        <w:rPr>
          <w:rFonts w:ascii="宋体" w:hAnsi="宋体" w:eastAsia="宋体"/>
          <w:sz w:val="24"/>
        </w:rPr>
      </w:pPr>
    </w:p>
    <w:p w14:paraId="6D5EF0AF">
      <w:pPr>
        <w:spacing w:line="360" w:lineRule="auto"/>
        <w:rPr>
          <w:rFonts w:ascii="宋体" w:hAnsi="宋体" w:eastAsia="宋体"/>
          <w:sz w:val="24"/>
        </w:rPr>
      </w:pPr>
    </w:p>
    <w:p w14:paraId="50BA9320">
      <w:pPr>
        <w:spacing w:line="360" w:lineRule="auto"/>
        <w:rPr>
          <w:rFonts w:ascii="宋体" w:hAnsi="宋体" w:eastAsia="宋体"/>
          <w:sz w:val="24"/>
        </w:rPr>
      </w:pPr>
    </w:p>
    <w:p w14:paraId="60349E6E">
      <w:pPr>
        <w:spacing w:line="360" w:lineRule="auto"/>
        <w:rPr>
          <w:rFonts w:ascii="宋体" w:hAnsi="宋体" w:eastAsia="宋体"/>
          <w:sz w:val="24"/>
        </w:rPr>
      </w:pPr>
    </w:p>
    <w:p w14:paraId="1766CB1B">
      <w:pPr>
        <w:spacing w:line="360" w:lineRule="auto"/>
        <w:rPr>
          <w:rFonts w:ascii="宋体" w:hAnsi="宋体" w:eastAsia="宋体"/>
          <w:sz w:val="24"/>
        </w:rPr>
      </w:pPr>
    </w:p>
    <w:p w14:paraId="296596CA">
      <w:pPr>
        <w:spacing w:line="360" w:lineRule="auto"/>
        <w:rPr>
          <w:rFonts w:ascii="宋体" w:hAnsi="宋体" w:eastAsia="宋体"/>
          <w:sz w:val="24"/>
        </w:rPr>
      </w:pPr>
    </w:p>
    <w:p w14:paraId="4A95687B">
      <w:pPr>
        <w:spacing w:line="360" w:lineRule="auto"/>
        <w:rPr>
          <w:rFonts w:ascii="宋体" w:hAnsi="宋体" w:eastAsia="宋体"/>
          <w:sz w:val="24"/>
        </w:rPr>
      </w:pPr>
    </w:p>
    <w:p w14:paraId="128650DA">
      <w:pPr>
        <w:spacing w:line="360" w:lineRule="auto"/>
        <w:rPr>
          <w:rFonts w:ascii="宋体" w:hAnsi="宋体" w:eastAsia="宋体"/>
          <w:sz w:val="24"/>
        </w:rPr>
      </w:pPr>
    </w:p>
    <w:p w14:paraId="1A291906">
      <w:pPr>
        <w:spacing w:line="360" w:lineRule="auto"/>
        <w:rPr>
          <w:rFonts w:ascii="宋体" w:hAnsi="宋体" w:eastAsia="宋体"/>
          <w:sz w:val="24"/>
        </w:rPr>
      </w:pPr>
    </w:p>
    <w:p w14:paraId="7C9773EC">
      <w:pPr>
        <w:spacing w:line="360" w:lineRule="auto"/>
        <w:rPr>
          <w:rFonts w:ascii="宋体" w:hAnsi="宋体" w:eastAsia="宋体"/>
          <w:sz w:val="24"/>
        </w:rPr>
      </w:pPr>
    </w:p>
    <w:p w14:paraId="1B5AC62D">
      <w:pPr>
        <w:spacing w:line="360" w:lineRule="auto"/>
        <w:rPr>
          <w:rFonts w:ascii="宋体" w:hAnsi="宋体" w:eastAsia="宋体"/>
          <w:sz w:val="24"/>
        </w:rPr>
      </w:pPr>
    </w:p>
    <w:p w14:paraId="0DFA01DE">
      <w:pPr>
        <w:spacing w:line="360" w:lineRule="auto"/>
        <w:rPr>
          <w:rFonts w:ascii="宋体" w:hAnsi="宋体" w:eastAsia="宋体"/>
          <w:sz w:val="24"/>
        </w:rPr>
      </w:pPr>
    </w:p>
    <w:p w14:paraId="26020669">
      <w:pPr>
        <w:spacing w:line="360" w:lineRule="auto"/>
        <w:rPr>
          <w:rFonts w:ascii="宋体" w:hAnsi="宋体" w:eastAsia="宋体"/>
          <w:sz w:val="24"/>
        </w:rPr>
      </w:pPr>
    </w:p>
    <w:p w14:paraId="51D4FC8D">
      <w:pPr>
        <w:spacing w:line="360" w:lineRule="auto"/>
        <w:rPr>
          <w:rFonts w:ascii="宋体" w:hAnsi="宋体" w:eastAsia="宋体"/>
          <w:sz w:val="24"/>
        </w:rPr>
      </w:pPr>
    </w:p>
    <w:p w14:paraId="43E4B5DF">
      <w:pPr>
        <w:spacing w:line="360" w:lineRule="auto"/>
        <w:rPr>
          <w:rFonts w:ascii="宋体" w:hAnsi="宋体" w:eastAsia="宋体"/>
          <w:sz w:val="24"/>
        </w:rPr>
      </w:pPr>
    </w:p>
    <w:p w14:paraId="1B683E19">
      <w:pPr>
        <w:spacing w:line="360" w:lineRule="auto"/>
        <w:rPr>
          <w:rFonts w:hint="eastAsia" w:ascii="宋体" w:hAnsi="宋体" w:eastAsia="宋体"/>
          <w:sz w:val="24"/>
        </w:rPr>
      </w:pPr>
    </w:p>
    <w:p w14:paraId="5471B910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sz w:val="24"/>
        </w:rPr>
        <w:t>附：</w:t>
      </w:r>
      <w:r>
        <w:rPr>
          <w:rFonts w:hint="eastAsia" w:ascii="宋体" w:hAnsi="宋体" w:eastAsia="宋体"/>
          <w:sz w:val="24"/>
        </w:rPr>
        <w:t>部分</w:t>
      </w:r>
      <w:r>
        <w:rPr>
          <w:rFonts w:ascii="宋体" w:hAnsi="宋体" w:eastAsia="宋体"/>
          <w:sz w:val="24"/>
        </w:rPr>
        <w:t>参会机构清单（排名不分先后）</w:t>
      </w:r>
    </w:p>
    <w:p w14:paraId="295CDA7A">
      <w:pPr>
        <w:rPr>
          <w:rFonts w:ascii="宋体" w:hAnsi="宋体" w:eastAsia="宋体"/>
        </w:rPr>
      </w:pPr>
    </w:p>
    <w:p w14:paraId="6A2CDE14">
      <w:pPr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775AE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国海证券</w:t>
      </w:r>
    </w:p>
    <w:p w14:paraId="53E8419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开源自营</w:t>
      </w:r>
    </w:p>
    <w:p w14:paraId="102A061F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招商基金管理有限公司</w:t>
      </w:r>
    </w:p>
    <w:p w14:paraId="37397DD2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富国基金管理有限公司</w:t>
      </w:r>
    </w:p>
    <w:p w14:paraId="339CC1B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弥远投资</w:t>
      </w:r>
    </w:p>
    <w:p w14:paraId="1FC0A748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金鹰基金管理有限公司</w:t>
      </w:r>
    </w:p>
    <w:p w14:paraId="3CDE3D2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华宝基金</w:t>
      </w:r>
    </w:p>
    <w:p w14:paraId="267D641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长江资管</w:t>
      </w:r>
    </w:p>
    <w:p w14:paraId="33766E5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华富基金</w:t>
      </w:r>
    </w:p>
    <w:p w14:paraId="61732C0F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浦银安盛基金管理有限公司</w:t>
      </w:r>
    </w:p>
    <w:p w14:paraId="1A6E275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泉果基金</w:t>
      </w:r>
    </w:p>
    <w:p w14:paraId="0EE84A6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鹏扬基金管理有限公司</w:t>
      </w:r>
    </w:p>
    <w:p w14:paraId="007A95A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幻方</w:t>
      </w:r>
    </w:p>
    <w:p w14:paraId="79CAF6E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敦和资产管理有限公司</w:t>
      </w:r>
    </w:p>
    <w:p w14:paraId="7A6F360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泉果基金管理有限公司</w:t>
      </w:r>
    </w:p>
    <w:p w14:paraId="17790A8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正圆</w:t>
      </w:r>
    </w:p>
    <w:p w14:paraId="1994CDDC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国联基金</w:t>
      </w:r>
    </w:p>
    <w:p w14:paraId="7CAA1FF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鹏华基金</w:t>
      </w:r>
    </w:p>
    <w:p w14:paraId="2599965C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谢诺辰阳私募证券投资管理公司</w:t>
      </w:r>
    </w:p>
    <w:p w14:paraId="102A077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景顺长城基金</w:t>
      </w:r>
    </w:p>
    <w:p w14:paraId="376E058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盛宇投资</w:t>
      </w:r>
    </w:p>
    <w:p w14:paraId="12D5D718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睿远基金管理有限公司</w:t>
      </w:r>
    </w:p>
    <w:p w14:paraId="30A9742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弥远投资</w:t>
      </w:r>
    </w:p>
    <w:p w14:paraId="6FDA047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东方红</w:t>
      </w:r>
    </w:p>
    <w:p w14:paraId="19EA0C38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长安基金</w:t>
      </w:r>
    </w:p>
    <w:p w14:paraId="42E382C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华泰资管</w:t>
      </w:r>
    </w:p>
    <w:p w14:paraId="2D1DF71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国泰君安证券资产管理公司</w:t>
      </w:r>
    </w:p>
    <w:p w14:paraId="719D40E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阳光资产</w:t>
      </w:r>
    </w:p>
    <w:p w14:paraId="38CF374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兴银理财</w:t>
      </w:r>
    </w:p>
    <w:p w14:paraId="00879CF2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银叶投资</w:t>
      </w:r>
    </w:p>
    <w:p w14:paraId="6D9CABB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太平洋保险</w:t>
      </w:r>
    </w:p>
    <w:p w14:paraId="2E7416A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大成基金管理有限公司</w:t>
      </w:r>
    </w:p>
    <w:p w14:paraId="36959FD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东方阿尔法基金</w:t>
      </w:r>
    </w:p>
    <w:p w14:paraId="2522DF0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玖鹏资产</w:t>
      </w:r>
    </w:p>
    <w:p w14:paraId="34E03AA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鹤禧投资</w:t>
      </w:r>
    </w:p>
    <w:p w14:paraId="1935F45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中信建投基金</w:t>
      </w:r>
    </w:p>
    <w:p w14:paraId="45EBED9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嘉实</w:t>
      </w:r>
      <w:r>
        <w:rPr>
          <w:rFonts w:hint="eastAsia" w:ascii="宋体" w:hAnsi="宋体" w:eastAsia="宋体"/>
          <w:sz w:val="24"/>
          <w:lang w:val="en-US" w:eastAsia="zh-CN"/>
        </w:rPr>
        <w:t>基金</w:t>
      </w:r>
    </w:p>
    <w:p w14:paraId="0705E1D2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国海富兰克林基金管理有限公司</w:t>
      </w:r>
    </w:p>
    <w:p w14:paraId="07B4D85C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汇泉基金</w:t>
      </w:r>
    </w:p>
    <w:p w14:paraId="3FDCF53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北京清和泉资本管理有限公司</w:t>
      </w:r>
    </w:p>
    <w:p w14:paraId="1AB76CB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东方阿尔法基金</w:t>
      </w:r>
    </w:p>
    <w:p w14:paraId="648425F2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汐泰</w:t>
      </w:r>
    </w:p>
    <w:p w14:paraId="3CB0A19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国联安基金</w:t>
      </w:r>
    </w:p>
    <w:p w14:paraId="5F32D35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长城基金</w:t>
      </w:r>
    </w:p>
    <w:p w14:paraId="3BE1F1F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德邦基金管理有限公司</w:t>
      </w:r>
    </w:p>
    <w:p w14:paraId="660C704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华泰柏瑞基金管理有限公司</w:t>
      </w:r>
    </w:p>
    <w:p w14:paraId="063BAAE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建投自营</w:t>
      </w:r>
    </w:p>
    <w:p w14:paraId="3A17733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南方</w:t>
      </w:r>
      <w:r>
        <w:rPr>
          <w:rFonts w:hint="eastAsia" w:ascii="宋体" w:hAnsi="宋体" w:eastAsia="宋体"/>
          <w:sz w:val="24"/>
          <w:lang w:val="en-US" w:eastAsia="zh-CN"/>
        </w:rPr>
        <w:t>基金</w:t>
      </w:r>
    </w:p>
    <w:p w14:paraId="30AB2FD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华西基金</w:t>
      </w:r>
    </w:p>
    <w:p w14:paraId="3257FDF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开源自营</w:t>
      </w:r>
    </w:p>
    <w:p w14:paraId="017F4F9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建信基金管理有限责任公司</w:t>
      </w:r>
    </w:p>
    <w:p w14:paraId="78C50BDB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华夏基金</w:t>
      </w:r>
    </w:p>
    <w:p w14:paraId="3A64C8C8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北京东方睿石投资管理有限公司</w:t>
      </w:r>
    </w:p>
    <w:p w14:paraId="4777786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顺时代</w:t>
      </w:r>
    </w:p>
    <w:p w14:paraId="4D52AF6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泰康基金</w:t>
      </w:r>
    </w:p>
    <w:p w14:paraId="48F0DB0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德邦基金管理有限公司</w:t>
      </w:r>
    </w:p>
    <w:p w14:paraId="5B104F32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诚盛投资</w:t>
      </w:r>
    </w:p>
    <w:p w14:paraId="1BBB2A5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慈阳投资</w:t>
      </w:r>
    </w:p>
    <w:p w14:paraId="765380F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弥远投资</w:t>
      </w:r>
    </w:p>
    <w:p w14:paraId="7C87D3F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汇安基金</w:t>
      </w:r>
    </w:p>
    <w:p w14:paraId="01DB2F75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长江资管</w:t>
      </w:r>
    </w:p>
    <w:p w14:paraId="50B839B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启泰</w:t>
      </w:r>
    </w:p>
    <w:p w14:paraId="468A699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复胜资产</w:t>
      </w:r>
    </w:p>
    <w:p w14:paraId="47017D0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泰康资产管理有限责任公司</w:t>
      </w:r>
    </w:p>
    <w:p w14:paraId="1F255D3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易方达</w:t>
      </w:r>
    </w:p>
    <w:p w14:paraId="7775D64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华夏未来资本管理有限公司</w:t>
      </w:r>
    </w:p>
    <w:p w14:paraId="7EA95C3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开源自营</w:t>
      </w:r>
    </w:p>
    <w:p w14:paraId="4242C94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国华兴益资产</w:t>
      </w:r>
    </w:p>
    <w:p w14:paraId="172F630F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中银</w:t>
      </w:r>
    </w:p>
    <w:p w14:paraId="0FF802E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信达澳亚基金</w:t>
      </w:r>
    </w:p>
    <w:p w14:paraId="38932FB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华安基金管理有限公司</w:t>
      </w:r>
    </w:p>
    <w:p w14:paraId="0199EE8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德邦基金管理有限公司</w:t>
      </w:r>
    </w:p>
    <w:p w14:paraId="096148C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喜世润投资</w:t>
      </w:r>
    </w:p>
    <w:p w14:paraId="0EC4A4C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鲁商基金</w:t>
      </w:r>
    </w:p>
    <w:p w14:paraId="28F1A01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中欧基金管理有限公司</w:t>
      </w:r>
    </w:p>
    <w:p w14:paraId="58973E4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臻挚基金</w:t>
      </w:r>
    </w:p>
    <w:p w14:paraId="3D3C7B1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银华基金管理有限公司</w:t>
      </w:r>
    </w:p>
    <w:p w14:paraId="544BDB2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光大保德信基金管理有限公司</w:t>
      </w:r>
    </w:p>
    <w:p w14:paraId="7D235C4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彤源</w:t>
      </w:r>
    </w:p>
    <w:p w14:paraId="741DA1CB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拾贝投资</w:t>
      </w:r>
    </w:p>
    <w:p w14:paraId="2FD4DA3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 w14:paraId="13C33D9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 w14:paraId="441E1DF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 w14:paraId="526FBC2F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 w14:paraId="239326C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 w14:paraId="5F44442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太平基金</w:t>
      </w:r>
    </w:p>
    <w:p w14:paraId="58F6DF5C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复胜资产</w:t>
      </w:r>
    </w:p>
    <w:p w14:paraId="11E3B4C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盘京</w:t>
      </w:r>
    </w:p>
    <w:p w14:paraId="679BD0EC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海通证券资产管理有限公司</w:t>
      </w:r>
    </w:p>
    <w:p w14:paraId="5FAACD4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浙商化工</w:t>
      </w:r>
    </w:p>
    <w:p w14:paraId="36919A3F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与取投资</w:t>
      </w:r>
    </w:p>
    <w:p w14:paraId="7D3EC8E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汇华理财有限公司</w:t>
      </w:r>
    </w:p>
    <w:p w14:paraId="6CAD52C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友邦保险资产管理中心</w:t>
      </w:r>
    </w:p>
    <w:p w14:paraId="504C890F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鹏华基金</w:t>
      </w:r>
    </w:p>
    <w:p w14:paraId="2332E14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利幄基金</w:t>
      </w:r>
    </w:p>
    <w:p w14:paraId="71F9896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鑫融长弘</w:t>
      </w:r>
    </w:p>
    <w:p w14:paraId="0D18429B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驼铃资产</w:t>
      </w:r>
    </w:p>
    <w:p w14:paraId="76BFEB3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盛宇投资</w:t>
      </w:r>
    </w:p>
    <w:p w14:paraId="3BB015B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国寿资产</w:t>
      </w:r>
    </w:p>
    <w:p w14:paraId="6D3EF5A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嘉实基金管理有限公司</w:t>
      </w:r>
    </w:p>
    <w:p w14:paraId="236333DB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江苏养正基金</w:t>
      </w:r>
    </w:p>
    <w:p w14:paraId="2FC91BEC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东北证券</w:t>
      </w:r>
    </w:p>
    <w:p w14:paraId="5140EB8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开源自营</w:t>
      </w:r>
    </w:p>
    <w:p w14:paraId="04B7AD0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汉和资本</w:t>
      </w:r>
    </w:p>
    <w:p w14:paraId="75D179B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国投瑞银基金</w:t>
      </w:r>
    </w:p>
    <w:p w14:paraId="11B3CB9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渤海自营</w:t>
      </w:r>
    </w:p>
    <w:p w14:paraId="69FB8ED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富国基金管理有限公司</w:t>
      </w:r>
    </w:p>
    <w:p w14:paraId="4075FE8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中信资管</w:t>
      </w:r>
    </w:p>
    <w:p w14:paraId="10D11CAA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中信建投资管</w:t>
      </w:r>
    </w:p>
    <w:sectPr>
      <w:type w:val="continuous"/>
      <w:pgSz w:w="11906" w:h="16838"/>
      <w:pgMar w:top="1440" w:right="1800" w:bottom="1440" w:left="1800" w:header="851" w:footer="992" w:gutter="0"/>
      <w:cols w:space="427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B8"/>
    <w:rsid w:val="001423B8"/>
    <w:rsid w:val="003D7EAA"/>
    <w:rsid w:val="00504272"/>
    <w:rsid w:val="005F2DE7"/>
    <w:rsid w:val="00761BEE"/>
    <w:rsid w:val="008716F9"/>
    <w:rsid w:val="008C5414"/>
    <w:rsid w:val="00A00ABD"/>
    <w:rsid w:val="00AF3036"/>
    <w:rsid w:val="00B7499F"/>
    <w:rsid w:val="00BA0CF4"/>
    <w:rsid w:val="00BE1F01"/>
    <w:rsid w:val="00C65C32"/>
    <w:rsid w:val="00F6205A"/>
    <w:rsid w:val="041A4BC4"/>
    <w:rsid w:val="052B5A86"/>
    <w:rsid w:val="06556995"/>
    <w:rsid w:val="0680336B"/>
    <w:rsid w:val="06831993"/>
    <w:rsid w:val="09111AD8"/>
    <w:rsid w:val="0A2B46FB"/>
    <w:rsid w:val="0B442596"/>
    <w:rsid w:val="0C402E98"/>
    <w:rsid w:val="0D444E52"/>
    <w:rsid w:val="0E1B645E"/>
    <w:rsid w:val="0E29390E"/>
    <w:rsid w:val="0E36015A"/>
    <w:rsid w:val="0E99786A"/>
    <w:rsid w:val="11812847"/>
    <w:rsid w:val="11DE4C10"/>
    <w:rsid w:val="12186166"/>
    <w:rsid w:val="121D65A6"/>
    <w:rsid w:val="1296148B"/>
    <w:rsid w:val="13085C96"/>
    <w:rsid w:val="135204E2"/>
    <w:rsid w:val="137D4F06"/>
    <w:rsid w:val="14950145"/>
    <w:rsid w:val="14BB05A5"/>
    <w:rsid w:val="19720CC7"/>
    <w:rsid w:val="1B76772E"/>
    <w:rsid w:val="1C2C6690"/>
    <w:rsid w:val="1DA72BD2"/>
    <w:rsid w:val="1DCE56C2"/>
    <w:rsid w:val="1FEA77EA"/>
    <w:rsid w:val="20783BD5"/>
    <w:rsid w:val="208A1DD0"/>
    <w:rsid w:val="20F967CB"/>
    <w:rsid w:val="21D000A1"/>
    <w:rsid w:val="21ED5C9E"/>
    <w:rsid w:val="23E869F5"/>
    <w:rsid w:val="23E96C56"/>
    <w:rsid w:val="242B6463"/>
    <w:rsid w:val="245E2EB7"/>
    <w:rsid w:val="24D740D4"/>
    <w:rsid w:val="27F10EB9"/>
    <w:rsid w:val="2829657C"/>
    <w:rsid w:val="284705A3"/>
    <w:rsid w:val="28DB0E17"/>
    <w:rsid w:val="2B5C62D6"/>
    <w:rsid w:val="2BBB4D85"/>
    <w:rsid w:val="2CAA5B36"/>
    <w:rsid w:val="2D5766F2"/>
    <w:rsid w:val="2E2A44CC"/>
    <w:rsid w:val="2E2B600A"/>
    <w:rsid w:val="2E5B5A11"/>
    <w:rsid w:val="30164F71"/>
    <w:rsid w:val="301864D8"/>
    <w:rsid w:val="30D034A6"/>
    <w:rsid w:val="314D2665"/>
    <w:rsid w:val="323C204F"/>
    <w:rsid w:val="32867947"/>
    <w:rsid w:val="33F20F2A"/>
    <w:rsid w:val="34025567"/>
    <w:rsid w:val="355F7B83"/>
    <w:rsid w:val="35CB1A33"/>
    <w:rsid w:val="36092362"/>
    <w:rsid w:val="368A0898"/>
    <w:rsid w:val="38251365"/>
    <w:rsid w:val="39AE31FE"/>
    <w:rsid w:val="3EAB715E"/>
    <w:rsid w:val="3EDB7CDF"/>
    <w:rsid w:val="3F843922"/>
    <w:rsid w:val="3FE226B1"/>
    <w:rsid w:val="41016309"/>
    <w:rsid w:val="4178536E"/>
    <w:rsid w:val="41E82651"/>
    <w:rsid w:val="42984ED8"/>
    <w:rsid w:val="43DB5D75"/>
    <w:rsid w:val="43FF251E"/>
    <w:rsid w:val="4403588A"/>
    <w:rsid w:val="44251211"/>
    <w:rsid w:val="44C332FB"/>
    <w:rsid w:val="459256AF"/>
    <w:rsid w:val="461F3A42"/>
    <w:rsid w:val="47B47C62"/>
    <w:rsid w:val="487C4121"/>
    <w:rsid w:val="49770273"/>
    <w:rsid w:val="4D8F1FA6"/>
    <w:rsid w:val="4DA25B6E"/>
    <w:rsid w:val="50532ED8"/>
    <w:rsid w:val="52792817"/>
    <w:rsid w:val="52DA47A5"/>
    <w:rsid w:val="561D48DC"/>
    <w:rsid w:val="56F516FB"/>
    <w:rsid w:val="578329F2"/>
    <w:rsid w:val="57897363"/>
    <w:rsid w:val="579307E4"/>
    <w:rsid w:val="57CF724B"/>
    <w:rsid w:val="58262E54"/>
    <w:rsid w:val="58BD2FA6"/>
    <w:rsid w:val="5A414E3D"/>
    <w:rsid w:val="5C501C37"/>
    <w:rsid w:val="5CE60978"/>
    <w:rsid w:val="5DE60909"/>
    <w:rsid w:val="5ED11AAC"/>
    <w:rsid w:val="60A649E3"/>
    <w:rsid w:val="60AE37A4"/>
    <w:rsid w:val="61C74E18"/>
    <w:rsid w:val="62544EB1"/>
    <w:rsid w:val="6349330C"/>
    <w:rsid w:val="64D05E30"/>
    <w:rsid w:val="65D53316"/>
    <w:rsid w:val="66C642AD"/>
    <w:rsid w:val="66EB5EA7"/>
    <w:rsid w:val="67EA5309"/>
    <w:rsid w:val="67FE0C0D"/>
    <w:rsid w:val="684A6627"/>
    <w:rsid w:val="69244A55"/>
    <w:rsid w:val="6A546D07"/>
    <w:rsid w:val="6BC41F84"/>
    <w:rsid w:val="6C5922CC"/>
    <w:rsid w:val="6E0F0C9C"/>
    <w:rsid w:val="6EBD43BD"/>
    <w:rsid w:val="7196383B"/>
    <w:rsid w:val="743566B8"/>
    <w:rsid w:val="74A72748"/>
    <w:rsid w:val="76B241A4"/>
    <w:rsid w:val="76FA4881"/>
    <w:rsid w:val="77215ED0"/>
    <w:rsid w:val="77AE1312"/>
    <w:rsid w:val="78C85AB3"/>
    <w:rsid w:val="7C880586"/>
    <w:rsid w:val="7D2E5E40"/>
    <w:rsid w:val="7F313E35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3124</Words>
  <Characters>3240</Characters>
  <Lines>74</Lines>
  <Paragraphs>69</Paragraphs>
  <TotalTime>11</TotalTime>
  <ScaleCrop>false</ScaleCrop>
  <LinksUpToDate>false</LinksUpToDate>
  <CharactersWithSpaces>3253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2024-12-30T08:15:00Z</dcterms:created>
  <dc:creator>Administrator</dc:creator>
  <cp:lastModifiedBy>cherish</cp:lastModifiedBy>
  <dcterms:modified xsi:type="dcterms:W3CDTF">2026-04-30T06:04:54Z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5AE9778CA17D48FEA73CD4B286FE1CD6_13</vt:lpwstr>
  </property>
  <property fmtid="{D5CDD505-2E9C-101B-9397-08002B2CF9AE}" pid="4" name="KSOTemplateDocerSaveRecord">
    <vt:lpwstr>eyJoZGlkIjoiM2MyZmQ2NTVlYmQ3ODBjMjg3YWVmNDk3OGFjZWM4MzEiLCJ1c2VySWQiOiI0MjAzMDg2MTgifQ==</vt:lpwstr>
  </property>
</Properties>
</file>