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45B7">
      <w:pPr>
        <w:spacing w:line="43" w:lineRule="exact"/>
      </w:pPr>
    </w:p>
    <w:tbl>
      <w:tblPr>
        <w:tblStyle w:val="7"/>
        <w:tblW w:w="7897" w:type="dxa"/>
        <w:tblInd w:w="44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8"/>
        <w:gridCol w:w="3999"/>
      </w:tblGrid>
      <w:tr w14:paraId="0B443E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898" w:type="dxa"/>
          </w:tcPr>
          <w:p w14:paraId="2279A329">
            <w:pPr>
              <w:pStyle w:val="8"/>
              <w:spacing w:line="219" w:lineRule="auto"/>
              <w:outlineLvl w:val="0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证券代码：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688779</w:t>
            </w:r>
          </w:p>
        </w:tc>
        <w:tc>
          <w:tcPr>
            <w:tcW w:w="3999" w:type="dxa"/>
          </w:tcPr>
          <w:p w14:paraId="43FC2E23">
            <w:pPr>
              <w:pStyle w:val="8"/>
              <w:spacing w:line="218" w:lineRule="auto"/>
              <w:jc w:val="right"/>
            </w:pPr>
            <w:r>
              <w:rPr>
                <w:b/>
                <w:bCs/>
                <w:spacing w:val="-3"/>
              </w:rPr>
              <w:t>证券简称：五矿新能</w:t>
            </w:r>
          </w:p>
        </w:tc>
      </w:tr>
      <w:tr w14:paraId="5921DB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898" w:type="dxa"/>
          </w:tcPr>
          <w:p w14:paraId="66293AA9">
            <w:pPr>
              <w:pStyle w:val="8"/>
              <w:spacing w:before="114" w:line="176" w:lineRule="auto"/>
              <w:outlineLvl w:val="0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转债代码：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118022</w:t>
            </w:r>
          </w:p>
        </w:tc>
        <w:tc>
          <w:tcPr>
            <w:tcW w:w="3999" w:type="dxa"/>
          </w:tcPr>
          <w:p w14:paraId="0E701318">
            <w:pPr>
              <w:pStyle w:val="8"/>
              <w:spacing w:before="114" w:line="176" w:lineRule="auto"/>
              <w:ind w:right="4"/>
              <w:jc w:val="right"/>
            </w:pPr>
            <w:r>
              <w:rPr>
                <w:b/>
                <w:bCs/>
                <w:spacing w:val="-3"/>
              </w:rPr>
              <w:t>转债简称：锂科转债</w:t>
            </w:r>
          </w:p>
        </w:tc>
      </w:tr>
    </w:tbl>
    <w:p w14:paraId="1D005166">
      <w:pPr>
        <w:spacing w:line="447" w:lineRule="auto"/>
      </w:pPr>
    </w:p>
    <w:p w14:paraId="2561889E">
      <w:pPr>
        <w:spacing w:before="101" w:line="224" w:lineRule="auto"/>
        <w:ind w:left="1869"/>
        <w:outlineLvl w:val="0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五矿新能源材料（湖南）股份有限公司</w:t>
      </w:r>
    </w:p>
    <w:p w14:paraId="671038EE">
      <w:pPr>
        <w:spacing w:before="246" w:line="225" w:lineRule="auto"/>
        <w:ind w:left="2993"/>
        <w:outlineLvl w:val="0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投资者关系活动记录表</w:t>
      </w:r>
    </w:p>
    <w:p w14:paraId="4E079756">
      <w:pPr>
        <w:spacing w:before="232" w:line="219" w:lineRule="auto"/>
        <w:ind w:right="254"/>
        <w:jc w:val="right"/>
        <w:outlineLvl w:val="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编号：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2026-00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1</w:t>
      </w:r>
    </w:p>
    <w:p w14:paraId="57DFB095">
      <w:pPr>
        <w:spacing w:line="146" w:lineRule="exact"/>
        <w:rPr>
          <w:lang w:eastAsia="zh-CN"/>
        </w:rPr>
      </w:pPr>
    </w:p>
    <w:tbl>
      <w:tblPr>
        <w:tblStyle w:val="7"/>
        <w:tblW w:w="86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6661"/>
      </w:tblGrid>
      <w:tr w14:paraId="12E91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957" w:type="dxa"/>
          </w:tcPr>
          <w:p w14:paraId="45D9F0F9">
            <w:pPr>
              <w:keepLines/>
              <w:widowControl w:val="0"/>
              <w:spacing w:line="246" w:lineRule="auto"/>
              <w:rPr>
                <w:lang w:eastAsia="zh-CN"/>
              </w:rPr>
            </w:pPr>
          </w:p>
          <w:p w14:paraId="543C5276">
            <w:pPr>
              <w:keepLines/>
              <w:widowControl w:val="0"/>
              <w:spacing w:line="246" w:lineRule="auto"/>
              <w:rPr>
                <w:lang w:eastAsia="zh-CN"/>
              </w:rPr>
            </w:pPr>
          </w:p>
          <w:p w14:paraId="202B50E1">
            <w:pPr>
              <w:keepLines/>
              <w:widowControl w:val="0"/>
              <w:spacing w:line="246" w:lineRule="auto"/>
              <w:rPr>
                <w:lang w:eastAsia="zh-CN"/>
              </w:rPr>
            </w:pPr>
          </w:p>
          <w:p w14:paraId="5681CB24">
            <w:pPr>
              <w:pStyle w:val="8"/>
              <w:keepLines/>
              <w:widowControl w:val="0"/>
              <w:spacing w:before="78" w:line="362" w:lineRule="auto"/>
              <w:ind w:left="744" w:right="134" w:hanging="599"/>
            </w:pPr>
            <w:r>
              <w:rPr>
                <w:b/>
                <w:bCs/>
                <w:spacing w:val="-4"/>
              </w:rPr>
              <w:t>投资者关系活动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类别</w:t>
            </w:r>
          </w:p>
        </w:tc>
        <w:tc>
          <w:tcPr>
            <w:tcW w:w="6661" w:type="dxa"/>
          </w:tcPr>
          <w:p w14:paraId="4F94C99D">
            <w:pPr>
              <w:pStyle w:val="8"/>
              <w:keepLines/>
              <w:widowControl w:val="0"/>
              <w:ind w:left="232"/>
              <w:jc w:val="both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特定对象调研</w:t>
            </w:r>
            <w:r>
              <w:rPr>
                <w:spacing w:val="9"/>
                <w:lang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分析师会议</w:t>
            </w:r>
          </w:p>
          <w:p w14:paraId="4DA0B86D">
            <w:pPr>
              <w:pStyle w:val="8"/>
              <w:keepLines/>
              <w:widowControl w:val="0"/>
              <w:ind w:left="232"/>
              <w:jc w:val="both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2"/>
                <w:lang w:eastAsia="zh-CN"/>
              </w:rPr>
              <w:t>□</w:t>
            </w:r>
            <w:r>
              <w:rPr>
                <w:spacing w:val="-2"/>
                <w:lang w:eastAsia="zh-CN"/>
              </w:rPr>
              <w:t>媒体采访</w:t>
            </w:r>
            <w:r>
              <w:rPr>
                <w:spacing w:val="7"/>
                <w:lang w:eastAsia="zh-CN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spacing w:val="5"/>
              </w:rPr>
              <w:sym w:font="Wingdings 2" w:char="0052"/>
            </w:r>
            <w:r>
              <w:rPr>
                <w:spacing w:val="-2"/>
                <w:lang w:eastAsia="zh-CN"/>
              </w:rPr>
              <w:t>业绩说明会</w:t>
            </w:r>
          </w:p>
          <w:p w14:paraId="67AFF6D3">
            <w:pPr>
              <w:pStyle w:val="8"/>
              <w:keepLines/>
              <w:widowControl w:val="0"/>
              <w:ind w:left="232"/>
              <w:jc w:val="both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6"/>
                <w:lang w:eastAsia="zh-CN"/>
              </w:rPr>
              <w:t>□</w:t>
            </w:r>
            <w:r>
              <w:rPr>
                <w:spacing w:val="6"/>
                <w:lang w:eastAsia="zh-CN"/>
              </w:rPr>
              <w:t>新闻发布会</w:t>
            </w:r>
            <w:r>
              <w:rPr>
                <w:spacing w:val="7"/>
                <w:lang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pacing w:val="6"/>
                <w:lang w:eastAsia="zh-CN"/>
              </w:rPr>
              <w:t>□</w:t>
            </w:r>
            <w:r>
              <w:rPr>
                <w:spacing w:val="6"/>
                <w:lang w:eastAsia="zh-CN"/>
              </w:rPr>
              <w:t>路演活动</w:t>
            </w:r>
          </w:p>
          <w:p w14:paraId="58A400B8">
            <w:pPr>
              <w:pStyle w:val="8"/>
              <w:keepLines/>
              <w:widowControl w:val="0"/>
              <w:ind w:left="232" w:right="2220"/>
              <w:jc w:val="both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2"/>
                <w:lang w:eastAsia="zh-CN"/>
              </w:rPr>
              <w:t>□</w:t>
            </w:r>
            <w:r>
              <w:rPr>
                <w:spacing w:val="-2"/>
                <w:lang w:eastAsia="zh-CN"/>
              </w:rPr>
              <w:t>现场参观</w:t>
            </w:r>
            <w:r>
              <w:rPr>
                <w:spacing w:val="6"/>
                <w:lang w:eastAsia="zh-CN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spacing w:val="5"/>
              </w:rPr>
              <w:sym w:font="Wingdings 2" w:char="0052"/>
            </w:r>
            <w:r>
              <w:rPr>
                <w:rFonts w:hint="eastAsia"/>
                <w:spacing w:val="6"/>
                <w:lang w:eastAsia="zh-CN"/>
              </w:rPr>
              <w:t>电话会议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其他 </w:t>
            </w:r>
            <w:r>
              <w:rPr>
                <w:u w:val="single"/>
                <w:lang w:eastAsia="zh-CN"/>
              </w:rPr>
              <w:t xml:space="preserve">            </w:t>
            </w:r>
          </w:p>
        </w:tc>
      </w:tr>
      <w:tr w14:paraId="27159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57" w:type="dxa"/>
          </w:tcPr>
          <w:p w14:paraId="76EC4E13">
            <w:pPr>
              <w:pStyle w:val="8"/>
              <w:keepLines/>
              <w:widowControl w:val="0"/>
              <w:spacing w:before="116" w:line="220" w:lineRule="auto"/>
              <w:ind w:left="264"/>
            </w:pPr>
            <w:r>
              <w:rPr>
                <w:b/>
                <w:bCs/>
                <w:spacing w:val="-4"/>
              </w:rPr>
              <w:t>参与单位名称</w:t>
            </w:r>
          </w:p>
        </w:tc>
        <w:tc>
          <w:tcPr>
            <w:tcW w:w="6661" w:type="dxa"/>
          </w:tcPr>
          <w:p w14:paraId="1ECCF6F2">
            <w:pPr>
              <w:pStyle w:val="8"/>
              <w:keepLines/>
              <w:widowControl w:val="0"/>
              <w:spacing w:before="115" w:line="219" w:lineRule="auto"/>
              <w:ind w:left="117"/>
            </w:pPr>
            <w:r>
              <w:rPr>
                <w:spacing w:val="-4"/>
              </w:rPr>
              <w:t>详见附件</w:t>
            </w:r>
          </w:p>
        </w:tc>
      </w:tr>
      <w:tr w14:paraId="15268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57" w:type="dxa"/>
          </w:tcPr>
          <w:p w14:paraId="1A515DE2">
            <w:pPr>
              <w:pStyle w:val="8"/>
              <w:keepLines/>
              <w:widowControl w:val="0"/>
              <w:spacing w:before="115" w:line="219" w:lineRule="auto"/>
              <w:ind w:left="503"/>
            </w:pPr>
            <w:r>
              <w:rPr>
                <w:b/>
                <w:bCs/>
                <w:spacing w:val="-5"/>
              </w:rPr>
              <w:t>会议时间</w:t>
            </w:r>
          </w:p>
        </w:tc>
        <w:tc>
          <w:tcPr>
            <w:tcW w:w="6661" w:type="dxa"/>
          </w:tcPr>
          <w:p w14:paraId="150E0973">
            <w:pPr>
              <w:pStyle w:val="8"/>
              <w:keepLines/>
              <w:widowControl w:val="0"/>
              <w:wordWrap w:val="0"/>
              <w:autoSpaceDE/>
              <w:autoSpaceDN/>
              <w:spacing w:before="116" w:line="218" w:lineRule="auto"/>
              <w:ind w:left="119"/>
            </w:pPr>
            <w:r>
              <w:rPr>
                <w:spacing w:val="-7"/>
              </w:rPr>
              <w:t>2026年</w:t>
            </w:r>
            <w:r>
              <w:rPr>
                <w:spacing w:val="-51"/>
                <w:lang w:eastAsia="zh-CN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rFonts w:hint="eastAsia"/>
                <w:spacing w:val="-7"/>
                <w:lang w:eastAsia="zh-CN"/>
              </w:rPr>
              <w:t>2</w:t>
            </w:r>
            <w:r>
              <w:rPr>
                <w:spacing w:val="-7"/>
                <w:lang w:eastAsia="zh-CN"/>
              </w:rPr>
              <w:t>9</w:t>
            </w:r>
            <w:r>
              <w:rPr>
                <w:spacing w:val="-7"/>
              </w:rPr>
              <w:t>日</w:t>
            </w:r>
          </w:p>
        </w:tc>
      </w:tr>
      <w:tr w14:paraId="39BB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57" w:type="dxa"/>
          </w:tcPr>
          <w:p w14:paraId="5943583D">
            <w:pPr>
              <w:pStyle w:val="8"/>
              <w:keepLines/>
              <w:widowControl w:val="0"/>
              <w:spacing w:before="115" w:line="219" w:lineRule="auto"/>
              <w:ind w:left="503"/>
            </w:pPr>
            <w:r>
              <w:rPr>
                <w:b/>
                <w:bCs/>
                <w:spacing w:val="-5"/>
              </w:rPr>
              <w:t>会议地点</w:t>
            </w:r>
          </w:p>
        </w:tc>
        <w:tc>
          <w:tcPr>
            <w:tcW w:w="6661" w:type="dxa"/>
          </w:tcPr>
          <w:p w14:paraId="67F9C695">
            <w:pPr>
              <w:pStyle w:val="8"/>
              <w:keepLines/>
              <w:widowControl w:val="0"/>
              <w:spacing w:before="115" w:line="219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五矿新能源材料（湖南）股份有限公司线上会议</w:t>
            </w:r>
          </w:p>
        </w:tc>
      </w:tr>
      <w:tr w14:paraId="7A1B1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57" w:type="dxa"/>
          </w:tcPr>
          <w:p w14:paraId="0230C9CB">
            <w:pPr>
              <w:pStyle w:val="8"/>
              <w:keepLines/>
              <w:widowControl w:val="0"/>
              <w:spacing w:before="116" w:line="313" w:lineRule="auto"/>
              <w:ind w:left="506" w:right="254" w:hanging="24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上市公司接待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lang w:eastAsia="zh-CN"/>
              </w:rPr>
              <w:t>人员姓名</w:t>
            </w:r>
          </w:p>
        </w:tc>
        <w:tc>
          <w:tcPr>
            <w:tcW w:w="6661" w:type="dxa"/>
          </w:tcPr>
          <w:p w14:paraId="5B13CC7E">
            <w:pPr>
              <w:pStyle w:val="8"/>
              <w:keepLines/>
              <w:widowControl w:val="0"/>
              <w:spacing w:before="114" w:line="219" w:lineRule="auto"/>
              <w:ind w:left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董事会秘书曾科先生</w:t>
            </w:r>
          </w:p>
          <w:p w14:paraId="6EFBC35F">
            <w:pPr>
              <w:pStyle w:val="8"/>
              <w:keepLines/>
              <w:widowControl w:val="0"/>
              <w:spacing w:before="184" w:line="219" w:lineRule="auto"/>
              <w:ind w:left="12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总经理助理、财务部部长李宜芳女士</w:t>
            </w:r>
          </w:p>
        </w:tc>
      </w:tr>
      <w:tr w14:paraId="5B55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957" w:type="dxa"/>
          </w:tcPr>
          <w:p w14:paraId="668FE273">
            <w:pPr>
              <w:keepLines/>
              <w:widowControl w:val="0"/>
              <w:kinsoku/>
              <w:wordWrap w:val="0"/>
              <w:autoSpaceDE/>
              <w:autoSpaceDN/>
              <w:spacing w:line="259" w:lineRule="auto"/>
              <w:ind w:left="42" w:leftChars="20" w:right="42" w:rightChars="20"/>
              <w:rPr>
                <w:lang w:eastAsia="zh-CN"/>
              </w:rPr>
            </w:pPr>
          </w:p>
          <w:p w14:paraId="3F6A56D9">
            <w:pPr>
              <w:keepLines/>
              <w:widowControl w:val="0"/>
              <w:kinsoku/>
              <w:wordWrap w:val="0"/>
              <w:autoSpaceDE/>
              <w:autoSpaceDN/>
              <w:spacing w:line="259" w:lineRule="auto"/>
              <w:ind w:left="42" w:leftChars="20" w:right="42" w:rightChars="20"/>
              <w:rPr>
                <w:lang w:eastAsia="zh-CN"/>
              </w:rPr>
            </w:pPr>
          </w:p>
          <w:p w14:paraId="27BD3F59">
            <w:pPr>
              <w:keepLines/>
              <w:widowControl w:val="0"/>
              <w:kinsoku/>
              <w:wordWrap w:val="0"/>
              <w:autoSpaceDE/>
              <w:autoSpaceDN/>
              <w:spacing w:line="259" w:lineRule="auto"/>
              <w:ind w:left="42" w:leftChars="20" w:right="42" w:rightChars="20"/>
              <w:rPr>
                <w:lang w:eastAsia="zh-CN"/>
              </w:rPr>
            </w:pPr>
          </w:p>
          <w:p w14:paraId="44262763">
            <w:pPr>
              <w:keepLines/>
              <w:widowControl w:val="0"/>
              <w:kinsoku/>
              <w:wordWrap w:val="0"/>
              <w:autoSpaceDE/>
              <w:autoSpaceDN/>
              <w:spacing w:line="259" w:lineRule="auto"/>
              <w:ind w:left="42" w:leftChars="20" w:right="42" w:rightChars="20"/>
              <w:rPr>
                <w:lang w:eastAsia="zh-CN"/>
              </w:rPr>
            </w:pPr>
          </w:p>
          <w:p w14:paraId="0B669456">
            <w:pPr>
              <w:keepLines/>
              <w:widowControl w:val="0"/>
              <w:kinsoku/>
              <w:wordWrap w:val="0"/>
              <w:autoSpaceDE/>
              <w:autoSpaceDN/>
              <w:spacing w:line="260" w:lineRule="auto"/>
              <w:ind w:left="42" w:leftChars="20" w:right="42" w:rightChars="20"/>
              <w:rPr>
                <w:lang w:eastAsia="zh-CN"/>
              </w:rPr>
            </w:pPr>
          </w:p>
          <w:p w14:paraId="57F89EC3">
            <w:pPr>
              <w:keepLines/>
              <w:widowControl w:val="0"/>
              <w:kinsoku/>
              <w:wordWrap w:val="0"/>
              <w:autoSpaceDE/>
              <w:autoSpaceDN/>
              <w:spacing w:line="260" w:lineRule="auto"/>
              <w:ind w:left="42" w:leftChars="20" w:right="42" w:rightChars="20"/>
              <w:rPr>
                <w:lang w:eastAsia="zh-CN"/>
              </w:rPr>
            </w:pPr>
          </w:p>
          <w:p w14:paraId="47E58EA8">
            <w:pPr>
              <w:keepLines/>
              <w:widowControl w:val="0"/>
              <w:kinsoku/>
              <w:wordWrap w:val="0"/>
              <w:autoSpaceDE/>
              <w:autoSpaceDN/>
              <w:spacing w:line="260" w:lineRule="auto"/>
              <w:ind w:left="42" w:leftChars="20" w:right="42" w:rightChars="20"/>
              <w:rPr>
                <w:lang w:eastAsia="zh-CN"/>
              </w:rPr>
            </w:pPr>
          </w:p>
          <w:p w14:paraId="3E01ADA7">
            <w:pPr>
              <w:keepLines/>
              <w:widowControl w:val="0"/>
              <w:kinsoku/>
              <w:wordWrap w:val="0"/>
              <w:autoSpaceDE/>
              <w:autoSpaceDN/>
              <w:spacing w:line="260" w:lineRule="auto"/>
              <w:ind w:left="42" w:leftChars="20" w:right="42" w:rightChars="20"/>
              <w:rPr>
                <w:lang w:eastAsia="zh-CN"/>
              </w:rPr>
            </w:pPr>
          </w:p>
          <w:p w14:paraId="01D689D7">
            <w:pPr>
              <w:keepLines/>
              <w:widowControl w:val="0"/>
              <w:kinsoku/>
              <w:wordWrap w:val="0"/>
              <w:autoSpaceDE/>
              <w:autoSpaceDN/>
              <w:spacing w:line="260" w:lineRule="auto"/>
              <w:ind w:left="42" w:leftChars="20" w:right="42" w:rightChars="20"/>
              <w:rPr>
                <w:lang w:eastAsia="zh-CN"/>
              </w:rPr>
            </w:pPr>
          </w:p>
          <w:p w14:paraId="4FF903A2">
            <w:pPr>
              <w:keepLines/>
              <w:widowControl w:val="0"/>
              <w:kinsoku/>
              <w:wordWrap w:val="0"/>
              <w:autoSpaceDE/>
              <w:autoSpaceDN/>
              <w:spacing w:line="260" w:lineRule="auto"/>
              <w:ind w:left="42" w:leftChars="20" w:right="42" w:rightChars="20"/>
              <w:rPr>
                <w:lang w:eastAsia="zh-CN"/>
              </w:rPr>
            </w:pPr>
          </w:p>
          <w:p w14:paraId="0FF80A1A">
            <w:pPr>
              <w:pStyle w:val="8"/>
              <w:keepLines/>
              <w:widowControl w:val="0"/>
              <w:kinsoku/>
              <w:wordWrap w:val="0"/>
              <w:autoSpaceDE/>
              <w:autoSpaceDN/>
              <w:spacing w:before="78" w:line="362" w:lineRule="auto"/>
              <w:ind w:left="161" w:leftChars="20" w:right="42" w:rightChars="20" w:hanging="119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投资者关系活动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b/>
                <w:bCs/>
                <w:spacing w:val="-4"/>
                <w:lang w:eastAsia="zh-CN"/>
              </w:rPr>
              <w:t>主要内容介绍</w:t>
            </w:r>
          </w:p>
        </w:tc>
        <w:tc>
          <w:tcPr>
            <w:tcW w:w="6661" w:type="dxa"/>
          </w:tcPr>
          <w:p w14:paraId="2AD5BDF7">
            <w:pPr>
              <w:pStyle w:val="8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70" w:firstLineChars="200"/>
              <w:jc w:val="both"/>
              <w:textAlignment w:val="baseline"/>
              <w:rPr>
                <w:b/>
                <w:bCs/>
                <w:spacing w:val="-3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介绍公司2025年度及2026年一季度经营业绩情况。</w:t>
            </w:r>
          </w:p>
          <w:p w14:paraId="4AAC285E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68" w:firstLineChars="200"/>
              <w:jc w:val="both"/>
              <w:textAlignment w:val="baseline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2025年，公司实现营业收入93.40亿元，同比增长68.62%；利润实现扭亏为盈，归属于母公司股东的净利润2.28亿元，同比增加7.36亿元。 </w:t>
            </w:r>
          </w:p>
          <w:p w14:paraId="63BE9635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68" w:firstLineChars="200"/>
              <w:jc w:val="both"/>
              <w:textAlignment w:val="baseline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202</w:t>
            </w: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spacing w:val="-3"/>
                <w:lang w:eastAsia="zh-CN"/>
              </w:rPr>
              <w:t>年</w:t>
            </w:r>
            <w:r>
              <w:rPr>
                <w:rFonts w:hint="eastAsia"/>
                <w:spacing w:val="-3"/>
                <w:lang w:eastAsia="zh-CN"/>
              </w:rPr>
              <w:t>一季度</w:t>
            </w:r>
            <w:r>
              <w:rPr>
                <w:spacing w:val="-3"/>
                <w:lang w:eastAsia="zh-CN"/>
              </w:rPr>
              <w:t>，公司实现营业收入</w:t>
            </w:r>
            <w:r>
              <w:rPr>
                <w:rFonts w:hint="eastAsia"/>
                <w:spacing w:val="-3"/>
                <w:lang w:eastAsia="zh-CN"/>
              </w:rPr>
              <w:t>30.10</w:t>
            </w:r>
            <w:r>
              <w:rPr>
                <w:spacing w:val="-3"/>
                <w:lang w:eastAsia="zh-CN"/>
              </w:rPr>
              <w:t xml:space="preserve">亿元，同比增长 </w:t>
            </w:r>
            <w:r>
              <w:rPr>
                <w:rFonts w:hint="eastAsia"/>
                <w:spacing w:val="-3"/>
                <w:lang w:eastAsia="zh-CN"/>
              </w:rPr>
              <w:t>113.79</w:t>
            </w:r>
            <w:r>
              <w:rPr>
                <w:spacing w:val="-3"/>
                <w:lang w:eastAsia="zh-CN"/>
              </w:rPr>
              <w:t>%；实现归属于上市公司股东的净利润</w:t>
            </w:r>
            <w:r>
              <w:rPr>
                <w:rFonts w:hint="eastAsia"/>
                <w:spacing w:val="-3"/>
                <w:lang w:eastAsia="zh-CN"/>
              </w:rPr>
              <w:t>8124.95万</w:t>
            </w:r>
            <w:r>
              <w:rPr>
                <w:spacing w:val="-3"/>
                <w:lang w:eastAsia="zh-CN"/>
              </w:rPr>
              <w:t>元，同 比增</w:t>
            </w:r>
            <w:r>
              <w:rPr>
                <w:rFonts w:hint="eastAsia"/>
                <w:spacing w:val="-3"/>
                <w:lang w:eastAsia="zh-CN"/>
              </w:rPr>
              <w:t>加1.45亿元。核心</w:t>
            </w:r>
            <w:r>
              <w:rPr>
                <w:spacing w:val="-3"/>
                <w:lang w:eastAsia="zh-CN"/>
              </w:rPr>
              <w:t>财务指标均实现正增长，业绩企稳回升，发展态势持续向好。</w:t>
            </w:r>
          </w:p>
          <w:p w14:paraId="76E1E8AF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74" w:firstLineChars="200"/>
              <w:jc w:val="both"/>
              <w:textAlignment w:val="baseline"/>
              <w:rPr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2、在2026年的技术布局上有何详细规划？</w:t>
            </w:r>
          </w:p>
          <w:p w14:paraId="01E39560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0" w:firstLineChars="200"/>
              <w:jc w:val="both"/>
              <w:textAlignment w:val="baseline"/>
              <w:rPr>
                <w:rFonts w:cs="微软雅黑" w:asciiTheme="minorEastAsia" w:hAnsiTheme="minorEastAsia" w:eastAsiaTheme="minorEastAsia"/>
                <w:color w:val="333333"/>
                <w:shd w:val="clear" w:color="auto" w:fill="FFFFFF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hd w:val="clear" w:color="auto" w:fill="FFFFFF"/>
                <w:lang w:eastAsia="zh-CN"/>
              </w:rPr>
              <w:t>答：公司在三元材料领域主要聚焦两个方向：一是持续发力中镍高压领域，二是开发高镍及超高镍产品，并针对无人机等高倍率市场开发高功率、高能量密度产品。在磷酸铁锂领域，公司正推进高压密四代产品的客户测试验证，并布局磷酸锰铁锂以及钠离子电池聚阴离子正极材料（NFPP）的开发。</w:t>
            </w:r>
          </w:p>
          <w:p w14:paraId="03F57C1C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2" w:firstLineChars="200"/>
              <w:jc w:val="both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3、公司在固态电池领域有何进展？未来有何战略布局？</w:t>
            </w:r>
          </w:p>
          <w:p w14:paraId="719AB115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0" w:firstLineChars="200"/>
              <w:jc w:val="both"/>
              <w:textAlignment w:val="baseline"/>
              <w:rPr>
                <w:rFonts w:cs="微软雅黑" w:asciiTheme="minorEastAsia" w:hAnsiTheme="minorEastAsia" w:eastAsiaTheme="minorEastAsia"/>
                <w:color w:val="333333"/>
                <w:shd w:val="clear" w:color="auto" w:fill="FFFFFF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color w:val="333333"/>
                <w:shd w:val="clear" w:color="auto" w:fill="FFFFFF"/>
                <w:lang w:eastAsia="zh-CN"/>
              </w:rPr>
              <w:t>答：公司固态电池正极材料技术达到行业先进水平，并实现吨级出货。公司成为央企固态电池创新联合体核心成员，承担国家工信部、湖南省、长沙市多个重点科研专项，同时牵头参与全固态电池正极材料行业标准制定工作。后续，公司将持续与下游电池公司保持紧密合作，紧跟电池客户开发需求，提供试样并根据需求改善材料性能。</w:t>
            </w:r>
          </w:p>
          <w:p w14:paraId="6E332F9A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2" w:firstLineChars="200"/>
              <w:jc w:val="both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4、公司股东结构近期有所变化，公司在市值管理方面有何计划？</w:t>
            </w:r>
          </w:p>
          <w:p w14:paraId="104AC049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0" w:firstLineChars="200"/>
              <w:jc w:val="both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答：公司一直以来高度重视市值管理工作，聚焦主责主业，加强产品研发和市场开拓，努力提升盈利能力，持续优化投资者关系管理工作，在严格遵守信息披露规则的前提下，加强与资本市场的沟通等。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未来，计划通过更多业绩说明会、邀请投资者现场参观交流、以及对机构或个人投资者进行一对一反路演等方式，更真实、完整地展示公司情况。欢迎投资者通过股东会、线下交流等方式增进对公司的了解。公司将始终坚持以努力提升经营业绩与价值为长期工作的重点，力争以优良业绩回报广大投资者。</w:t>
            </w:r>
          </w:p>
          <w:p w14:paraId="4737A066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2" w:firstLineChars="200"/>
              <w:jc w:val="both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5、公司有一期剩余两年多时间的可转债，当前公司的促转股意愿如何？</w:t>
            </w:r>
          </w:p>
          <w:p w14:paraId="3C694694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0" w:firstLineChars="200"/>
              <w:jc w:val="both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答：公司董事会将根据实际情况，对可转债转股事宜进行决策。关于可转债进入最后两年转股期的具体处理方式，亦将根据实际情况决定，目前公司偿债能力良好，具体进展请以公司后续公告为准。</w:t>
            </w:r>
          </w:p>
          <w:p w14:paraId="0BF70478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2" w:firstLineChars="200"/>
              <w:jc w:val="both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6、关于公司与中科大马骋教授在固态电池领域的合作，下一步计划是什么？</w:t>
            </w:r>
          </w:p>
          <w:p w14:paraId="2DA4C152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60" w:lineRule="auto"/>
              <w:ind w:left="210" w:leftChars="100" w:right="210" w:rightChars="100" w:firstLine="480" w:firstLineChars="200"/>
              <w:jc w:val="both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答：公司将全力配合马骋教授及其团队的技术开发要求，加强与马教授在基础研究方面的沟通互动，将其对材料机理的认知用于指导公司的前沿材料开发，提升整体研发水平。后续如有重要进展将及时依法依规履行信息披露义务。</w:t>
            </w:r>
          </w:p>
        </w:tc>
      </w:tr>
      <w:tr w14:paraId="7FB10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</w:trPr>
        <w:tc>
          <w:tcPr>
            <w:tcW w:w="1957" w:type="dxa"/>
            <w:vAlign w:val="center"/>
          </w:tcPr>
          <w:p w14:paraId="75978900">
            <w:pPr>
              <w:pStyle w:val="8"/>
              <w:keepLines/>
              <w:widowControl w:val="0"/>
              <w:kinsoku/>
              <w:wordWrap w:val="0"/>
              <w:autoSpaceDE/>
              <w:autoSpaceDN/>
              <w:spacing w:before="78" w:line="362" w:lineRule="auto"/>
              <w:ind w:left="161" w:leftChars="20" w:right="42" w:rightChars="20" w:hanging="119"/>
              <w:jc w:val="center"/>
              <w:rPr>
                <w:b/>
                <w:bCs/>
                <w:spacing w:val="-4"/>
              </w:rPr>
            </w:pPr>
            <w:r>
              <w:rPr>
                <w:rFonts w:hint="eastAsia"/>
                <w:b/>
                <w:bCs/>
                <w:spacing w:val="-4"/>
              </w:rPr>
              <w:t>风险提示</w:t>
            </w:r>
          </w:p>
        </w:tc>
        <w:tc>
          <w:tcPr>
            <w:tcW w:w="6661" w:type="dxa"/>
          </w:tcPr>
          <w:p w14:paraId="0B6EAD60">
            <w:pPr>
              <w:pStyle w:val="8"/>
              <w:keepLines/>
              <w:widowControl w:val="0"/>
              <w:kinsoku/>
              <w:wordWrap w:val="0"/>
              <w:autoSpaceDE/>
              <w:autoSpaceDN/>
              <w:spacing w:before="240" w:beforeLines="100" w:line="360" w:lineRule="auto"/>
              <w:ind w:left="42" w:leftChars="20" w:right="42" w:rightChars="20"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1、以上如涉及对行业的预测、公司发展战略规划等相关 内容，不能视作公司或公司管理层对行业、公司发展的承诺和 保证，敬请广大投资者注意投资风险。</w:t>
            </w:r>
          </w:p>
          <w:p w14:paraId="342D73D0">
            <w:pPr>
              <w:pStyle w:val="8"/>
              <w:keepLines/>
              <w:widowControl w:val="0"/>
              <w:kinsoku/>
              <w:wordWrap w:val="0"/>
              <w:autoSpaceDE/>
              <w:autoSpaceDN/>
              <w:spacing w:before="240" w:beforeLines="100" w:line="360" w:lineRule="auto"/>
              <w:ind w:left="42" w:leftChars="20" w:right="42" w:rightChars="20"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2、部分参会人员为电话接入，接入名单由电话会议组织 方提供，公司无法核实名单真实性，敬请广大投资者注意投资 风险。</w:t>
            </w:r>
          </w:p>
        </w:tc>
      </w:tr>
    </w:tbl>
    <w:p w14:paraId="3A6B0A94">
      <w:pPr>
        <w:keepLines/>
        <w:widowControl w:val="0"/>
        <w:kinsoku/>
        <w:wordWrap w:val="0"/>
        <w:autoSpaceDE/>
        <w:autoSpaceDN/>
        <w:ind w:left="42" w:leftChars="20" w:right="42" w:rightChars="20"/>
        <w:rPr>
          <w:lang w:eastAsia="zh-CN"/>
        </w:rPr>
        <w:sectPr>
          <w:pgSz w:w="11906" w:h="16839"/>
          <w:pgMar w:top="1431" w:right="1785" w:bottom="1247" w:left="1369" w:header="0" w:footer="0" w:gutter="0"/>
          <w:cols w:space="720" w:num="1"/>
        </w:sectPr>
      </w:pPr>
    </w:p>
    <w:p w14:paraId="193E0024">
      <w:pPr>
        <w:spacing w:before="47" w:line="219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附件：</w:t>
      </w:r>
    </w:p>
    <w:p w14:paraId="5B4209EF">
      <w:pPr>
        <w:spacing w:before="28" w:line="242" w:lineRule="auto"/>
        <w:ind w:left="5114" w:right="3538" w:hanging="15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五矿新能源材料（湖南）股份有限公司</w:t>
      </w:r>
      <w:r>
        <w:rPr>
          <w:rFonts w:ascii="宋体" w:hAnsi="宋体" w:eastAsia="宋体" w:cs="宋体"/>
          <w:spacing w:val="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调研名单</w:t>
      </w:r>
    </w:p>
    <w:p w14:paraId="6D4194CA">
      <w:pPr>
        <w:spacing w:before="26"/>
        <w:rPr>
          <w:lang w:eastAsia="zh-CN"/>
        </w:rPr>
      </w:pPr>
    </w:p>
    <w:tbl>
      <w:tblPr>
        <w:tblStyle w:val="7"/>
        <w:tblW w:w="11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4703"/>
        <w:gridCol w:w="797"/>
        <w:gridCol w:w="4786"/>
      </w:tblGrid>
      <w:tr w14:paraId="714B1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78" w:type="dxa"/>
          </w:tcPr>
          <w:p w14:paraId="02AEB18B">
            <w:pPr>
              <w:pStyle w:val="8"/>
              <w:spacing w:before="41" w:line="207" w:lineRule="auto"/>
              <w:ind w:left="204"/>
            </w:pPr>
            <w:r>
              <w:rPr>
                <w:spacing w:val="-5"/>
              </w:rPr>
              <w:t>序号</w:t>
            </w:r>
          </w:p>
        </w:tc>
        <w:tc>
          <w:tcPr>
            <w:tcW w:w="4703" w:type="dxa"/>
          </w:tcPr>
          <w:p w14:paraId="30001343">
            <w:pPr>
              <w:pStyle w:val="8"/>
              <w:spacing w:before="41" w:line="207" w:lineRule="auto"/>
              <w:ind w:left="1877"/>
            </w:pPr>
            <w:r>
              <w:rPr>
                <w:spacing w:val="-3"/>
              </w:rPr>
              <w:t>机构名称</w:t>
            </w:r>
          </w:p>
        </w:tc>
        <w:tc>
          <w:tcPr>
            <w:tcW w:w="797" w:type="dxa"/>
          </w:tcPr>
          <w:p w14:paraId="26C0376A">
            <w:pPr>
              <w:pStyle w:val="8"/>
              <w:spacing w:before="41" w:line="207" w:lineRule="auto"/>
              <w:ind w:left="164"/>
            </w:pPr>
            <w:r>
              <w:rPr>
                <w:spacing w:val="-5"/>
              </w:rPr>
              <w:t>序号</w:t>
            </w:r>
          </w:p>
        </w:tc>
        <w:tc>
          <w:tcPr>
            <w:tcW w:w="4786" w:type="dxa"/>
          </w:tcPr>
          <w:p w14:paraId="2DE8E436">
            <w:pPr>
              <w:pStyle w:val="8"/>
              <w:spacing w:before="41" w:line="207" w:lineRule="auto"/>
              <w:ind w:left="1918"/>
            </w:pPr>
            <w:r>
              <w:rPr>
                <w:spacing w:val="-3"/>
              </w:rPr>
              <w:t>机构名称</w:t>
            </w:r>
          </w:p>
        </w:tc>
      </w:tr>
      <w:tr w14:paraId="50F44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8" w:type="dxa"/>
          </w:tcPr>
          <w:p w14:paraId="226F83BB">
            <w:pPr>
              <w:pStyle w:val="8"/>
              <w:spacing w:before="36" w:line="207" w:lineRule="auto"/>
              <w:ind w:left="402"/>
            </w:pPr>
            <w:r>
              <w:t>1</w:t>
            </w:r>
          </w:p>
        </w:tc>
        <w:tc>
          <w:tcPr>
            <w:tcW w:w="4703" w:type="dxa"/>
            <w:vAlign w:val="center"/>
          </w:tcPr>
          <w:p w14:paraId="51FC1F68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北京中泽控股集团有限公司</w:t>
            </w:r>
          </w:p>
        </w:tc>
        <w:tc>
          <w:tcPr>
            <w:tcW w:w="797" w:type="dxa"/>
          </w:tcPr>
          <w:p w14:paraId="71C3591F">
            <w:pPr>
              <w:pStyle w:val="8"/>
              <w:spacing w:before="40" w:line="205" w:lineRule="auto"/>
              <w:ind w:left="327"/>
            </w:pPr>
            <w:r>
              <w:rPr>
                <w:spacing w:val="-7"/>
              </w:rPr>
              <w:t>20</w:t>
            </w:r>
          </w:p>
        </w:tc>
        <w:tc>
          <w:tcPr>
            <w:tcW w:w="4786" w:type="dxa"/>
            <w:vAlign w:val="center"/>
          </w:tcPr>
          <w:p w14:paraId="10CB8A29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上海匀升投资管理有限公司</w:t>
            </w:r>
          </w:p>
        </w:tc>
      </w:tr>
      <w:tr w14:paraId="19913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8" w:type="dxa"/>
          </w:tcPr>
          <w:p w14:paraId="2FACC67D">
            <w:pPr>
              <w:pStyle w:val="8"/>
              <w:spacing w:before="38" w:line="206" w:lineRule="auto"/>
              <w:ind w:left="387"/>
            </w:pPr>
            <w:r>
              <w:t>2</w:t>
            </w:r>
          </w:p>
        </w:tc>
        <w:tc>
          <w:tcPr>
            <w:tcW w:w="4703" w:type="dxa"/>
            <w:vAlign w:val="center"/>
          </w:tcPr>
          <w:p w14:paraId="0D7741C8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财通证券股份有限公司</w:t>
            </w:r>
          </w:p>
        </w:tc>
        <w:tc>
          <w:tcPr>
            <w:tcW w:w="797" w:type="dxa"/>
          </w:tcPr>
          <w:p w14:paraId="55A9A331">
            <w:pPr>
              <w:pStyle w:val="8"/>
              <w:spacing w:before="40" w:line="205" w:lineRule="auto"/>
              <w:ind w:left="327"/>
            </w:pPr>
            <w:r>
              <w:rPr>
                <w:spacing w:val="-7"/>
              </w:rPr>
              <w:t>21</w:t>
            </w:r>
          </w:p>
        </w:tc>
        <w:tc>
          <w:tcPr>
            <w:tcW w:w="4786" w:type="dxa"/>
            <w:vAlign w:val="center"/>
          </w:tcPr>
          <w:p w14:paraId="18B11ABA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上海证券有限责任公司</w:t>
            </w:r>
          </w:p>
        </w:tc>
      </w:tr>
      <w:tr w14:paraId="4C441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555ABD94">
            <w:pPr>
              <w:pStyle w:val="8"/>
              <w:spacing w:before="39" w:line="206" w:lineRule="auto"/>
              <w:ind w:left="389"/>
            </w:pPr>
            <w:r>
              <w:t>3</w:t>
            </w:r>
          </w:p>
        </w:tc>
        <w:tc>
          <w:tcPr>
            <w:tcW w:w="4703" w:type="dxa"/>
            <w:vAlign w:val="center"/>
          </w:tcPr>
          <w:p w14:paraId="5E1A1E01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东方财富证券股份有限公司</w:t>
            </w:r>
          </w:p>
        </w:tc>
        <w:tc>
          <w:tcPr>
            <w:tcW w:w="797" w:type="dxa"/>
          </w:tcPr>
          <w:p w14:paraId="240153F6">
            <w:pPr>
              <w:pStyle w:val="8"/>
              <w:spacing w:before="43" w:line="203" w:lineRule="auto"/>
              <w:ind w:left="327"/>
            </w:pPr>
            <w:r>
              <w:rPr>
                <w:spacing w:val="-7"/>
              </w:rPr>
              <w:t>22</w:t>
            </w:r>
          </w:p>
        </w:tc>
        <w:tc>
          <w:tcPr>
            <w:tcW w:w="4786" w:type="dxa"/>
            <w:vAlign w:val="center"/>
          </w:tcPr>
          <w:p w14:paraId="129DFFF4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深圳量度资本投资管理有限公司</w:t>
            </w:r>
          </w:p>
        </w:tc>
      </w:tr>
      <w:tr w14:paraId="0007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8" w:type="dxa"/>
          </w:tcPr>
          <w:p w14:paraId="337B74A1">
            <w:pPr>
              <w:pStyle w:val="8"/>
              <w:spacing w:before="40" w:line="204" w:lineRule="auto"/>
              <w:ind w:left="384"/>
            </w:pPr>
            <w:r>
              <w:t>4</w:t>
            </w:r>
          </w:p>
        </w:tc>
        <w:tc>
          <w:tcPr>
            <w:tcW w:w="4703" w:type="dxa"/>
            <w:vAlign w:val="center"/>
          </w:tcPr>
          <w:p w14:paraId="419EA01E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东吴证券股份有限公司</w:t>
            </w:r>
          </w:p>
        </w:tc>
        <w:tc>
          <w:tcPr>
            <w:tcW w:w="797" w:type="dxa"/>
          </w:tcPr>
          <w:p w14:paraId="6EFECE0A">
            <w:pPr>
              <w:pStyle w:val="8"/>
              <w:spacing w:before="41" w:line="204" w:lineRule="auto"/>
              <w:ind w:left="327"/>
            </w:pPr>
            <w:r>
              <w:rPr>
                <w:spacing w:val="-7"/>
              </w:rPr>
              <w:t>23</w:t>
            </w:r>
          </w:p>
        </w:tc>
        <w:tc>
          <w:tcPr>
            <w:tcW w:w="4786" w:type="dxa"/>
            <w:vAlign w:val="center"/>
          </w:tcPr>
          <w:p w14:paraId="79F0B339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深圳前海亿阳投资管理有限公司</w:t>
            </w:r>
          </w:p>
        </w:tc>
      </w:tr>
      <w:tr w14:paraId="553F1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8" w:type="dxa"/>
          </w:tcPr>
          <w:p w14:paraId="0F042BBA">
            <w:pPr>
              <w:pStyle w:val="8"/>
              <w:spacing w:before="40" w:line="204" w:lineRule="auto"/>
              <w:ind w:left="389"/>
            </w:pPr>
            <w:r>
              <w:t>5</w:t>
            </w:r>
          </w:p>
        </w:tc>
        <w:tc>
          <w:tcPr>
            <w:tcW w:w="4703" w:type="dxa"/>
            <w:vAlign w:val="center"/>
          </w:tcPr>
          <w:p w14:paraId="4BD8B007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光大证券股份有限公司</w:t>
            </w:r>
          </w:p>
        </w:tc>
        <w:tc>
          <w:tcPr>
            <w:tcW w:w="797" w:type="dxa"/>
          </w:tcPr>
          <w:p w14:paraId="5CDED99D">
            <w:pPr>
              <w:pStyle w:val="8"/>
              <w:spacing w:before="41" w:line="204" w:lineRule="auto"/>
              <w:ind w:left="327"/>
            </w:pPr>
            <w:r>
              <w:rPr>
                <w:spacing w:val="-7"/>
              </w:rPr>
              <w:t>24</w:t>
            </w:r>
          </w:p>
        </w:tc>
        <w:tc>
          <w:tcPr>
            <w:tcW w:w="4786" w:type="dxa"/>
            <w:vAlign w:val="center"/>
          </w:tcPr>
          <w:p w14:paraId="0C8E9E3C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深圳市尚诚资产管理有限责任公司</w:t>
            </w:r>
          </w:p>
        </w:tc>
      </w:tr>
      <w:tr w14:paraId="6AF2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025EA5E0">
            <w:pPr>
              <w:pStyle w:val="8"/>
              <w:spacing w:before="41" w:line="204" w:lineRule="auto"/>
              <w:ind w:left="386"/>
            </w:pPr>
            <w:r>
              <w:t>6</w:t>
            </w:r>
          </w:p>
        </w:tc>
        <w:tc>
          <w:tcPr>
            <w:tcW w:w="4703" w:type="dxa"/>
            <w:vAlign w:val="center"/>
          </w:tcPr>
          <w:p w14:paraId="3BB7FF3A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广州金新私募基金管理有限公司</w:t>
            </w:r>
          </w:p>
        </w:tc>
        <w:tc>
          <w:tcPr>
            <w:tcW w:w="797" w:type="dxa"/>
          </w:tcPr>
          <w:p w14:paraId="29A5B51F">
            <w:pPr>
              <w:pStyle w:val="8"/>
              <w:spacing w:before="41" w:line="204" w:lineRule="auto"/>
              <w:ind w:left="327"/>
            </w:pPr>
            <w:r>
              <w:rPr>
                <w:spacing w:val="-7"/>
              </w:rPr>
              <w:t>25</w:t>
            </w:r>
          </w:p>
        </w:tc>
        <w:tc>
          <w:tcPr>
            <w:tcW w:w="4786" w:type="dxa"/>
            <w:vAlign w:val="center"/>
          </w:tcPr>
          <w:p w14:paraId="0F5EDDA2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天风证券股份有限公司</w:t>
            </w:r>
          </w:p>
        </w:tc>
      </w:tr>
      <w:tr w14:paraId="3704B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7E78E790">
            <w:pPr>
              <w:pStyle w:val="8"/>
              <w:spacing w:before="41" w:line="204" w:lineRule="auto"/>
              <w:ind w:left="390"/>
            </w:pPr>
            <w:r>
              <w:t>7</w:t>
            </w:r>
          </w:p>
        </w:tc>
        <w:tc>
          <w:tcPr>
            <w:tcW w:w="4703" w:type="dxa"/>
            <w:vAlign w:val="center"/>
          </w:tcPr>
          <w:p w14:paraId="3929E6EF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硅谷天堂产业集团股份有限公司</w:t>
            </w:r>
          </w:p>
        </w:tc>
        <w:tc>
          <w:tcPr>
            <w:tcW w:w="797" w:type="dxa"/>
          </w:tcPr>
          <w:p w14:paraId="35B31538">
            <w:pPr>
              <w:pStyle w:val="8"/>
              <w:spacing w:before="40" w:line="205" w:lineRule="auto"/>
              <w:ind w:left="327"/>
            </w:pPr>
            <w:r>
              <w:rPr>
                <w:spacing w:val="-7"/>
              </w:rPr>
              <w:t>26</w:t>
            </w:r>
          </w:p>
        </w:tc>
        <w:tc>
          <w:tcPr>
            <w:tcW w:w="4786" w:type="dxa"/>
            <w:vAlign w:val="center"/>
          </w:tcPr>
          <w:p w14:paraId="4BD5F5B7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西部证券股份有限公司</w:t>
            </w:r>
          </w:p>
        </w:tc>
      </w:tr>
      <w:tr w14:paraId="490E9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22FF9E97">
            <w:pPr>
              <w:pStyle w:val="8"/>
              <w:spacing w:before="40" w:line="205" w:lineRule="auto"/>
              <w:ind w:left="385"/>
            </w:pPr>
            <w:r>
              <w:t>8</w:t>
            </w:r>
          </w:p>
        </w:tc>
        <w:tc>
          <w:tcPr>
            <w:tcW w:w="4703" w:type="dxa"/>
            <w:vAlign w:val="center"/>
          </w:tcPr>
          <w:p w14:paraId="5E0E1F44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国寿安保基金管理有限公司</w:t>
            </w:r>
          </w:p>
        </w:tc>
        <w:tc>
          <w:tcPr>
            <w:tcW w:w="797" w:type="dxa"/>
          </w:tcPr>
          <w:p w14:paraId="6F1B6676">
            <w:pPr>
              <w:pStyle w:val="8"/>
              <w:spacing w:before="40" w:line="208" w:lineRule="auto"/>
              <w:ind w:left="327"/>
            </w:pPr>
            <w:r>
              <w:rPr>
                <w:spacing w:val="-7"/>
              </w:rPr>
              <w:t>27</w:t>
            </w:r>
          </w:p>
        </w:tc>
        <w:tc>
          <w:tcPr>
            <w:tcW w:w="4786" w:type="dxa"/>
            <w:vAlign w:val="center"/>
          </w:tcPr>
          <w:p w14:paraId="5D4855AD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西藏合众易晟投资管理有限责任公司</w:t>
            </w:r>
          </w:p>
        </w:tc>
      </w:tr>
      <w:tr w14:paraId="5FB15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5D25744B">
            <w:pPr>
              <w:pStyle w:val="8"/>
              <w:spacing w:before="40" w:line="205" w:lineRule="auto"/>
              <w:ind w:left="385"/>
            </w:pPr>
            <w:r>
              <w:t>9</w:t>
            </w:r>
          </w:p>
        </w:tc>
        <w:tc>
          <w:tcPr>
            <w:tcW w:w="4703" w:type="dxa"/>
            <w:vAlign w:val="center"/>
          </w:tcPr>
          <w:p w14:paraId="336E6812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国泰海通证券股份有限公司</w:t>
            </w:r>
          </w:p>
        </w:tc>
        <w:tc>
          <w:tcPr>
            <w:tcW w:w="797" w:type="dxa"/>
          </w:tcPr>
          <w:p w14:paraId="580D720A">
            <w:pPr>
              <w:pStyle w:val="8"/>
              <w:spacing w:before="36" w:line="207" w:lineRule="auto"/>
              <w:ind w:left="288"/>
            </w:pPr>
            <w:r>
              <w:rPr>
                <w:spacing w:val="-7"/>
              </w:rPr>
              <w:t>28</w:t>
            </w:r>
          </w:p>
        </w:tc>
        <w:tc>
          <w:tcPr>
            <w:tcW w:w="4786" w:type="dxa"/>
            <w:vAlign w:val="center"/>
          </w:tcPr>
          <w:p w14:paraId="1C092F91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兴业证券股份有限公司</w:t>
            </w:r>
          </w:p>
        </w:tc>
      </w:tr>
      <w:tr w14:paraId="4CBE0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404BC91F">
            <w:pPr>
              <w:pStyle w:val="8"/>
              <w:spacing w:before="43" w:line="203" w:lineRule="auto"/>
              <w:ind w:left="342"/>
            </w:pPr>
            <w:r>
              <w:rPr>
                <w:spacing w:val="-14"/>
              </w:rPr>
              <w:t>10</w:t>
            </w:r>
          </w:p>
        </w:tc>
        <w:tc>
          <w:tcPr>
            <w:tcW w:w="4703" w:type="dxa"/>
            <w:vAlign w:val="center"/>
          </w:tcPr>
          <w:p w14:paraId="6205B778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国信证券股份有限公司</w:t>
            </w:r>
          </w:p>
        </w:tc>
        <w:tc>
          <w:tcPr>
            <w:tcW w:w="797" w:type="dxa"/>
          </w:tcPr>
          <w:p w14:paraId="39FE10A2">
            <w:pPr>
              <w:pStyle w:val="8"/>
              <w:spacing w:before="38" w:line="206" w:lineRule="auto"/>
              <w:ind w:left="288"/>
            </w:pPr>
            <w:r>
              <w:rPr>
                <w:spacing w:val="-7"/>
              </w:rPr>
              <w:t>29</w:t>
            </w:r>
          </w:p>
        </w:tc>
        <w:tc>
          <w:tcPr>
            <w:tcW w:w="4786" w:type="dxa"/>
            <w:vAlign w:val="center"/>
          </w:tcPr>
          <w:p w14:paraId="781032B1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英大证券有限责任公司</w:t>
            </w:r>
          </w:p>
        </w:tc>
      </w:tr>
      <w:tr w14:paraId="3BC37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640B7F20">
            <w:pPr>
              <w:pStyle w:val="8"/>
              <w:spacing w:before="41" w:line="204" w:lineRule="auto"/>
              <w:ind w:left="342"/>
            </w:pPr>
            <w:r>
              <w:rPr>
                <w:spacing w:val="-14"/>
              </w:rPr>
              <w:t>11</w:t>
            </w:r>
          </w:p>
        </w:tc>
        <w:tc>
          <w:tcPr>
            <w:tcW w:w="4703" w:type="dxa"/>
            <w:vAlign w:val="center"/>
          </w:tcPr>
          <w:p w14:paraId="0A369FAD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鸿运私募基金（海南）管理有限公司</w:t>
            </w:r>
          </w:p>
        </w:tc>
        <w:tc>
          <w:tcPr>
            <w:tcW w:w="797" w:type="dxa"/>
          </w:tcPr>
          <w:p w14:paraId="701635ED">
            <w:pPr>
              <w:pStyle w:val="8"/>
              <w:spacing w:before="39" w:line="206" w:lineRule="auto"/>
              <w:ind w:left="290"/>
            </w:pPr>
            <w:r>
              <w:rPr>
                <w:spacing w:val="-8"/>
              </w:rPr>
              <w:t>30</w:t>
            </w:r>
          </w:p>
        </w:tc>
        <w:tc>
          <w:tcPr>
            <w:tcW w:w="4786" w:type="dxa"/>
            <w:vAlign w:val="center"/>
          </w:tcPr>
          <w:p w14:paraId="1F6DDB70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甬兴证券有限公司</w:t>
            </w:r>
          </w:p>
        </w:tc>
      </w:tr>
      <w:tr w14:paraId="70DC6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5F733B40">
            <w:pPr>
              <w:pStyle w:val="8"/>
              <w:spacing w:before="41" w:line="204" w:lineRule="auto"/>
              <w:ind w:left="342"/>
            </w:pPr>
            <w:r>
              <w:rPr>
                <w:spacing w:val="-14"/>
              </w:rPr>
              <w:t>12</w:t>
            </w:r>
          </w:p>
        </w:tc>
        <w:tc>
          <w:tcPr>
            <w:tcW w:w="4703" w:type="dxa"/>
            <w:vAlign w:val="center"/>
          </w:tcPr>
          <w:p w14:paraId="6FB3A658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花旗环球金融亚洲有限公司</w:t>
            </w:r>
          </w:p>
        </w:tc>
        <w:tc>
          <w:tcPr>
            <w:tcW w:w="797" w:type="dxa"/>
          </w:tcPr>
          <w:p w14:paraId="7F7D6B06">
            <w:pPr>
              <w:pStyle w:val="8"/>
              <w:spacing w:before="40" w:line="204" w:lineRule="auto"/>
              <w:ind w:left="290"/>
            </w:pPr>
            <w:r>
              <w:rPr>
                <w:spacing w:val="-8"/>
              </w:rPr>
              <w:t>31</w:t>
            </w:r>
          </w:p>
        </w:tc>
        <w:tc>
          <w:tcPr>
            <w:tcW w:w="4786" w:type="dxa"/>
            <w:vAlign w:val="center"/>
          </w:tcPr>
          <w:p w14:paraId="0B5FBFCA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长城证券股份有限公司</w:t>
            </w:r>
          </w:p>
        </w:tc>
      </w:tr>
      <w:tr w14:paraId="30578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28A232B5">
            <w:pPr>
              <w:pStyle w:val="8"/>
              <w:spacing w:before="41" w:line="204" w:lineRule="auto"/>
              <w:ind w:left="342"/>
            </w:pPr>
            <w:r>
              <w:rPr>
                <w:spacing w:val="-14"/>
              </w:rPr>
              <w:t>13</w:t>
            </w:r>
          </w:p>
        </w:tc>
        <w:tc>
          <w:tcPr>
            <w:tcW w:w="4703" w:type="dxa"/>
            <w:vAlign w:val="center"/>
          </w:tcPr>
          <w:p w14:paraId="0463035E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华创证券有限责任公司</w:t>
            </w:r>
          </w:p>
        </w:tc>
        <w:tc>
          <w:tcPr>
            <w:tcW w:w="797" w:type="dxa"/>
          </w:tcPr>
          <w:p w14:paraId="518CC5E6">
            <w:pPr>
              <w:pStyle w:val="8"/>
              <w:spacing w:before="40" w:line="204" w:lineRule="auto"/>
              <w:ind w:left="290"/>
            </w:pPr>
            <w:r>
              <w:rPr>
                <w:spacing w:val="-8"/>
              </w:rPr>
              <w:t>32</w:t>
            </w:r>
          </w:p>
        </w:tc>
        <w:tc>
          <w:tcPr>
            <w:tcW w:w="4786" w:type="dxa"/>
            <w:vAlign w:val="center"/>
          </w:tcPr>
          <w:p w14:paraId="607319F4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长江证券股份有限公司</w:t>
            </w:r>
          </w:p>
        </w:tc>
      </w:tr>
      <w:tr w14:paraId="6A2B3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29F0FA58">
            <w:pPr>
              <w:pStyle w:val="8"/>
              <w:spacing w:before="40" w:line="205" w:lineRule="auto"/>
              <w:ind w:left="342"/>
            </w:pPr>
            <w:r>
              <w:rPr>
                <w:spacing w:val="-14"/>
              </w:rPr>
              <w:t>14</w:t>
            </w:r>
          </w:p>
        </w:tc>
        <w:tc>
          <w:tcPr>
            <w:tcW w:w="4703" w:type="dxa"/>
            <w:vAlign w:val="center"/>
          </w:tcPr>
          <w:p w14:paraId="58EBF977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华福证券股份有限公司</w:t>
            </w:r>
          </w:p>
        </w:tc>
        <w:tc>
          <w:tcPr>
            <w:tcW w:w="797" w:type="dxa"/>
          </w:tcPr>
          <w:p w14:paraId="6530089D">
            <w:pPr>
              <w:pStyle w:val="8"/>
              <w:spacing w:before="40" w:line="205" w:lineRule="auto"/>
              <w:ind w:left="290"/>
              <w:rPr>
                <w:spacing w:val="-8"/>
              </w:rPr>
            </w:pPr>
            <w:r>
              <w:rPr>
                <w:spacing w:val="-8"/>
              </w:rPr>
              <w:t>33</w:t>
            </w:r>
          </w:p>
        </w:tc>
        <w:tc>
          <w:tcPr>
            <w:tcW w:w="4786" w:type="dxa"/>
            <w:vAlign w:val="center"/>
          </w:tcPr>
          <w:p w14:paraId="37F75C8E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中国太平洋保险(集团)股份有限公司</w:t>
            </w:r>
          </w:p>
        </w:tc>
      </w:tr>
      <w:tr w14:paraId="04C2F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4220403D">
            <w:pPr>
              <w:pStyle w:val="8"/>
              <w:spacing w:before="40" w:line="205" w:lineRule="auto"/>
              <w:ind w:left="342"/>
            </w:pPr>
            <w:r>
              <w:rPr>
                <w:spacing w:val="-14"/>
              </w:rPr>
              <w:t>15</w:t>
            </w:r>
          </w:p>
        </w:tc>
        <w:tc>
          <w:tcPr>
            <w:tcW w:w="4703" w:type="dxa"/>
            <w:vAlign w:val="center"/>
          </w:tcPr>
          <w:p w14:paraId="63212D2D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华西证券股份有限公司</w:t>
            </w:r>
          </w:p>
        </w:tc>
        <w:tc>
          <w:tcPr>
            <w:tcW w:w="797" w:type="dxa"/>
          </w:tcPr>
          <w:p w14:paraId="79AD44D0">
            <w:pPr>
              <w:pStyle w:val="8"/>
              <w:spacing w:before="40" w:line="205" w:lineRule="auto"/>
              <w:ind w:left="290"/>
              <w:rPr>
                <w:spacing w:val="-8"/>
              </w:rPr>
            </w:pPr>
            <w:r>
              <w:rPr>
                <w:spacing w:val="-8"/>
              </w:rPr>
              <w:t>34</w:t>
            </w:r>
          </w:p>
        </w:tc>
        <w:tc>
          <w:tcPr>
            <w:tcW w:w="4786" w:type="dxa"/>
            <w:vAlign w:val="center"/>
          </w:tcPr>
          <w:p w14:paraId="6911DB67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中泰证券股份有限公司</w:t>
            </w:r>
          </w:p>
        </w:tc>
      </w:tr>
      <w:tr w14:paraId="5628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17224B57">
            <w:pPr>
              <w:pStyle w:val="8"/>
              <w:spacing w:before="43" w:line="203" w:lineRule="auto"/>
              <w:ind w:left="342"/>
            </w:pPr>
            <w:r>
              <w:rPr>
                <w:spacing w:val="-14"/>
              </w:rPr>
              <w:t>16</w:t>
            </w:r>
          </w:p>
        </w:tc>
        <w:tc>
          <w:tcPr>
            <w:tcW w:w="4703" w:type="dxa"/>
            <w:vAlign w:val="center"/>
          </w:tcPr>
          <w:p w14:paraId="7986B334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江海证券有限公司</w:t>
            </w:r>
          </w:p>
        </w:tc>
        <w:tc>
          <w:tcPr>
            <w:tcW w:w="797" w:type="dxa"/>
          </w:tcPr>
          <w:p w14:paraId="47F26BD2">
            <w:pPr>
              <w:pStyle w:val="8"/>
              <w:spacing w:before="40" w:line="205" w:lineRule="auto"/>
              <w:ind w:left="290"/>
              <w:rPr>
                <w:spacing w:val="-8"/>
              </w:rPr>
            </w:pPr>
            <w:r>
              <w:rPr>
                <w:spacing w:val="-8"/>
              </w:rPr>
              <w:t>35</w:t>
            </w:r>
          </w:p>
        </w:tc>
        <w:tc>
          <w:tcPr>
            <w:tcW w:w="4786" w:type="dxa"/>
            <w:vAlign w:val="center"/>
          </w:tcPr>
          <w:p w14:paraId="65A495A4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中信建投(国际)金融控股有限公司</w:t>
            </w:r>
          </w:p>
        </w:tc>
      </w:tr>
      <w:tr w14:paraId="46B89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7320373C">
            <w:pPr>
              <w:pStyle w:val="8"/>
              <w:spacing w:before="41" w:line="204" w:lineRule="auto"/>
              <w:ind w:left="342"/>
            </w:pPr>
            <w:r>
              <w:rPr>
                <w:spacing w:val="-14"/>
              </w:rPr>
              <w:t>17</w:t>
            </w:r>
          </w:p>
        </w:tc>
        <w:tc>
          <w:tcPr>
            <w:tcW w:w="4703" w:type="dxa"/>
            <w:vAlign w:val="center"/>
          </w:tcPr>
          <w:p w14:paraId="0E90E1C8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平安证券股份有限公司</w:t>
            </w:r>
          </w:p>
        </w:tc>
        <w:tc>
          <w:tcPr>
            <w:tcW w:w="797" w:type="dxa"/>
          </w:tcPr>
          <w:p w14:paraId="152554A2">
            <w:pPr>
              <w:pStyle w:val="8"/>
              <w:spacing w:before="40" w:line="205" w:lineRule="auto"/>
              <w:ind w:left="290"/>
              <w:rPr>
                <w:spacing w:val="-8"/>
              </w:rPr>
            </w:pPr>
            <w:r>
              <w:rPr>
                <w:spacing w:val="-8"/>
              </w:rPr>
              <w:t>36</w:t>
            </w:r>
          </w:p>
        </w:tc>
        <w:tc>
          <w:tcPr>
            <w:tcW w:w="4786" w:type="dxa"/>
            <w:vAlign w:val="center"/>
          </w:tcPr>
          <w:p w14:paraId="4F41CE40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中信期货有限公司</w:t>
            </w:r>
          </w:p>
        </w:tc>
      </w:tr>
      <w:tr w14:paraId="258C6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2EBCC289">
            <w:pPr>
              <w:pStyle w:val="8"/>
              <w:spacing w:before="41" w:line="204" w:lineRule="auto"/>
              <w:ind w:left="342"/>
            </w:pPr>
            <w:r>
              <w:rPr>
                <w:spacing w:val="-14"/>
              </w:rPr>
              <w:t>18</w:t>
            </w:r>
          </w:p>
        </w:tc>
        <w:tc>
          <w:tcPr>
            <w:tcW w:w="4703" w:type="dxa"/>
            <w:vAlign w:val="center"/>
          </w:tcPr>
          <w:p w14:paraId="6E24BADD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山东奥特西股权投资基金管理有限公司</w:t>
            </w:r>
          </w:p>
        </w:tc>
        <w:tc>
          <w:tcPr>
            <w:tcW w:w="797" w:type="dxa"/>
          </w:tcPr>
          <w:p w14:paraId="06CF51E3">
            <w:pPr>
              <w:pStyle w:val="8"/>
              <w:spacing w:before="40" w:line="205" w:lineRule="auto"/>
              <w:ind w:left="290"/>
              <w:rPr>
                <w:spacing w:val="-8"/>
              </w:rPr>
            </w:pPr>
            <w:r>
              <w:rPr>
                <w:spacing w:val="-8"/>
              </w:rPr>
              <w:t>37</w:t>
            </w:r>
          </w:p>
        </w:tc>
        <w:tc>
          <w:tcPr>
            <w:tcW w:w="4786" w:type="dxa"/>
            <w:vAlign w:val="center"/>
          </w:tcPr>
          <w:p w14:paraId="6A44EC01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中信证券股份有限公司</w:t>
            </w:r>
          </w:p>
        </w:tc>
      </w:tr>
      <w:tr w14:paraId="7280D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8" w:type="dxa"/>
          </w:tcPr>
          <w:p w14:paraId="2C884A1C">
            <w:pPr>
              <w:pStyle w:val="8"/>
              <w:spacing w:before="41" w:line="204" w:lineRule="auto"/>
              <w:ind w:left="342"/>
            </w:pPr>
            <w:r>
              <w:rPr>
                <w:spacing w:val="-14"/>
              </w:rPr>
              <w:t>19</w:t>
            </w:r>
          </w:p>
        </w:tc>
        <w:tc>
          <w:tcPr>
            <w:tcW w:w="4703" w:type="dxa"/>
            <w:vAlign w:val="center"/>
          </w:tcPr>
          <w:p w14:paraId="65C0C68B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上海申银万国证券研究所有限公司</w:t>
            </w:r>
          </w:p>
        </w:tc>
        <w:tc>
          <w:tcPr>
            <w:tcW w:w="797" w:type="dxa"/>
          </w:tcPr>
          <w:p w14:paraId="234341F3">
            <w:pPr>
              <w:pStyle w:val="8"/>
              <w:spacing w:before="40" w:line="205" w:lineRule="auto"/>
              <w:ind w:left="290"/>
              <w:rPr>
                <w:spacing w:val="-8"/>
              </w:rPr>
            </w:pPr>
            <w:r>
              <w:rPr>
                <w:spacing w:val="-8"/>
              </w:rPr>
              <w:t>38</w:t>
            </w:r>
          </w:p>
        </w:tc>
        <w:tc>
          <w:tcPr>
            <w:tcW w:w="4786" w:type="dxa"/>
            <w:vAlign w:val="center"/>
          </w:tcPr>
          <w:p w14:paraId="1066C2E0">
            <w:pPr>
              <w:pStyle w:val="8"/>
              <w:spacing w:before="40" w:line="204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中银国际证券股份有限公司</w:t>
            </w:r>
          </w:p>
        </w:tc>
      </w:tr>
    </w:tbl>
    <w:p w14:paraId="474567D8">
      <w:pPr>
        <w:rPr>
          <w:lang w:eastAsia="zh-CN"/>
        </w:rPr>
      </w:pPr>
      <w:bookmarkStart w:id="0" w:name="_GoBack"/>
      <w:bookmarkEnd w:id="0"/>
    </w:p>
    <w:sectPr>
      <w:pgSz w:w="11906" w:h="16839"/>
      <w:pgMar w:top="1429" w:right="368" w:bottom="1247" w:left="36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5D9EE"/>
    <w:multiLevelType w:val="singleLevel"/>
    <w:tmpl w:val="CAE5D9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2D"/>
    <w:rsid w:val="002F26DF"/>
    <w:rsid w:val="00374BDB"/>
    <w:rsid w:val="00513B96"/>
    <w:rsid w:val="00573148"/>
    <w:rsid w:val="00685BF1"/>
    <w:rsid w:val="008F0A3C"/>
    <w:rsid w:val="009A4EC7"/>
    <w:rsid w:val="009F0CE9"/>
    <w:rsid w:val="00A3322D"/>
    <w:rsid w:val="00BC7FF4"/>
    <w:rsid w:val="00C23098"/>
    <w:rsid w:val="00F558CC"/>
    <w:rsid w:val="00FE2CBE"/>
    <w:rsid w:val="21583AD7"/>
    <w:rsid w:val="2511735F"/>
    <w:rsid w:val="30B74FFE"/>
    <w:rsid w:val="332035B5"/>
    <w:rsid w:val="50937899"/>
    <w:rsid w:val="5D050348"/>
    <w:rsid w:val="5FCF204C"/>
    <w:rsid w:val="6E922B9D"/>
    <w:rsid w:val="7CBD3B42"/>
    <w:rsid w:val="BCAFCF48"/>
    <w:rsid w:val="FA2F8271"/>
    <w:rsid w:val="FBBA5885"/>
    <w:rsid w:val="FF79C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326</Words>
  <Characters>1864</Characters>
  <Lines>15</Lines>
  <Paragraphs>4</Paragraphs>
  <TotalTime>6</TotalTime>
  <ScaleCrop>false</ScaleCrop>
  <LinksUpToDate>false</LinksUpToDate>
  <CharactersWithSpaces>2186</CharactersWithSpaces>
  <Application>WPS Office_12.9.0.21221_F1E327BC-269C-435d-A152-05C5408002CA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2026-04-30T06:50:00Z</dcterms:created>
  <dc:creator>徐延青</dc:creator>
  <cp:lastModifiedBy>李秋墨</cp:lastModifiedBy>
  <dcterms:modified xsi:type="dcterms:W3CDTF">2026-04-30T06:53:16Z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2025-08-25T11:48:16Z</vt:filetime>
  </property>
  <property fmtid="{D5CDD505-2E9C-101B-9397-08002B2CF9AE}" pid="4" name="KSOTemplateDocerSaveRecord">
    <vt:lpwstr>eyJoZGlkIjoiYjAzNmRlMTI4ZWE2YjliY2Q1MGRjOTQ2YTViYWUxNGIiLCJ1c2VySWQiOiI0Mzk1ODg5MjEifQ==</vt:lpwstr>
  </property>
  <property fmtid="{D5CDD505-2E9C-101B-9397-08002B2CF9AE}" pid="5" name="KSOProductBuildVer">
    <vt:lpwstr>2052-12.9.0.21221</vt:lpwstr>
  </property>
  <property fmtid="{D5CDD505-2E9C-101B-9397-08002B2CF9AE}" pid="6" name="ICV">
    <vt:lpwstr>451D11AD883C4DE7B9C4AE55BB3F6048</vt:lpwstr>
  </property>
</Properties>
</file>