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C1BA"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</w:rPr>
      </w:pPr>
      <w:r>
        <w:rPr>
          <w:rFonts w:hint="eastAsia" w:ascii="宋体" w:hAnsi="宋体"/>
          <w:b/>
          <w:iCs/>
          <w:color w:val="000000"/>
          <w:sz w:val="24"/>
        </w:rPr>
        <w:t>证券代码：6</w:t>
      </w:r>
      <w:r>
        <w:rPr>
          <w:rFonts w:ascii="宋体" w:hAnsi="宋体"/>
          <w:b/>
          <w:iCs/>
          <w:color w:val="000000"/>
          <w:sz w:val="24"/>
        </w:rPr>
        <w:t xml:space="preserve">88268                                   </w:t>
      </w:r>
      <w:r>
        <w:rPr>
          <w:rFonts w:hint="eastAsia" w:ascii="宋体" w:hAnsi="宋体"/>
          <w:b/>
          <w:iCs/>
          <w:color w:val="000000"/>
          <w:sz w:val="24"/>
        </w:rPr>
        <w:t>证券简称：华特气体</w:t>
      </w:r>
    </w:p>
    <w:p w14:paraId="042D792A">
      <w:pPr>
        <w:spacing w:before="156" w:beforeLines="50" w:after="156" w:afterLines="50" w:line="400" w:lineRule="exact"/>
        <w:jc w:val="center"/>
        <w:rPr>
          <w:rFonts w:ascii="黑体" w:hAnsi="黑体" w:eastAsia="黑体" w:cs="黑体"/>
          <w:b/>
          <w:bCs/>
          <w:i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Cs/>
          <w:color w:val="000000"/>
          <w:sz w:val="36"/>
          <w:szCs w:val="36"/>
        </w:rPr>
        <w:t>广东华特气体股份有限公司</w:t>
      </w:r>
    </w:p>
    <w:p w14:paraId="195F9CE9">
      <w:pPr>
        <w:spacing w:before="156" w:beforeLines="50" w:after="156" w:afterLines="50" w:line="400" w:lineRule="exact"/>
        <w:jc w:val="center"/>
        <w:rPr>
          <w:rFonts w:ascii="黑体" w:hAnsi="黑体" w:eastAsia="黑体" w:cs="黑体"/>
          <w:b/>
          <w:bCs/>
          <w:i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Cs/>
          <w:color w:val="000000"/>
          <w:sz w:val="36"/>
          <w:szCs w:val="36"/>
        </w:rPr>
        <w:t>投资者关系活动记录表</w:t>
      </w:r>
      <w:bookmarkStart w:id="0" w:name="_GoBack"/>
      <w:bookmarkEnd w:id="0"/>
    </w:p>
    <w:p w14:paraId="2722814F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编号：2026</w:t>
      </w:r>
      <w:r>
        <w:rPr>
          <w:rFonts w:ascii="宋体" w:hAnsi="宋体"/>
          <w:bCs/>
          <w:iCs/>
          <w:color w:val="000000"/>
          <w:sz w:val="24"/>
        </w:rPr>
        <w:t>-00</w:t>
      </w:r>
      <w:r>
        <w:rPr>
          <w:rFonts w:hint="eastAsia" w:ascii="宋体" w:hAnsi="宋体"/>
          <w:bCs/>
          <w:iCs/>
          <w:color w:val="000000"/>
          <w:sz w:val="24"/>
        </w:rPr>
        <w:t>2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4D23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7BF4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26FC046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7F5E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特定对象调研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154B6F7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20E3885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新闻发布会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28BDA98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 w14:paraId="7364D65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6A54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FC938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CC6AB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埃普斯国际、邦客资管、北京宏道投资、北京赛伯乐绿科云融投资、毕盛(上海)投资、博润银泰投资、博时基金、丞毅投资、创金合信基金、大家资管、度势投资、方物私募基金、FM FIRST HONG KONG MANAGEMENT ASSOCIATES、光大保德信基金、光大证券、国华兴益资管、国金证券、国寿安保基金、国泰海通资产管理、杭州明见投资、豪山资管、合道资管、恒越基金、华泰证券、华泰资管、华西基金、华西证券、环球富盛理财、江海证券、景和资管、开源证券、路博迈基金、路博迈投资、马可波罗中国资产管理、民生通惠资管、铭邦投资、铭基国际、鹏华基金、平安证券、前海中金资产、乔戈里资本、瑞银证券、三和投资、山西证券、上海博笃投资、上海诚熠私募、上海笃诚私募、上海鸿涵投资、上海益昶资管、上海兆顺私募、申万宏源研究、申万菱信基金、深圳国晖投资、深圳前海道谊、天风证券、维沃控股、Willing Capital Management、西部利得基金、新干懋业私募、信银理财、玄卜投资、雪石资管、循远资管、银河证券、英大信托、赢舟资产、甬兴证券、泳诚私募、长江证券、长盛基金、浙江丰道投资、志开投资、中国国际金融、中泰证券、中信期货、中信证券、中意资管、中银基金、中银资产</w:t>
            </w:r>
          </w:p>
        </w:tc>
      </w:tr>
      <w:tr w14:paraId="7AFA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50F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5241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2026年4月29日</w:t>
            </w:r>
          </w:p>
        </w:tc>
      </w:tr>
      <w:tr w14:paraId="7708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DAB9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9F8B9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远程音频、线上电话会</w:t>
            </w:r>
          </w:p>
        </w:tc>
      </w:tr>
      <w:tr w14:paraId="21A5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1B85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0A10F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董事、副总经理：张穗华</w:t>
            </w:r>
          </w:p>
          <w:p w14:paraId="2BE05E4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董事会秘书：万灵芝</w:t>
            </w:r>
          </w:p>
        </w:tc>
      </w:tr>
      <w:tr w14:paraId="4761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AAF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333EBAD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EAAD58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/>
              </w:rPr>
            </w:pPr>
            <w:r>
              <w:rPr>
                <w:rStyle w:val="18"/>
                <w:rFonts w:hint="default"/>
              </w:rPr>
              <w:t>一</w:t>
            </w:r>
            <w:r>
              <w:rPr>
                <w:rStyle w:val="18"/>
                <w:rFonts w:hint="default"/>
                <w:b/>
              </w:rPr>
              <w:t>、公司的基本情况介绍及最近主要变化。</w:t>
            </w:r>
          </w:p>
          <w:p w14:paraId="039AC282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/>
              </w:rPr>
            </w:pPr>
            <w:r>
              <w:rPr>
                <w:rStyle w:val="18"/>
                <w:rFonts w:hint="default"/>
              </w:rPr>
              <w:t>广东华特气体股份有限公司（以下简称</w:t>
            </w:r>
            <w:r>
              <w:rPr>
                <w:rStyle w:val="18"/>
              </w:rPr>
              <w:t>“华特气体”或</w:t>
            </w:r>
            <w:r>
              <w:rPr>
                <w:rStyle w:val="18"/>
                <w:rFonts w:hint="default"/>
              </w:rPr>
              <w:t>“公司”），成立于1999年，于2019年12月在上交所科创板上市，股票代码：688268。华特气体是一家专注于特种气体国产化，聚焦主营业务发展的公司；长期以来，公司坚持自主可控、创新发展，是率先打破极大规模集成电路、新型显示面板、高端装备制造、新能源等尖端领域气体材料进口制约的气体厂商。</w:t>
            </w:r>
          </w:p>
          <w:p w14:paraId="2FC62EEC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/>
              </w:rPr>
            </w:pPr>
            <w:r>
              <w:rPr>
                <w:rStyle w:val="18"/>
                <w:rFonts w:hint="default"/>
              </w:rPr>
              <w:t>公司主营业务以特种气体的研发、生产及销售为核心，辅以普通工业气体和相关气体设备与工程业务，提供气体一站式综合应用解决方案。公司的特种气体主要面向集成电路、显示面板、光伏新能源、光纤光缆等新兴产业。随着信息化、智能化技术的快速发展，半导体芯片及器件产品在半导体照明、新一代移动通信、智能电网、新能源汽车、智能驾驶、数据中心、消费类电子等领域得到广泛应用。公司的电子特种气体产品在电子领域实现了包括高纯四氟化碳、高纯六氟乙烷、光刻气、高纯二氧化碳、高纯一氧化碳、高纯氨、高纯一氧化氮、高纯三氟甲烷、高纯八氟丙烷、锗烷、高纯乙烯、高纯甲烷、高纯六氟丁二烯</w:t>
            </w:r>
            <w:r>
              <w:rPr>
                <w:rStyle w:val="18"/>
              </w:rPr>
              <w:t>、</w:t>
            </w:r>
            <w:r>
              <w:rPr>
                <w:rFonts w:hint="eastAsia" w:ascii="宋体" w:hAnsi="宋体"/>
                <w:sz w:val="24"/>
                <w:lang w:bidi="ar"/>
              </w:rPr>
              <w:t>溴化氢、三氯化硼</w:t>
            </w:r>
            <w:r>
              <w:rPr>
                <w:rStyle w:val="18"/>
                <w:rFonts w:hint="default"/>
              </w:rPr>
              <w:t>等众多产品的进口替代。公司自主研发的氟碳类、光刻及其他混合气、氢化物、氮氧化合物等产品主要应用在芯片制程工艺中的刻蚀、清洗、光刻、外延、沉积/成膜、离子注入等环节</w:t>
            </w:r>
            <w:r>
              <w:rPr>
                <w:rStyle w:val="18"/>
              </w:rPr>
              <w:t>。</w:t>
            </w:r>
          </w:p>
          <w:p w14:paraId="426112BE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/>
              </w:rPr>
            </w:pPr>
            <w:r>
              <w:rPr>
                <w:rStyle w:val="18"/>
              </w:rPr>
              <w:t>公司掌握了特种气体从生产、存储、检测到应用服务全流程涉及的关键技术，包括气体合成、纯化、混配、气瓶处理、分析检测以及供气系统的设计、安装、日常维护等环节。公司精益求精，在原有核心技术基础上不断深入研究，持续提升各节点技术水平，追求更高的纯度、更低的杂质含量、更稳定的质量、更高的检测精度。公司经过多年行业沉淀在高端市场领域形成了突破，积累了中芯国际、华润微电子、长江存储、韩国三星、新加坡美光、UMC、台积电等众多优质客户，尤其在集成电路领域，对国内8-12寸芯片厂商的覆盖率处于行业领先地位。第三代功率器件半导体方面，公司产品满足碳化硅（SiC）与氮化镓（GaN）等生产需求。公司也已进入到全国最大的氮化镓厂和碳化硅厂供应链。</w:t>
            </w:r>
          </w:p>
          <w:p w14:paraId="2A6E6842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8"/>
                <w:rFonts w:hint="default"/>
              </w:rPr>
              <w:t>在气体分析检测领域，公司在业内首创准分子激光气中微量氟的检测关键技术，解决了重组分、百分比浓度含氟量等行业检测难题。公司自主研发有Ar/F/Ne、Kr/Ne、Ar/Ne、Kr/F/Ne和Ar/Ne/Xe等多款光刻混合气，公司是国内唯一一家多款稀混光刻气（其中2款含有微量氟）同时通过荷兰ASML公司和日本GIGAPHOTON株式会社认证的气体公司，并且多款光刻气在半导体厂得到广泛应用</w:t>
            </w:r>
            <w:r>
              <w:rPr>
                <w:rStyle w:val="18"/>
              </w:rPr>
              <w:t>。</w:t>
            </w:r>
          </w:p>
          <w:p w14:paraId="490C6A5E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深耕行业三十多年，公司技术积淀深厚、研发成果丰硕。截至2025年底，公司累计授权专利270项，其中发明专利44项、实用新型专利223项、外观设计专利3项；公司主持或参与制定了包括多项电子工业用气体国家标准在内的68项标准、行业标准6项、国际标准1项、团体标准11项。公司先后承接国家02重大科技专项《高纯三氟甲烷的研发与中试》、广东省新一代显示技术试点“平板显示器用特种气体”等国家级、省级重点科研项目；并作为唯一气体企业连续四届（2017年、2019年、2021年、2023年）入选“中国电子化工材料专业十强”。</w:t>
            </w:r>
          </w:p>
          <w:p w14:paraId="4AD43EE5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荣誉层面，2023年公司斩获中国集成电路创新联盟第六届“IC创新奖.成果产业化奖”（集成电路用稀混光刻气的研发与产业化）、获评国家级第五批专精特新“小巨人”企业、广东省专精特新中小企业、广东省创新型中小企业，荣获广东省专利奖优秀奖、广东省制造业单项冠军；2024年度，公司荣获佛山市南海区政府质量奖、新材料最具成长上市公司、大湾区TOP20上市公司（公司治理)等荣誉；2025年公司拥有多项核心发明专利，其中“一种氨气的纯化系统”荣获2025年广东省专利奖金奖，硬核技术实力获得行业广泛认可。</w:t>
            </w:r>
          </w:p>
          <w:p w14:paraId="08D531DB">
            <w:pPr>
              <w:spacing w:before="156" w:beforeLines="50" w:beforeAutospacing="1" w:after="156" w:afterLines="50" w:afterAutospacing="1" w:line="360" w:lineRule="auto"/>
              <w:ind w:firstLine="482" w:firstLineChars="2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二、问答环节</w:t>
            </w:r>
          </w:p>
          <w:p w14:paraId="617D9FE6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left"/>
              <w:rPr>
                <w:rStyle w:val="18"/>
                <w:rFonts w:hint="default" w:cs="宋体"/>
                <w:b/>
                <w:bCs/>
              </w:rPr>
            </w:pPr>
            <w:r>
              <w:rPr>
                <w:rStyle w:val="18"/>
                <w:rFonts w:hint="default" w:cs="宋体"/>
                <w:b/>
                <w:bCs/>
              </w:rPr>
              <w:t>1、</w:t>
            </w:r>
            <w:r>
              <w:rPr>
                <w:rStyle w:val="18"/>
                <w:rFonts w:cs="宋体"/>
                <w:b/>
                <w:bCs/>
              </w:rPr>
              <w:t>2026年第一季度报告业</w:t>
            </w:r>
            <w:r>
              <w:rPr>
                <w:rStyle w:val="18"/>
                <w:rFonts w:hint="default" w:cs="宋体"/>
                <w:b/>
                <w:bCs/>
              </w:rPr>
              <w:t>绩解读？</w:t>
            </w:r>
          </w:p>
          <w:p w14:paraId="6E0ED0E0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 w:cs="宋体"/>
              </w:rPr>
            </w:pPr>
            <w:r>
              <w:rPr>
                <w:rStyle w:val="18"/>
                <w:rFonts w:hint="default" w:cs="宋体"/>
              </w:rPr>
              <w:t>答：</w:t>
            </w:r>
            <w:r>
              <w:rPr>
                <w:rStyle w:val="18"/>
                <w:rFonts w:cs="宋体"/>
              </w:rPr>
              <w:t>2026</w:t>
            </w:r>
            <w:r>
              <w:rPr>
                <w:rStyle w:val="18"/>
                <w:rFonts w:hint="default" w:cs="宋体"/>
              </w:rPr>
              <w:t>年</w:t>
            </w:r>
            <w:r>
              <w:rPr>
                <w:rStyle w:val="18"/>
                <w:rFonts w:cs="宋体"/>
              </w:rPr>
              <w:t>第一季度</w:t>
            </w:r>
            <w:r>
              <w:rPr>
                <w:rStyle w:val="18"/>
                <w:rFonts w:hint="default" w:cs="宋体"/>
              </w:rPr>
              <w:t>公司实现营业收入38,418.03万元，同比上升</w:t>
            </w:r>
            <w:r>
              <w:rPr>
                <w:rStyle w:val="18"/>
                <w:rFonts w:cs="宋体"/>
              </w:rPr>
              <w:t>13</w:t>
            </w:r>
            <w:r>
              <w:rPr>
                <w:rStyle w:val="18"/>
                <w:rFonts w:hint="default" w:cs="宋体"/>
              </w:rPr>
              <w:t>.7%，实现归属于母公司股东的净利润3,387.66万元，同比下降</w:t>
            </w:r>
            <w:r>
              <w:rPr>
                <w:rStyle w:val="18"/>
                <w:rFonts w:cs="宋体"/>
              </w:rPr>
              <w:t>23</w:t>
            </w:r>
            <w:r>
              <w:rPr>
                <w:rStyle w:val="18"/>
                <w:rFonts w:hint="default" w:cs="宋体"/>
              </w:rPr>
              <w:t>.7%</w:t>
            </w:r>
            <w:r>
              <w:rPr>
                <w:rStyle w:val="18"/>
                <w:rFonts w:cs="宋体"/>
              </w:rPr>
              <w:t>，</w:t>
            </w:r>
            <w:r>
              <w:rPr>
                <w:rStyle w:val="18"/>
                <w:rFonts w:hint="default" w:cs="宋体"/>
              </w:rPr>
              <w:t>公司利润端表现与收入出现背离，当期盈利仍承压。主要原因系：（1）特种气体受部分毛利偏低产品市场需求增加影响，相关产品对整体毛利率形成的压力，尚未被产品需求增量完全对冲；（2）普通工业气体项目设备投产转固，项目尚处于投产初期与产能爬坡阶段，成本端刚性增幅高于收入增幅，进而拉低整体盈利水平与毛利率；（3）2025年新增转固产线产生折旧、报告期内期间费用有所增加，叠加汇兑损益带来的非经营性负面影响，进一步压缩了当期利润空间。</w:t>
            </w:r>
          </w:p>
          <w:p w14:paraId="50E4BD58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left"/>
              <w:rPr>
                <w:rStyle w:val="18"/>
                <w:rFonts w:hint="default" w:cs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2、公司在客户覆盖方面有什么优势？</w:t>
            </w:r>
          </w:p>
          <w:p w14:paraId="65415BEB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 w:cs="宋体"/>
              </w:rPr>
            </w:pPr>
            <w:r>
              <w:rPr>
                <w:rStyle w:val="18"/>
                <w:rFonts w:hint="default" w:cs="宋体"/>
              </w:rPr>
              <w:t>答：公司对国内8-12寸半导体厂客户覆盖率居行业领先地位，进一步夯实国内市场供应地位；在国际市场，公司的业务模式逐步由中间商转向终端客户，推动海外客户覆盖率夯实竞争力</w:t>
            </w:r>
            <w:r>
              <w:rPr>
                <w:rStyle w:val="18"/>
                <w:rFonts w:cs="宋体"/>
              </w:rPr>
              <w:t>，</w:t>
            </w:r>
            <w:r>
              <w:rPr>
                <w:rStyle w:val="18"/>
                <w:rFonts w:hint="default" w:cs="宋体"/>
              </w:rPr>
              <w:t>通过“国内稳基、海外拓疆”的双轮驱动</w:t>
            </w:r>
            <w:r>
              <w:rPr>
                <w:rStyle w:val="18"/>
                <w:rFonts w:cs="宋体"/>
              </w:rPr>
              <w:t>公司发展。</w:t>
            </w:r>
          </w:p>
          <w:p w14:paraId="443C930F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 w:cs="宋体"/>
              </w:rPr>
            </w:pPr>
            <w:r>
              <w:rPr>
                <w:rStyle w:val="18"/>
                <w:rFonts w:hint="default" w:cs="宋体"/>
              </w:rPr>
              <w:t>2025年，公司荣获中芯集成电路（宁波）有限公司“优秀供应商”、士兰半导体制造事业总部“材料战略合作供应商”及广东中图半导体授予的“2025年度优秀供应商”等荣誉称号，彰显了核心集成电路制造企业客户对公司产品和服务的高度认可。</w:t>
            </w:r>
          </w:p>
          <w:p w14:paraId="448FEB88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left"/>
              <w:rPr>
                <w:rStyle w:val="18"/>
                <w:rFonts w:hint="default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3、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目前公司所处领域国产化率现在大约是多少？</w:t>
            </w:r>
          </w:p>
          <w:p w14:paraId="73D44678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left"/>
              <w:rPr>
                <w:rStyle w:val="18"/>
                <w:rFonts w:hint="default" w:cs="宋体"/>
              </w:rPr>
            </w:pPr>
            <w:r>
              <w:rPr>
                <w:rStyle w:val="18"/>
                <w:rFonts w:hint="default" w:cs="宋体"/>
              </w:rPr>
              <w:t>答：目前国内自主生产的电子特种气体市场份额</w:t>
            </w:r>
            <w:r>
              <w:rPr>
                <w:rStyle w:val="18"/>
                <w:rFonts w:cs="宋体"/>
              </w:rPr>
              <w:t>与国际巨头相比，</w:t>
            </w:r>
            <w:r>
              <w:rPr>
                <w:rStyle w:val="18"/>
                <w:rFonts w:hint="default" w:cs="宋体"/>
              </w:rPr>
              <w:t>占比仍然较小，据中国工业气体工业协会统计，我国仅能生产不到三成的集成电路生产用电子特气品种，呈现高端产品产能不足，进口依赖度仍较高。</w:t>
            </w:r>
          </w:p>
          <w:p w14:paraId="602DC644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4、在AI浪潮下先进封装和存储有望给行业带来多少增量市场需求?</w:t>
            </w:r>
          </w:p>
          <w:p w14:paraId="7B3D4CBB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 w:cs="宋体"/>
              </w:rPr>
            </w:pPr>
            <w:r>
              <w:rPr>
                <w:rFonts w:hint="eastAsia" w:ascii="宋体" w:hAnsi="宋体" w:cs="宋体"/>
                <w:sz w:val="24"/>
              </w:rPr>
              <w:t>答：</w:t>
            </w:r>
            <w:r>
              <w:rPr>
                <w:rFonts w:hint="eastAsia" w:ascii="宋体" w:hAnsi="宋体"/>
                <w:sz w:val="24"/>
                <w:lang w:bidi="ar"/>
              </w:rPr>
              <w:t>近年来，随着信息化、智能化技术的渗透推动半导体芯片应用场景不断拓宽——从半导体、新一代移动通信、智能电网、新能源汽车、消费类电子再到人工智能、物联网等新兴领域，集成电路市场规模的快速增长直接带动特种气体需求“量”的提升。</w:t>
            </w:r>
            <w:r>
              <w:rPr>
                <w:rStyle w:val="18"/>
                <w:rFonts w:hint="default" w:cs="宋体"/>
              </w:rPr>
              <w:t>据IBS预测，2030年全球芯片行业年收入将较2021年翻倍至1.35万亿美元，AI计算、高性能计算对芯片的刚性需求尤为突出；受AI应用驱动，用于先进逻辑芯片制造和用于高带宽存储（HBM）的电子特气需求强劲。</w:t>
            </w:r>
          </w:p>
          <w:p w14:paraId="74F23065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 w:cs="宋体"/>
              </w:rPr>
            </w:pPr>
            <w:r>
              <w:rPr>
                <w:rStyle w:val="18"/>
                <w:rFonts w:hint="default" w:cs="宋体"/>
              </w:rPr>
              <w:t>AI市场发展前景广阔，将推动电力、数据中心等基础设施投资。电力投资是AI成本的重要部分，公司产品六氟化硫在电力领域有应用潜力。在芯片制造方面，未来技术将向更低温的工艺（如低温刻蚀、沉积）发展，这将催生更多特种气体需求。</w:t>
            </w:r>
          </w:p>
          <w:p w14:paraId="2B3D02E5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、公司在海外市场拓展方面取得了哪些进展？未来公司对海外市场拓展有什么规划吗?</w:t>
            </w:r>
          </w:p>
          <w:p w14:paraId="3FB740CF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答：截至2025年底，公司海外新加坡半导体客户增加至5家，客户基础更加多元化。公司收购新加坡AIG后，在新加坡拥有了仓储、物流和技术服务能力，海外终端客户逐渐转为由公司直接销售，海外直销比例不断提升。公司产品在韩国、东南亚等地区半导体厂商的供应体系中得到进一步巩固。</w:t>
            </w:r>
          </w:p>
          <w:p w14:paraId="33213E1A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规划推进海外销售模式转型，持续降低对中间商的依赖程度，积极与海外终端客户建立直接合作关系。针对不同国家和地区的市场特点、政策法规、文化差异，制定差异化拓展策略：在欧美、日韩等电子制造业发达区域，聚焦高端半导体客户，以高端电子特气产品为突破口，凭借技术优势与产品品质突破海外市场壁垒；在东南亚等新兴市场，依托性价比优势，快速拓展中小客户，抢占市场份额。通过强化国际区域市场布局，全面提升公司在国际市场的影响力与份额，打破海外企业垄断格局，实现全球市场突围。</w:t>
            </w:r>
          </w:p>
          <w:p w14:paraId="0F9A97E5">
            <w:pPr>
              <w:spacing w:before="100" w:beforeAutospacing="1" w:after="100" w:afterAutospacing="1"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b/>
                <w:bCs/>
                <w:sz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公司目前的产能布局和在建项目进展如何？</w:t>
            </w:r>
          </w:p>
          <w:p w14:paraId="79A31599">
            <w:pPr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答：为应对市场需求增长，公司在江西九江、江苏南通等生产基地的电子特气产能扩建项目按计划推进中。</w:t>
            </w:r>
          </w:p>
          <w:p w14:paraId="0494E86E">
            <w:pPr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</w:rPr>
              <w:t>公司江西可转债募投项目中的“年产1,936.2吨电子特气项目”预计2026年7月竣工（最终以实际开展情况为准）。江苏南通项目已取得一期土地，已取得安环能评相关批复，目前正在规划建设。</w:t>
            </w:r>
          </w:p>
          <w:p w14:paraId="45BA9171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、公司在进口替代方面取得了哪些新进展?</w:t>
            </w:r>
          </w:p>
          <w:p w14:paraId="730ADA55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答：公司通过持续研发攻关，公司实现进口替代的产品已从上市初期的22款增加至57款，进一步拓宽了公司国产化产品矩阵。高端新产品乙硅烷、溴化氢、三氯化硼等高端电子特气新产品在2025年均已获得销售订单，完成了从研发到市场的成果转化。此外，公司也在逐步推进部分腐蚀性气体品种的进口替代。</w:t>
            </w:r>
          </w:p>
          <w:p w14:paraId="59D8EFF2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、从行业周期和下游需求看，公司目前是否感受到行业的变化？</w:t>
            </w:r>
          </w:p>
          <w:p w14:paraId="25F9585C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答：市场需求仍呈现分化态势，低端芯片产品面临较大挑战。而随着全球数字化进程持续提速，芯片市场需求格局正发生深刻变化，尤其是在高端芯片领域需求呈现快速增长。行业升级倒逼产业链上游提质增效，对特种气体的纯度标准、杂质含量管控、混配精度、包装储运品质、供货稳定性以及配套客户服务等全链条环节，均提出更为严苛、精细化的高阶要求。</w:t>
            </w:r>
          </w:p>
          <w:p w14:paraId="419EE0B5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AI算力需求的持续攀升，直接带动逻辑芯片、存储芯片产能加速扩张与制程迭代升级，进而拉动电子特气、高纯化学品等半导体核心材料的市场需求总量同比显著提升，行业整体需求端呈现积极向好态势。</w:t>
            </w:r>
          </w:p>
          <w:p w14:paraId="7507A020">
            <w:pPr>
              <w:numPr>
                <w:ilvl w:val="255"/>
                <w:numId w:val="0"/>
              </w:numPr>
              <w:spacing w:before="156" w:beforeLines="50" w:beforeAutospacing="1" w:after="156" w:afterLines="50" w:afterAutospacing="1"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b/>
                <w:bCs/>
                <w:sz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公司对2026年整体经营有什么展望和目标？</w:t>
            </w:r>
          </w:p>
          <w:p w14:paraId="6EF62D38">
            <w:pPr>
              <w:numPr>
                <w:ilvl w:val="255"/>
                <w:numId w:val="0"/>
              </w:num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答：2026年，全球气体行业将持续处于深度变革期，高端市场技术壁垒高筑、中低端领域价格白热化，行业竞争日趋激烈。公司作为国内特种气体生产商之一，需要直面行业竞争加剧、产品价格挤压、海外环境变化三重挑战，立足于公司现有业务根基、行业发展趋势与长远战略目标，以“破局突围、抢占高端、筑牢根基”为核心，从产品开发、技术创新、人才建设、运营优化和市场拓展五大维度，系统规划2026年发展路径，全力突破行业竞争重围，巩固并提升行业领先地位。</w:t>
            </w:r>
          </w:p>
        </w:tc>
      </w:tr>
      <w:tr w14:paraId="24BA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7EB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ACA2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4A1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56EA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48C0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2026年4月30日</w:t>
            </w:r>
          </w:p>
        </w:tc>
      </w:tr>
    </w:tbl>
    <w:p w14:paraId="2ACBD244">
      <w:pPr>
        <w:pStyle w:val="15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NTE5NTlkM2UxNDFiOGQzMzM2YzY1NmUxYWM2ZTQifQ=="/>
  </w:docVars>
  <w:rsids>
    <w:rsidRoot w:val="00151070"/>
    <w:rsid w:val="00013C1C"/>
    <w:rsid w:val="000251B3"/>
    <w:rsid w:val="00030972"/>
    <w:rsid w:val="00030B13"/>
    <w:rsid w:val="0004438E"/>
    <w:rsid w:val="000837D6"/>
    <w:rsid w:val="000F07A0"/>
    <w:rsid w:val="001076B0"/>
    <w:rsid w:val="00110963"/>
    <w:rsid w:val="00127A13"/>
    <w:rsid w:val="00134FDB"/>
    <w:rsid w:val="00151070"/>
    <w:rsid w:val="00152D54"/>
    <w:rsid w:val="00175022"/>
    <w:rsid w:val="001B4C92"/>
    <w:rsid w:val="001C153A"/>
    <w:rsid w:val="001C15B2"/>
    <w:rsid w:val="001D5C74"/>
    <w:rsid w:val="001D765A"/>
    <w:rsid w:val="001E4A9C"/>
    <w:rsid w:val="0023119E"/>
    <w:rsid w:val="002354D3"/>
    <w:rsid w:val="00240F97"/>
    <w:rsid w:val="0026080B"/>
    <w:rsid w:val="002773CA"/>
    <w:rsid w:val="002922B3"/>
    <w:rsid w:val="00296719"/>
    <w:rsid w:val="002A227A"/>
    <w:rsid w:val="00301B61"/>
    <w:rsid w:val="00302151"/>
    <w:rsid w:val="00320706"/>
    <w:rsid w:val="003243F6"/>
    <w:rsid w:val="00344428"/>
    <w:rsid w:val="00347A98"/>
    <w:rsid w:val="00405DA7"/>
    <w:rsid w:val="00410A20"/>
    <w:rsid w:val="00446B11"/>
    <w:rsid w:val="00456ADB"/>
    <w:rsid w:val="00471B94"/>
    <w:rsid w:val="004A3688"/>
    <w:rsid w:val="004A722C"/>
    <w:rsid w:val="004C122B"/>
    <w:rsid w:val="00512AF6"/>
    <w:rsid w:val="005368F3"/>
    <w:rsid w:val="00546A38"/>
    <w:rsid w:val="005C3304"/>
    <w:rsid w:val="005C6ACE"/>
    <w:rsid w:val="00626D1C"/>
    <w:rsid w:val="00656E16"/>
    <w:rsid w:val="006A4CFC"/>
    <w:rsid w:val="00740DC3"/>
    <w:rsid w:val="00757AE5"/>
    <w:rsid w:val="00765606"/>
    <w:rsid w:val="00767E4F"/>
    <w:rsid w:val="007B7396"/>
    <w:rsid w:val="007C05D4"/>
    <w:rsid w:val="007D2416"/>
    <w:rsid w:val="007F1A3C"/>
    <w:rsid w:val="007F32BE"/>
    <w:rsid w:val="00801B53"/>
    <w:rsid w:val="00805339"/>
    <w:rsid w:val="008056ED"/>
    <w:rsid w:val="00807C0F"/>
    <w:rsid w:val="008257AD"/>
    <w:rsid w:val="00871913"/>
    <w:rsid w:val="00887CF7"/>
    <w:rsid w:val="008B5814"/>
    <w:rsid w:val="008F7A8D"/>
    <w:rsid w:val="00906464"/>
    <w:rsid w:val="00922EA0"/>
    <w:rsid w:val="00936BAC"/>
    <w:rsid w:val="009405E0"/>
    <w:rsid w:val="009455E6"/>
    <w:rsid w:val="009460EB"/>
    <w:rsid w:val="00961BD1"/>
    <w:rsid w:val="009900EE"/>
    <w:rsid w:val="0099255C"/>
    <w:rsid w:val="009956AA"/>
    <w:rsid w:val="009B5D0F"/>
    <w:rsid w:val="009D128A"/>
    <w:rsid w:val="009F43CD"/>
    <w:rsid w:val="00A00155"/>
    <w:rsid w:val="00A801EA"/>
    <w:rsid w:val="00AA1C93"/>
    <w:rsid w:val="00AC5D8B"/>
    <w:rsid w:val="00B25B45"/>
    <w:rsid w:val="00B73268"/>
    <w:rsid w:val="00B747F9"/>
    <w:rsid w:val="00BA10DB"/>
    <w:rsid w:val="00BD0C38"/>
    <w:rsid w:val="00C03C74"/>
    <w:rsid w:val="00C05152"/>
    <w:rsid w:val="00C21D92"/>
    <w:rsid w:val="00C2715C"/>
    <w:rsid w:val="00C953B0"/>
    <w:rsid w:val="00C9750D"/>
    <w:rsid w:val="00CA2F15"/>
    <w:rsid w:val="00CB32A0"/>
    <w:rsid w:val="00CB56E7"/>
    <w:rsid w:val="00CB7BFE"/>
    <w:rsid w:val="00CC0922"/>
    <w:rsid w:val="00CC627E"/>
    <w:rsid w:val="00CE29E9"/>
    <w:rsid w:val="00CE763B"/>
    <w:rsid w:val="00D11C06"/>
    <w:rsid w:val="00D23F00"/>
    <w:rsid w:val="00D3390A"/>
    <w:rsid w:val="00D617B2"/>
    <w:rsid w:val="00D750A0"/>
    <w:rsid w:val="00DB210E"/>
    <w:rsid w:val="00DC19E3"/>
    <w:rsid w:val="00DE308E"/>
    <w:rsid w:val="00DE53C5"/>
    <w:rsid w:val="00DF1E57"/>
    <w:rsid w:val="00E01875"/>
    <w:rsid w:val="00E07CB2"/>
    <w:rsid w:val="00E36FC6"/>
    <w:rsid w:val="00E945A9"/>
    <w:rsid w:val="00E96665"/>
    <w:rsid w:val="00EA0866"/>
    <w:rsid w:val="00EE394E"/>
    <w:rsid w:val="00F070C9"/>
    <w:rsid w:val="00F21DD6"/>
    <w:rsid w:val="00F25FF8"/>
    <w:rsid w:val="00F35881"/>
    <w:rsid w:val="00F40715"/>
    <w:rsid w:val="00FD1A42"/>
    <w:rsid w:val="00FF37B7"/>
    <w:rsid w:val="00FF554C"/>
    <w:rsid w:val="0176498D"/>
    <w:rsid w:val="03830824"/>
    <w:rsid w:val="05AB5612"/>
    <w:rsid w:val="068A7850"/>
    <w:rsid w:val="06E34785"/>
    <w:rsid w:val="0978738B"/>
    <w:rsid w:val="0A1C4833"/>
    <w:rsid w:val="0A9450C5"/>
    <w:rsid w:val="0BEF44DC"/>
    <w:rsid w:val="0CC7626C"/>
    <w:rsid w:val="0F6063AF"/>
    <w:rsid w:val="10126CD5"/>
    <w:rsid w:val="17AA7F3F"/>
    <w:rsid w:val="185306EA"/>
    <w:rsid w:val="1A8A00A4"/>
    <w:rsid w:val="1A9747CA"/>
    <w:rsid w:val="1B684130"/>
    <w:rsid w:val="1ED46F31"/>
    <w:rsid w:val="1FF10406"/>
    <w:rsid w:val="21656CBF"/>
    <w:rsid w:val="22596EC8"/>
    <w:rsid w:val="22A705B3"/>
    <w:rsid w:val="22CB0CC1"/>
    <w:rsid w:val="26552E07"/>
    <w:rsid w:val="272F45CF"/>
    <w:rsid w:val="27870A7F"/>
    <w:rsid w:val="290C07F0"/>
    <w:rsid w:val="29A13AA2"/>
    <w:rsid w:val="29E72767"/>
    <w:rsid w:val="2A027055"/>
    <w:rsid w:val="2A7D796C"/>
    <w:rsid w:val="2C774586"/>
    <w:rsid w:val="2D5717A3"/>
    <w:rsid w:val="2D7B0696"/>
    <w:rsid w:val="2DD350BF"/>
    <w:rsid w:val="2E4B1C88"/>
    <w:rsid w:val="2F135D47"/>
    <w:rsid w:val="2F692A40"/>
    <w:rsid w:val="30647164"/>
    <w:rsid w:val="31485D7C"/>
    <w:rsid w:val="33533805"/>
    <w:rsid w:val="34F14902"/>
    <w:rsid w:val="35BA3ED4"/>
    <w:rsid w:val="36CF5FE5"/>
    <w:rsid w:val="378E6966"/>
    <w:rsid w:val="392D6A85"/>
    <w:rsid w:val="3A906321"/>
    <w:rsid w:val="3AB45B25"/>
    <w:rsid w:val="3AE65635"/>
    <w:rsid w:val="3DBC57C1"/>
    <w:rsid w:val="3DBF00CF"/>
    <w:rsid w:val="3F360CD4"/>
    <w:rsid w:val="400950B6"/>
    <w:rsid w:val="42841859"/>
    <w:rsid w:val="42C31F79"/>
    <w:rsid w:val="43F17569"/>
    <w:rsid w:val="459504F8"/>
    <w:rsid w:val="45A24F58"/>
    <w:rsid w:val="47BC5006"/>
    <w:rsid w:val="47E14350"/>
    <w:rsid w:val="496E1128"/>
    <w:rsid w:val="4BE11524"/>
    <w:rsid w:val="4DCF25EE"/>
    <w:rsid w:val="50455C8C"/>
    <w:rsid w:val="51783058"/>
    <w:rsid w:val="53C638D2"/>
    <w:rsid w:val="544A79F2"/>
    <w:rsid w:val="55561660"/>
    <w:rsid w:val="5A5D4BF5"/>
    <w:rsid w:val="5BAC1F2F"/>
    <w:rsid w:val="5CD841D5"/>
    <w:rsid w:val="5D7C1AB9"/>
    <w:rsid w:val="5DAF55F4"/>
    <w:rsid w:val="5DF14D16"/>
    <w:rsid w:val="5E693CF6"/>
    <w:rsid w:val="5FE23C7A"/>
    <w:rsid w:val="604E2347"/>
    <w:rsid w:val="60962888"/>
    <w:rsid w:val="61551B40"/>
    <w:rsid w:val="62C9440A"/>
    <w:rsid w:val="635C5477"/>
    <w:rsid w:val="66891E0F"/>
    <w:rsid w:val="66C965AD"/>
    <w:rsid w:val="68211D11"/>
    <w:rsid w:val="68716FA7"/>
    <w:rsid w:val="6AE242EB"/>
    <w:rsid w:val="6FB146A2"/>
    <w:rsid w:val="724B1615"/>
    <w:rsid w:val="74AC41F8"/>
    <w:rsid w:val="7612152C"/>
    <w:rsid w:val="76911912"/>
    <w:rsid w:val="76A60911"/>
    <w:rsid w:val="78392AED"/>
    <w:rsid w:val="79BC7051"/>
    <w:rsid w:val="7A0C7600"/>
    <w:rsid w:val="7C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uiPriority w:val="99"/>
    <w:pPr>
      <w:jc w:val="left"/>
    </w:pPr>
  </w:style>
  <w:style w:type="paragraph" w:styleId="4">
    <w:name w:val="Balloon Text"/>
    <w:basedOn w:val="1"/>
    <w:link w:val="16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1">
    <w:name w:val="Hyperlink"/>
    <w:basedOn w:val="10"/>
    <w:autoRedefine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style01"/>
    <w:basedOn w:val="10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9">
    <w:name w:val="fontstyle2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20">
    <w:name w:val="内页正文"/>
    <w:link w:val="21"/>
    <w:autoRedefine/>
    <w:qFormat/>
    <w:uiPriority w:val="0"/>
    <w:pPr>
      <w:spacing w:after="120"/>
      <w:jc w:val="both"/>
    </w:pPr>
    <w:rPr>
      <w:rFonts w:ascii="Arial" w:hAnsi="Arial" w:eastAsia="华文细黑" w:cs="Arial"/>
      <w:kern w:val="2"/>
      <w:sz w:val="18"/>
      <w:szCs w:val="19"/>
      <w:lang w:val="en-US" w:eastAsia="zh-CN" w:bidi="ar-SA"/>
    </w:rPr>
  </w:style>
  <w:style w:type="character" w:customStyle="1" w:styleId="21">
    <w:name w:val="内页正文 Char"/>
    <w:link w:val="20"/>
    <w:autoRedefine/>
    <w:qFormat/>
    <w:uiPriority w:val="0"/>
    <w:rPr>
      <w:rFonts w:ascii="Arial" w:hAnsi="Arial" w:eastAsia="华文细黑" w:cs="Arial"/>
      <w:kern w:val="2"/>
      <w:sz w:val="18"/>
      <w:szCs w:val="19"/>
    </w:rPr>
  </w:style>
  <w:style w:type="paragraph" w:customStyle="1" w:styleId="22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23">
    <w:name w:val="批注文字 字符"/>
    <w:basedOn w:val="10"/>
    <w:link w:val="3"/>
    <w:semiHidden/>
    <w:qFormat/>
    <w:uiPriority w:val="99"/>
    <w:rPr>
      <w:kern w:val="2"/>
      <w:sz w:val="21"/>
      <w:szCs w:val="24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E3594-AC90-47E4-8E8F-DF614A2AD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win10com.com</Company>
  <Pages>8</Pages>
  <Words>4289</Words>
  <Characters>4547</Characters>
  <Lines>34</Lines>
  <Paragraphs>9</Paragraphs>
  <TotalTime>44</TotalTime>
  <ScaleCrop>false</ScaleCrop>
  <LinksUpToDate>false</LinksUpToDate>
  <CharactersWithSpaces>4608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2023-09-06T09:14:00Z</dcterms:created>
  <dc:creator>skd004</dc:creator>
  <cp:lastModifiedBy>WPS_1683033738</cp:lastModifiedBy>
  <cp:lastPrinted>2026-04-14T09:36:00Z</cp:lastPrinted>
  <dcterms:modified xsi:type="dcterms:W3CDTF">2026-04-30T06:41:42Z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5749B72B5190493CB0C7C7CAFA1E1FB8_13</vt:lpwstr>
  </property>
</Properties>
</file>