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编号：2026-006</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t xml:space="preserve"> □分</w:t>
            </w:r>
            <w:r>
              <w:rPr>
                <w:rFonts w:ascii="Times New Roman" w:hAnsi="Times New Roman" w:cs="Times New Roman"/>
                <w:sz w:val="24"/>
                <w:szCs w:val="24"/>
              </w:rPr>
              <w:t>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690527AD">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详见附件：</w:t>
            </w:r>
            <w:r>
              <w:rPr>
                <w:rFonts w:hint="eastAsia" w:ascii="Times New Roman" w:hAnsi="Times New Roman" w:eastAsia="宋体" w:cs="Times New Roman"/>
                <w:bCs/>
                <w:sz w:val="24"/>
                <w:szCs w:val="24"/>
              </w:rPr>
              <w:t>机构调研名单</w:t>
            </w:r>
            <w:r>
              <w:rPr>
                <w:rFonts w:hint="eastAsia" w:ascii="Times New Roman" w:hAnsi="Times New Roman" w:cs="Times New Roman"/>
                <w:bCs/>
                <w:iCs/>
                <w:color w:val="000000"/>
                <w:sz w:val="24"/>
                <w:szCs w:val="24"/>
              </w:rPr>
              <w:t>。</w:t>
            </w:r>
          </w:p>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重要提示：参会人员名单由协办机构提供，公司无法保证所有参会人员及其单位名称的完整性和准确性，敬请投资者注意。</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2026年4</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29</w:t>
            </w:r>
            <w:r>
              <w:rPr>
                <w:rFonts w:hint="eastAsia" w:ascii="Times New Roman" w:hAnsi="Times New Roman" w:cs="Times New Roman"/>
                <w:bCs/>
                <w:iCs/>
                <w:color w:val="000000"/>
                <w:sz w:val="24"/>
                <w:szCs w:val="24"/>
              </w:rPr>
              <w:t>日-</w:t>
            </w:r>
            <w:r>
              <w:rPr>
                <w:rFonts w:ascii="Times New Roman" w:hAnsi="Times New Roman" w:cs="Times New Roman"/>
                <w:bCs/>
                <w:iCs/>
                <w:color w:val="000000"/>
                <w:sz w:val="24"/>
                <w:szCs w:val="24"/>
              </w:rPr>
              <w:t>2026</w:t>
            </w:r>
            <w:r>
              <w:rPr>
                <w:rFonts w:hint="eastAsia" w:ascii="Times New Roman" w:hAnsi="Times New Roman" w:cs="Times New Roman"/>
                <w:bCs/>
                <w:iCs/>
                <w:color w:val="000000"/>
                <w:sz w:val="24"/>
                <w:szCs w:val="24"/>
              </w:rPr>
              <w:t>年</w:t>
            </w:r>
            <w:r>
              <w:rPr>
                <w:rFonts w:ascii="Times New Roman" w:hAnsi="Times New Roman" w:cs="Times New Roman"/>
                <w:bCs/>
                <w:iCs/>
                <w:color w:val="000000"/>
                <w:sz w:val="24"/>
                <w:szCs w:val="24"/>
              </w:rPr>
              <w:t>4</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30</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副总经理兼董秘 郑晓玲；证券事务代表</w:t>
            </w:r>
            <w:r>
              <w:rPr>
                <w:rFonts w:ascii="Times New Roman" w:hAnsi="Times New Roman" w:cs="Times New Roman"/>
                <w:bCs/>
                <w:iCs/>
                <w:color w:val="000000"/>
                <w:sz w:val="24"/>
                <w:szCs w:val="24"/>
              </w:rPr>
              <w:t xml:space="preserve"> </w:t>
            </w:r>
            <w:r>
              <w:rPr>
                <w:rFonts w:hint="eastAsia" w:ascii="Times New Roman" w:hAnsi="Times New Roman" w:cs="Times New Roman"/>
                <w:bCs/>
                <w:iCs/>
                <w:color w:val="000000"/>
                <w:sz w:val="24"/>
                <w:szCs w:val="24"/>
              </w:rPr>
              <w:t>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月</w:t>
            </w:r>
            <w:r>
              <w:rPr>
                <w:rFonts w:hint="eastAsia" w:cs="Times New Roman" w:asciiTheme="minorEastAsia" w:hAnsiTheme="minorEastAsia"/>
                <w:sz w:val="24"/>
                <w:szCs w:val="24"/>
              </w:rPr>
              <w:t>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0F361C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聚力培育具备高科技、高效能、高质量特征的先进生产力，积极推进业务向高端化、智能化方向演进。同时，公司坚持从实际出发，立足现有资源禀赋与创新基础，主动应对市场变化，持续巩固业绩稳定增长的良好态势。2025年，公司实现营业收入80,414.59万元，较上年同期增长18.21%，实现归属于上市公司股东的净利润26,685.41万元，同比增长26.11%。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年第一季度，公司实现营业收入20</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075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0</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万元，同比增长1</w:t>
            </w:r>
            <w:r>
              <w:rPr>
                <w:rFonts w:ascii="Times New Roman" w:hAnsi="Times New Roman" w:eastAsia="宋体" w:cs="Times New Roman"/>
                <w:bCs/>
                <w:sz w:val="24"/>
                <w:szCs w:val="24"/>
              </w:rPr>
              <w:t>2.16%</w:t>
            </w:r>
            <w:r>
              <w:rPr>
                <w:rFonts w:hint="eastAsia" w:ascii="Times New Roman" w:hAnsi="Times New Roman" w:eastAsia="宋体" w:cs="Times New Roman"/>
                <w:bCs/>
                <w:sz w:val="24"/>
                <w:szCs w:val="24"/>
              </w:rPr>
              <w:t>；实现归属于上市公司股东的净利润</w:t>
            </w:r>
            <w:r>
              <w:rPr>
                <w:rFonts w:ascii="Times New Roman" w:hAnsi="Times New Roman" w:eastAsia="宋体" w:cs="Times New Roman"/>
                <w:bCs/>
                <w:sz w:val="24"/>
                <w:szCs w:val="24"/>
              </w:rPr>
              <w:t>6,612.91</w:t>
            </w:r>
            <w:r>
              <w:rPr>
                <w:rFonts w:hint="eastAsia" w:ascii="Times New Roman" w:hAnsi="Times New Roman" w:eastAsia="宋体" w:cs="Times New Roman"/>
                <w:bCs/>
                <w:sz w:val="24"/>
                <w:szCs w:val="24"/>
              </w:rPr>
              <w:t>万元，同比下降1</w:t>
            </w:r>
            <w:r>
              <w:rPr>
                <w:rFonts w:ascii="Times New Roman" w:hAnsi="Times New Roman" w:eastAsia="宋体" w:cs="Times New Roman"/>
                <w:bCs/>
                <w:sz w:val="24"/>
                <w:szCs w:val="24"/>
              </w:rPr>
              <w:t>.03</w:t>
            </w:r>
            <w:r>
              <w:rPr>
                <w:rFonts w:hint="eastAsia" w:ascii="Times New Roman" w:hAnsi="Times New Roman" w:eastAsia="宋体" w:cs="Times New Roman"/>
                <w:bCs/>
                <w:sz w:val="24"/>
                <w:szCs w:val="24"/>
              </w:rPr>
              <w:t>%。</w:t>
            </w:r>
          </w:p>
          <w:p w14:paraId="7EC78D38">
            <w:pPr>
              <w:spacing w:line="360" w:lineRule="auto"/>
              <w:ind w:firstLine="480" w:firstLineChars="200"/>
              <w:rPr>
                <w:rFonts w:ascii="Times New Roman" w:hAnsi="Times New Roman" w:eastAsia="宋体" w:cs="Times New Roman"/>
                <w:bCs/>
                <w:sz w:val="24"/>
                <w:szCs w:val="24"/>
              </w:rPr>
            </w:pPr>
          </w:p>
          <w:p w14:paraId="530A8758">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w:t>
            </w:r>
            <w:r>
              <w:rPr>
                <w:rFonts w:ascii="Times New Roman" w:hAnsi="Times New Roman" w:eastAsia="宋体" w:cs="Times New Roman"/>
                <w:b/>
                <w:bCs/>
                <w:sz w:val="24"/>
                <w:szCs w:val="24"/>
              </w:rPr>
              <w:t>2026</w:t>
            </w:r>
            <w:r>
              <w:rPr>
                <w:rFonts w:hint="eastAsia" w:ascii="Times New Roman" w:hAnsi="Times New Roman" w:eastAsia="宋体" w:cs="Times New Roman"/>
                <w:b/>
                <w:bCs/>
                <w:sz w:val="24"/>
                <w:szCs w:val="24"/>
              </w:rPr>
              <w:t>年一季度净利润下滑的原因？</w:t>
            </w:r>
            <w:r>
              <w:rPr>
                <w:rFonts w:ascii="Times New Roman" w:hAnsi="Times New Roman" w:eastAsia="宋体" w:cs="Times New Roman"/>
                <w:b/>
                <w:bCs/>
                <w:sz w:val="24"/>
                <w:szCs w:val="24"/>
              </w:rPr>
              <w:t xml:space="preserve"> 2026</w:t>
            </w:r>
            <w:r>
              <w:rPr>
                <w:rFonts w:hint="eastAsia" w:ascii="Times New Roman" w:hAnsi="Times New Roman" w:eastAsia="宋体" w:cs="Times New Roman"/>
                <w:b/>
                <w:bCs/>
                <w:sz w:val="24"/>
                <w:szCs w:val="24"/>
              </w:rPr>
              <w:t>年度业绩指引？</w:t>
            </w:r>
          </w:p>
          <w:p w14:paraId="26CADDB4">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一季度净利润主要受到汇兑损益的影响。2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一方面，加速公司冷锻精制线材，精密冷成形零件包括不锈钢精密零部件、丝杠精密零部件等精密冷成形件的多领域延伸运用；另一方面，提高汽车精密零件之气门组及气门传动组精密零部件的市场占有率，力争提高原有客户产品供货份额，抢占混合动力车型高速发展机遇，积极拓展新客户。进一步加大与海外客户沟通交流力度，促进海外市场的销售及新项目合作。公司管理层及全体员工将尽力做好各方面经营工作，实际经营过程中还是会存在多方面不确定因素。</w:t>
            </w:r>
          </w:p>
          <w:p w14:paraId="3E6250B4">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原材料对成本的影响？</w:t>
            </w:r>
          </w:p>
          <w:p w14:paraId="0299D7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答：公司生产所需的主要材料是碳素钢、合金钢等，近几年主要材料价格相对稳定。公司的产品均为精密零部件，体积小，材料成本占比相对可控。</w:t>
            </w:r>
          </w:p>
          <w:p w14:paraId="35F25AAE">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商用车市场的进展？</w:t>
            </w:r>
          </w:p>
          <w:p w14:paraId="629654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年，公司商用车精密零部件营业收入超1</w:t>
            </w:r>
            <w:r>
              <w:rPr>
                <w:rFonts w:ascii="Times New Roman" w:hAnsi="Times New Roman" w:eastAsia="宋体" w:cs="Times New Roman"/>
                <w:bCs/>
                <w:sz w:val="24"/>
                <w:szCs w:val="24"/>
              </w:rPr>
              <w:t>.47</w:t>
            </w:r>
            <w:r>
              <w:rPr>
                <w:rFonts w:hint="eastAsia" w:ascii="Times New Roman" w:hAnsi="Times New Roman" w:eastAsia="宋体" w:cs="Times New Roman"/>
                <w:bCs/>
                <w:sz w:val="24"/>
                <w:szCs w:val="24"/>
              </w:rPr>
              <w:t>亿元，同比增长2</w:t>
            </w:r>
            <w:r>
              <w:rPr>
                <w:rFonts w:ascii="Times New Roman" w:hAnsi="Times New Roman" w:eastAsia="宋体" w:cs="Times New Roman"/>
                <w:bCs/>
                <w:sz w:val="24"/>
                <w:szCs w:val="24"/>
              </w:rPr>
              <w:t>5.71%</w:t>
            </w:r>
            <w:r>
              <w:rPr>
                <w:rFonts w:hint="eastAsia" w:ascii="Times New Roman" w:hAnsi="Times New Roman" w:eastAsia="宋体" w:cs="Times New Roman"/>
                <w:bCs/>
                <w:sz w:val="24"/>
                <w:szCs w:val="24"/>
              </w:rPr>
              <w:t>。主要系海外商用车市场的开拓，客户涵盖：道依茨、MAN、斯堪尼亚等。</w:t>
            </w:r>
          </w:p>
          <w:p w14:paraId="075E2AA8">
            <w:pPr>
              <w:numPr>
                <w:ilvl w:val="0"/>
                <w:numId w:val="1"/>
              </w:num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墨西哥新坐标利润率较欧洲新坐标低的原因？</w:t>
            </w:r>
          </w:p>
          <w:p w14:paraId="71EDB2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答：主要是因为汇兑损益。2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年，因为中美墨三边贸易博弈的特殊背景，墨西哥比索对美元和人民币波动较大。</w:t>
            </w:r>
          </w:p>
          <w:p w14:paraId="1FA87B26">
            <w:pPr>
              <w:numPr>
                <w:ilvl w:val="0"/>
                <w:numId w:val="1"/>
              </w:num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公司丝杠产品的进展？对接客户有哪些？</w:t>
            </w:r>
          </w:p>
          <w:p w14:paraId="7388D0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以精密制造为核心竞争力，同时整合行业优质资源，成立玖月捌传动控股子公司，专注丝杠产品的研发生产，持续优化产品性能和生产工艺，为客户提供高精度、高可靠性的传动解决方案。在大承载反向式行星滚柱丝杠、微型循环式、微型反向式行星滚柱丝杠、微型梯形丝杠等领域，公司完成了从产品设计、工艺开发到内部试验验证的全流程开发工作。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年，公司积极配合客户完成丝杠产品的定制化研发、迭代与送样，获得客户高度评价。后续，公司将持续加大开发力度，紧密对接客户需求，快速响应市场变化，致力与客户实现长期共赢。</w:t>
            </w:r>
          </w:p>
          <w:p w14:paraId="62C49AB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具体的客户名称涉及保密协议，公司不方便透露。项目进展也请持续关注公司公告，感谢理解。</w:t>
            </w:r>
          </w:p>
          <w:p w14:paraId="5162BEB1">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丝杠产品的产能</w:t>
            </w:r>
            <w:r>
              <w:rPr>
                <w:rFonts w:ascii="Times New Roman" w:hAnsi="Times New Roman" w:eastAsia="宋体" w:cs="Times New Roman"/>
                <w:b/>
                <w:bCs/>
                <w:sz w:val="24"/>
                <w:szCs w:val="24"/>
              </w:rPr>
              <w:t>？</w:t>
            </w:r>
          </w:p>
          <w:p w14:paraId="714EC260">
            <w:pPr>
              <w:spacing w:line="360" w:lineRule="auto"/>
              <w:ind w:left="167"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答：为确保市场供应并匹配公司战略发展节奏，截至2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年3月底，公司建成月产</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万套行星滚柱丝杠的产线。公司会优化产线，提高效率，根据市场需求爬坡投产。产能规划也将根据市场需求及实际运营情况有所调整。</w:t>
            </w:r>
          </w:p>
          <w:p w14:paraId="6D657E4A">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不锈钢零部件的开发进展？</w:t>
            </w:r>
          </w:p>
          <w:p w14:paraId="69AADB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答：公司成功开发了无酸洗除锈、环保无渣磷化等专利技术，自主开发集成的生产线；创新研制的液体喷砂机，开创了线材表面无酸洗除磷新工艺。新坐标新技术，突破了冷镦线材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 </w:t>
            </w:r>
            <w:bookmarkStart w:id="0" w:name="_GoBack"/>
            <w:bookmarkEnd w:id="0"/>
          </w:p>
          <w:p w14:paraId="5ABF89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公司已取得汽车热管理系统阀座、阀芯柱等多个不锈钢</w:t>
            </w:r>
          </w:p>
          <w:p w14:paraId="1DD41CE7">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精密冷锻件新项目定点。通过公司的设计优化与工艺改进，推动了新产品实现安全可靠、轻量化及成本优势，我们相信冷镦线材以及公司开发的精密零部件未来在国内市场能得到更广泛的运用。</w:t>
            </w:r>
          </w:p>
          <w:p w14:paraId="773D4BA0">
            <w:pPr>
              <w:spacing w:line="360" w:lineRule="auto"/>
              <w:ind w:firstLine="480" w:firstLineChars="200"/>
              <w:rPr>
                <w:rFonts w:ascii="Times New Roman" w:hAnsi="Times New Roman" w:eastAsia="宋体" w:cs="Times New Roman"/>
                <w:bCs/>
                <w:sz w:val="24"/>
                <w:szCs w:val="24"/>
              </w:rPr>
            </w:pP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hint="eastAsia" w:ascii="Times New Roman" w:hAnsi="Times New Roman" w:eastAsia="宋体" w:cs="Times New Roman"/>
                <w:bCs/>
                <w:sz w:val="24"/>
                <w:szCs w:val="24"/>
              </w:rPr>
              <w:t>机构调研名单</w:t>
            </w:r>
          </w:p>
        </w:tc>
      </w:tr>
    </w:tbl>
    <w:p w14:paraId="376054F6">
      <w:pPr>
        <w:widowControl/>
        <w:jc w:val="left"/>
        <w:rPr>
          <w:rFonts w:ascii="Times New Roman" w:hAnsi="Times New Roman" w:cs="Times New Roman"/>
        </w:rPr>
      </w:pPr>
    </w:p>
    <w:p w14:paraId="0C803EEF">
      <w:pPr>
        <w:widowControl/>
        <w:jc w:val="left"/>
        <w:rPr>
          <w:rFonts w:ascii="Times New Roman" w:hAnsi="Times New Roman" w:cs="Times New Roman"/>
        </w:rPr>
      </w:pPr>
      <w:r>
        <w:rPr>
          <w:rFonts w:ascii="Times New Roman" w:hAnsi="Times New Roman" w:cs="Times New Roman"/>
        </w:rPr>
        <w:br w:type="page"/>
      </w:r>
    </w:p>
    <w:p w14:paraId="3F09F2B8">
      <w:pPr>
        <w:widowControl/>
        <w:jc w:val="left"/>
        <w:rPr>
          <w:rFonts w:ascii="Times New Roman" w:hAnsi="Times New Roman" w:cs="Times New Roman"/>
          <w:sz w:val="24"/>
          <w:szCs w:val="24"/>
        </w:rPr>
      </w:pPr>
      <w:r>
        <w:rPr>
          <w:rFonts w:hint="eastAsia" w:ascii="Times New Roman" w:hAnsi="Times New Roman" w:cs="Times New Roman"/>
          <w:sz w:val="24"/>
          <w:szCs w:val="24"/>
        </w:rPr>
        <w:t>机构调研名单：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302C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1F7BD888">
            <w:pPr>
              <w:widowControl/>
              <w:jc w:val="left"/>
              <w:rPr>
                <w:rFonts w:ascii="Times New Roman" w:hAnsi="Times New Roman" w:cs="Times New Roman"/>
              </w:rPr>
            </w:pPr>
            <w:r>
              <w:rPr>
                <w:rFonts w:hint="eastAsia"/>
                <w:color w:val="000000"/>
                <w:sz w:val="22"/>
              </w:rPr>
              <w:t>长江证券（组织者）</w:t>
            </w:r>
          </w:p>
        </w:tc>
        <w:tc>
          <w:tcPr>
            <w:tcW w:w="4148" w:type="dxa"/>
            <w:vAlign w:val="bottom"/>
          </w:tcPr>
          <w:p w14:paraId="6D2E9C3D">
            <w:pPr>
              <w:widowControl/>
              <w:jc w:val="left"/>
              <w:rPr>
                <w:rFonts w:ascii="Times New Roman" w:hAnsi="Times New Roman" w:cs="Times New Roman"/>
              </w:rPr>
            </w:pPr>
            <w:r>
              <w:rPr>
                <w:rFonts w:hint="eastAsia"/>
                <w:color w:val="000000"/>
                <w:sz w:val="22"/>
              </w:rPr>
              <w:t>上海健顺投资</w:t>
            </w:r>
          </w:p>
        </w:tc>
      </w:tr>
      <w:tr w14:paraId="7857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4264CFFB">
            <w:pPr>
              <w:widowControl/>
              <w:jc w:val="left"/>
              <w:rPr>
                <w:rFonts w:ascii="Times New Roman" w:hAnsi="Times New Roman" w:cs="Times New Roman"/>
              </w:rPr>
            </w:pPr>
            <w:r>
              <w:rPr>
                <w:rFonts w:hint="eastAsia"/>
                <w:color w:val="000000"/>
                <w:sz w:val="22"/>
              </w:rPr>
              <w:t>中银国际证券</w:t>
            </w:r>
          </w:p>
        </w:tc>
        <w:tc>
          <w:tcPr>
            <w:tcW w:w="4148" w:type="dxa"/>
            <w:vAlign w:val="bottom"/>
          </w:tcPr>
          <w:p w14:paraId="308BA574">
            <w:pPr>
              <w:widowControl/>
              <w:jc w:val="left"/>
              <w:rPr>
                <w:rFonts w:ascii="Times New Roman" w:hAnsi="Times New Roman" w:cs="Times New Roman"/>
              </w:rPr>
            </w:pPr>
            <w:r>
              <w:rPr>
                <w:rFonts w:hint="eastAsia"/>
                <w:color w:val="000000"/>
                <w:sz w:val="22"/>
              </w:rPr>
              <w:t>平安银行</w:t>
            </w:r>
          </w:p>
        </w:tc>
      </w:tr>
      <w:tr w14:paraId="332F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41B63E41">
            <w:pPr>
              <w:widowControl/>
              <w:jc w:val="left"/>
              <w:rPr>
                <w:rFonts w:ascii="Times New Roman" w:hAnsi="Times New Roman" w:cs="Times New Roman"/>
              </w:rPr>
            </w:pPr>
            <w:r>
              <w:rPr>
                <w:rFonts w:hint="eastAsia"/>
                <w:color w:val="000000"/>
                <w:sz w:val="22"/>
              </w:rPr>
              <w:t>中金资管</w:t>
            </w:r>
          </w:p>
        </w:tc>
        <w:tc>
          <w:tcPr>
            <w:tcW w:w="4148" w:type="dxa"/>
            <w:vAlign w:val="bottom"/>
          </w:tcPr>
          <w:p w14:paraId="077F215A">
            <w:pPr>
              <w:widowControl/>
              <w:jc w:val="left"/>
              <w:rPr>
                <w:rFonts w:ascii="Times New Roman" w:hAnsi="Times New Roman" w:cs="Times New Roman"/>
              </w:rPr>
            </w:pPr>
            <w:r>
              <w:rPr>
                <w:rFonts w:hint="eastAsia"/>
                <w:color w:val="000000"/>
                <w:sz w:val="22"/>
              </w:rPr>
              <w:t>平安基金</w:t>
            </w:r>
          </w:p>
        </w:tc>
      </w:tr>
      <w:tr w14:paraId="0520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353AD344">
            <w:pPr>
              <w:widowControl/>
              <w:jc w:val="left"/>
              <w:rPr>
                <w:rFonts w:ascii="Times New Roman" w:hAnsi="Times New Roman" w:cs="Times New Roman"/>
              </w:rPr>
            </w:pPr>
            <w:r>
              <w:rPr>
                <w:rFonts w:hint="eastAsia"/>
                <w:color w:val="000000"/>
                <w:sz w:val="22"/>
              </w:rPr>
              <w:t>指南私募</w:t>
            </w:r>
          </w:p>
        </w:tc>
        <w:tc>
          <w:tcPr>
            <w:tcW w:w="4148" w:type="dxa"/>
            <w:vAlign w:val="bottom"/>
          </w:tcPr>
          <w:p w14:paraId="2CC7B969">
            <w:pPr>
              <w:widowControl/>
              <w:jc w:val="left"/>
              <w:rPr>
                <w:rFonts w:ascii="Times New Roman" w:hAnsi="Times New Roman" w:cs="Times New Roman"/>
              </w:rPr>
            </w:pPr>
            <w:r>
              <w:rPr>
                <w:rFonts w:hint="eastAsia"/>
                <w:color w:val="000000"/>
                <w:sz w:val="22"/>
              </w:rPr>
              <w:t>农银人寿保险</w:t>
            </w:r>
          </w:p>
        </w:tc>
      </w:tr>
      <w:tr w14:paraId="3EA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55490087">
            <w:pPr>
              <w:widowControl/>
              <w:jc w:val="left"/>
              <w:rPr>
                <w:rFonts w:ascii="Times New Roman" w:hAnsi="Times New Roman" w:cs="Times New Roman"/>
              </w:rPr>
            </w:pPr>
            <w:r>
              <w:rPr>
                <w:rFonts w:hint="eastAsia"/>
                <w:color w:val="000000"/>
                <w:sz w:val="22"/>
              </w:rPr>
              <w:t>长桥证券</w:t>
            </w:r>
          </w:p>
        </w:tc>
        <w:tc>
          <w:tcPr>
            <w:tcW w:w="4148" w:type="dxa"/>
            <w:vAlign w:val="bottom"/>
          </w:tcPr>
          <w:p w14:paraId="6CA6309A">
            <w:pPr>
              <w:widowControl/>
              <w:jc w:val="left"/>
              <w:rPr>
                <w:rFonts w:ascii="Times New Roman" w:hAnsi="Times New Roman" w:cs="Times New Roman"/>
              </w:rPr>
            </w:pPr>
            <w:r>
              <w:rPr>
                <w:rFonts w:hint="eastAsia"/>
                <w:color w:val="000000"/>
                <w:sz w:val="22"/>
              </w:rPr>
              <w:t>宁波金程资产管理</w:t>
            </w:r>
          </w:p>
        </w:tc>
      </w:tr>
      <w:tr w14:paraId="7809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2208D7DE">
            <w:pPr>
              <w:widowControl/>
              <w:jc w:val="left"/>
              <w:rPr>
                <w:rFonts w:ascii="Times New Roman" w:hAnsi="Times New Roman" w:cs="Times New Roman"/>
              </w:rPr>
            </w:pPr>
            <w:r>
              <w:rPr>
                <w:rFonts w:hint="eastAsia"/>
                <w:color w:val="000000"/>
                <w:sz w:val="22"/>
              </w:rPr>
              <w:t>英大证券</w:t>
            </w:r>
          </w:p>
        </w:tc>
        <w:tc>
          <w:tcPr>
            <w:tcW w:w="4148" w:type="dxa"/>
            <w:vAlign w:val="bottom"/>
          </w:tcPr>
          <w:p w14:paraId="484E1F0A">
            <w:pPr>
              <w:widowControl/>
              <w:jc w:val="left"/>
              <w:rPr>
                <w:rFonts w:ascii="Times New Roman" w:hAnsi="Times New Roman" w:cs="Times New Roman"/>
              </w:rPr>
            </w:pPr>
            <w:r>
              <w:rPr>
                <w:rFonts w:hint="eastAsia"/>
                <w:color w:val="000000"/>
                <w:sz w:val="22"/>
              </w:rPr>
              <w:t>宁波宽旭投资</w:t>
            </w:r>
          </w:p>
        </w:tc>
      </w:tr>
      <w:tr w14:paraId="23A9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21DBF59E">
            <w:pPr>
              <w:widowControl/>
              <w:jc w:val="left"/>
              <w:rPr>
                <w:rFonts w:ascii="Times New Roman" w:hAnsi="Times New Roman" w:cs="Times New Roman"/>
              </w:rPr>
            </w:pPr>
            <w:r>
              <w:rPr>
                <w:rFonts w:hint="eastAsia"/>
                <w:color w:val="000000"/>
                <w:sz w:val="22"/>
              </w:rPr>
              <w:t>阳光资产管理</w:t>
            </w:r>
          </w:p>
        </w:tc>
        <w:tc>
          <w:tcPr>
            <w:tcW w:w="4148" w:type="dxa"/>
            <w:vAlign w:val="bottom"/>
          </w:tcPr>
          <w:p w14:paraId="0E6A6B78">
            <w:pPr>
              <w:widowControl/>
              <w:jc w:val="left"/>
              <w:rPr>
                <w:rFonts w:ascii="Times New Roman" w:hAnsi="Times New Roman" w:cs="Times New Roman"/>
              </w:rPr>
            </w:pPr>
            <w:r>
              <w:rPr>
                <w:rFonts w:hint="eastAsia"/>
                <w:color w:val="000000"/>
                <w:sz w:val="22"/>
              </w:rPr>
              <w:t>摩根士丹利基金</w:t>
            </w:r>
          </w:p>
        </w:tc>
      </w:tr>
      <w:tr w14:paraId="616B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27C3C22F">
            <w:pPr>
              <w:widowControl/>
              <w:jc w:val="left"/>
              <w:rPr>
                <w:rFonts w:ascii="Times New Roman" w:hAnsi="Times New Roman" w:cs="Times New Roman"/>
              </w:rPr>
            </w:pPr>
            <w:r>
              <w:rPr>
                <w:rFonts w:hint="eastAsia"/>
                <w:color w:val="000000"/>
                <w:sz w:val="22"/>
              </w:rPr>
              <w:t>兴全基金</w:t>
            </w:r>
          </w:p>
        </w:tc>
        <w:tc>
          <w:tcPr>
            <w:tcW w:w="4148" w:type="dxa"/>
            <w:vAlign w:val="bottom"/>
          </w:tcPr>
          <w:p w14:paraId="1BFD59D2">
            <w:pPr>
              <w:widowControl/>
              <w:jc w:val="left"/>
              <w:rPr>
                <w:rFonts w:ascii="Times New Roman" w:hAnsi="Times New Roman" w:cs="Times New Roman"/>
              </w:rPr>
            </w:pPr>
            <w:r>
              <w:rPr>
                <w:rFonts w:hint="eastAsia"/>
                <w:color w:val="000000"/>
                <w:sz w:val="22"/>
              </w:rPr>
              <w:t>交银理财</w:t>
            </w:r>
          </w:p>
        </w:tc>
      </w:tr>
      <w:tr w14:paraId="5AB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6AE5BCA5">
            <w:pPr>
              <w:widowControl/>
              <w:jc w:val="left"/>
              <w:rPr>
                <w:rFonts w:ascii="Times New Roman" w:hAnsi="Times New Roman" w:cs="Times New Roman"/>
              </w:rPr>
            </w:pPr>
            <w:r>
              <w:rPr>
                <w:rFonts w:hint="eastAsia"/>
                <w:color w:val="000000"/>
                <w:sz w:val="22"/>
              </w:rPr>
              <w:t>深圳国安基金</w:t>
            </w:r>
          </w:p>
        </w:tc>
        <w:tc>
          <w:tcPr>
            <w:tcW w:w="4148" w:type="dxa"/>
            <w:vAlign w:val="bottom"/>
          </w:tcPr>
          <w:p w14:paraId="0A82E601">
            <w:pPr>
              <w:widowControl/>
              <w:jc w:val="left"/>
              <w:rPr>
                <w:rFonts w:ascii="Times New Roman" w:hAnsi="Times New Roman" w:cs="Times New Roman"/>
              </w:rPr>
            </w:pPr>
            <w:r>
              <w:rPr>
                <w:rFonts w:hint="eastAsia"/>
                <w:color w:val="000000"/>
                <w:sz w:val="22"/>
              </w:rPr>
              <w:t>华西基金</w:t>
            </w:r>
          </w:p>
        </w:tc>
      </w:tr>
      <w:tr w14:paraId="23D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26F4ED03">
            <w:pPr>
              <w:widowControl/>
              <w:jc w:val="left"/>
              <w:rPr>
                <w:rFonts w:ascii="Times New Roman" w:hAnsi="Times New Roman" w:cs="Times New Roman"/>
              </w:rPr>
            </w:pPr>
            <w:r>
              <w:rPr>
                <w:rFonts w:hint="eastAsia"/>
                <w:color w:val="000000"/>
                <w:sz w:val="22"/>
              </w:rPr>
              <w:t>上海名禹资产</w:t>
            </w:r>
          </w:p>
        </w:tc>
        <w:tc>
          <w:tcPr>
            <w:tcW w:w="4148" w:type="dxa"/>
            <w:vAlign w:val="bottom"/>
          </w:tcPr>
          <w:p w14:paraId="1D356123">
            <w:pPr>
              <w:widowControl/>
              <w:jc w:val="left"/>
              <w:rPr>
                <w:rFonts w:ascii="Times New Roman" w:hAnsi="Times New Roman" w:cs="Times New Roman"/>
              </w:rPr>
            </w:pPr>
            <w:r>
              <w:rPr>
                <w:rFonts w:hint="eastAsia"/>
                <w:color w:val="000000"/>
                <w:sz w:val="22"/>
              </w:rPr>
              <w:t>华泰证券</w:t>
            </w:r>
          </w:p>
        </w:tc>
      </w:tr>
      <w:tr w14:paraId="4054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bottom"/>
          </w:tcPr>
          <w:p w14:paraId="51797063">
            <w:pPr>
              <w:widowControl/>
              <w:jc w:val="left"/>
              <w:rPr>
                <w:rFonts w:ascii="Times New Roman" w:hAnsi="Times New Roman" w:cs="Times New Roman"/>
              </w:rPr>
            </w:pPr>
            <w:r>
              <w:rPr>
                <w:rFonts w:hint="eastAsia"/>
                <w:color w:val="000000"/>
                <w:sz w:val="22"/>
              </w:rPr>
              <w:t>上海盟洋投资</w:t>
            </w:r>
          </w:p>
        </w:tc>
        <w:tc>
          <w:tcPr>
            <w:tcW w:w="4148" w:type="dxa"/>
            <w:vAlign w:val="bottom"/>
          </w:tcPr>
          <w:p w14:paraId="3AD96067">
            <w:pPr>
              <w:widowControl/>
              <w:jc w:val="left"/>
              <w:rPr>
                <w:rFonts w:ascii="Times New Roman" w:hAnsi="Times New Roman" w:cs="Times New Roman"/>
              </w:rPr>
            </w:pPr>
            <w:r>
              <w:rPr>
                <w:rFonts w:hint="eastAsia"/>
                <w:color w:val="000000"/>
                <w:sz w:val="22"/>
              </w:rPr>
              <w:t>华创电新</w:t>
            </w:r>
          </w:p>
        </w:tc>
      </w:tr>
      <w:tr w14:paraId="4F9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071E22D5">
            <w:pPr>
              <w:widowControl/>
              <w:jc w:val="left"/>
              <w:rPr>
                <w:rFonts w:ascii="Times New Roman" w:hAnsi="Times New Roman" w:cs="Times New Roman"/>
              </w:rPr>
            </w:pPr>
            <w:r>
              <w:rPr>
                <w:rFonts w:hint="eastAsia"/>
                <w:color w:val="000000"/>
                <w:sz w:val="22"/>
              </w:rPr>
              <w:t>上海君得安私募基金</w:t>
            </w:r>
          </w:p>
        </w:tc>
        <w:tc>
          <w:tcPr>
            <w:tcW w:w="4148" w:type="dxa"/>
            <w:vAlign w:val="bottom"/>
          </w:tcPr>
          <w:p w14:paraId="2A2B05F8">
            <w:pPr>
              <w:widowControl/>
              <w:jc w:val="left"/>
              <w:rPr>
                <w:rFonts w:ascii="Times New Roman" w:hAnsi="Times New Roman" w:cs="Times New Roman"/>
              </w:rPr>
            </w:pPr>
            <w:r>
              <w:rPr>
                <w:rFonts w:hint="eastAsia"/>
                <w:color w:val="000000"/>
                <w:sz w:val="22"/>
              </w:rPr>
              <w:t>华安基金</w:t>
            </w:r>
          </w:p>
        </w:tc>
      </w:tr>
      <w:tr w14:paraId="1374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705CD023">
            <w:pPr>
              <w:widowControl/>
              <w:jc w:val="left"/>
              <w:rPr>
                <w:rFonts w:ascii="Times New Roman" w:hAnsi="Times New Roman" w:cs="Times New Roman"/>
              </w:rPr>
            </w:pPr>
            <w:r>
              <w:rPr>
                <w:rFonts w:hint="eastAsia"/>
                <w:color w:val="000000"/>
                <w:sz w:val="22"/>
              </w:rPr>
              <w:t>杭州城投资本</w:t>
            </w:r>
          </w:p>
        </w:tc>
        <w:tc>
          <w:tcPr>
            <w:tcW w:w="4148" w:type="dxa"/>
            <w:vAlign w:val="bottom"/>
          </w:tcPr>
          <w:p w14:paraId="33A9C840">
            <w:pPr>
              <w:widowControl/>
              <w:jc w:val="left"/>
              <w:rPr>
                <w:rFonts w:ascii="Times New Roman" w:hAnsi="Times New Roman" w:cs="Times New Roman"/>
              </w:rPr>
            </w:pPr>
            <w:r>
              <w:rPr>
                <w:rFonts w:hint="eastAsia"/>
                <w:color w:val="000000"/>
                <w:sz w:val="22"/>
              </w:rPr>
              <w:t>红华资本</w:t>
            </w:r>
          </w:p>
        </w:tc>
      </w:tr>
      <w:tr w14:paraId="17B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46D0F304">
            <w:pPr>
              <w:widowControl/>
              <w:jc w:val="left"/>
              <w:rPr>
                <w:color w:val="000000"/>
                <w:sz w:val="22"/>
              </w:rPr>
            </w:pPr>
            <w:r>
              <w:rPr>
                <w:rFonts w:hint="eastAsia"/>
                <w:color w:val="000000"/>
                <w:sz w:val="22"/>
              </w:rPr>
              <w:t>国寿安保</w:t>
            </w:r>
          </w:p>
        </w:tc>
        <w:tc>
          <w:tcPr>
            <w:tcW w:w="4148" w:type="dxa"/>
            <w:vAlign w:val="bottom"/>
          </w:tcPr>
          <w:p w14:paraId="5907B50C">
            <w:pPr>
              <w:widowControl/>
              <w:jc w:val="left"/>
              <w:rPr>
                <w:color w:val="000000"/>
                <w:sz w:val="22"/>
              </w:rPr>
            </w:pPr>
            <w:r>
              <w:rPr>
                <w:rFonts w:hint="eastAsia"/>
                <w:color w:val="000000"/>
                <w:sz w:val="22"/>
              </w:rPr>
              <w:t>创金合信基金</w:t>
            </w:r>
          </w:p>
        </w:tc>
      </w:tr>
      <w:tr w14:paraId="0A3B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127CAF1A">
            <w:pPr>
              <w:widowControl/>
              <w:jc w:val="left"/>
              <w:rPr>
                <w:color w:val="000000"/>
                <w:sz w:val="22"/>
              </w:rPr>
            </w:pPr>
            <w:r>
              <w:rPr>
                <w:rFonts w:hint="eastAsia"/>
                <w:color w:val="000000"/>
                <w:sz w:val="22"/>
              </w:rPr>
              <w:t>国联民生证券</w:t>
            </w:r>
          </w:p>
        </w:tc>
        <w:tc>
          <w:tcPr>
            <w:tcW w:w="4148" w:type="dxa"/>
            <w:vAlign w:val="bottom"/>
          </w:tcPr>
          <w:p w14:paraId="545634FD">
            <w:pPr>
              <w:widowControl/>
              <w:jc w:val="left"/>
              <w:rPr>
                <w:color w:val="000000"/>
                <w:sz w:val="22"/>
              </w:rPr>
            </w:pPr>
            <w:r>
              <w:rPr>
                <w:rFonts w:hint="eastAsia"/>
                <w:color w:val="000000"/>
                <w:sz w:val="22"/>
              </w:rPr>
              <w:t>财通证券</w:t>
            </w:r>
          </w:p>
        </w:tc>
      </w:tr>
      <w:tr w14:paraId="7A57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5BDFEA04">
            <w:pPr>
              <w:widowControl/>
              <w:jc w:val="left"/>
              <w:rPr>
                <w:color w:val="000000"/>
                <w:sz w:val="22"/>
              </w:rPr>
            </w:pPr>
            <w:r>
              <w:rPr>
                <w:rFonts w:hint="eastAsia"/>
                <w:color w:val="000000"/>
                <w:sz w:val="22"/>
              </w:rPr>
              <w:t>国联基金</w:t>
            </w:r>
          </w:p>
        </w:tc>
        <w:tc>
          <w:tcPr>
            <w:tcW w:w="4148" w:type="dxa"/>
            <w:vAlign w:val="bottom"/>
          </w:tcPr>
          <w:p w14:paraId="38218E2B">
            <w:pPr>
              <w:widowControl/>
              <w:jc w:val="left"/>
              <w:rPr>
                <w:color w:val="000000"/>
                <w:sz w:val="22"/>
              </w:rPr>
            </w:pPr>
            <w:r>
              <w:rPr>
                <w:rFonts w:hint="eastAsia"/>
                <w:color w:val="000000"/>
                <w:sz w:val="22"/>
              </w:rPr>
              <w:t>北京指南创业投资</w:t>
            </w:r>
          </w:p>
        </w:tc>
      </w:tr>
      <w:tr w14:paraId="2C90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59506C4E">
            <w:pPr>
              <w:widowControl/>
              <w:jc w:val="left"/>
              <w:rPr>
                <w:color w:val="000000"/>
                <w:sz w:val="22"/>
              </w:rPr>
            </w:pPr>
            <w:r>
              <w:rPr>
                <w:rFonts w:hint="eastAsia"/>
                <w:color w:val="000000"/>
                <w:sz w:val="22"/>
              </w:rPr>
              <w:t>光大证券</w:t>
            </w:r>
          </w:p>
        </w:tc>
        <w:tc>
          <w:tcPr>
            <w:tcW w:w="4148" w:type="dxa"/>
            <w:vAlign w:val="bottom"/>
          </w:tcPr>
          <w:p w14:paraId="7D57CE44">
            <w:pPr>
              <w:widowControl/>
              <w:jc w:val="left"/>
              <w:rPr>
                <w:color w:val="000000"/>
                <w:sz w:val="22"/>
              </w:rPr>
            </w:pPr>
            <w:r>
              <w:rPr>
                <w:rFonts w:hint="eastAsia"/>
                <w:color w:val="000000"/>
                <w:sz w:val="22"/>
              </w:rPr>
              <w:t>东兴证券</w:t>
            </w:r>
          </w:p>
        </w:tc>
      </w:tr>
      <w:tr w14:paraId="05CD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bottom"/>
          </w:tcPr>
          <w:p w14:paraId="0240E413">
            <w:pPr>
              <w:widowControl/>
              <w:jc w:val="left"/>
              <w:rPr>
                <w:color w:val="000000"/>
                <w:sz w:val="22"/>
              </w:rPr>
            </w:pPr>
          </w:p>
        </w:tc>
        <w:tc>
          <w:tcPr>
            <w:tcW w:w="4148" w:type="dxa"/>
            <w:vAlign w:val="bottom"/>
          </w:tcPr>
          <w:p w14:paraId="0E7A52F8">
            <w:pPr>
              <w:widowControl/>
              <w:jc w:val="left"/>
              <w:rPr>
                <w:color w:val="000000"/>
                <w:sz w:val="22"/>
              </w:rPr>
            </w:pPr>
            <w:r>
              <w:rPr>
                <w:rFonts w:hint="eastAsia"/>
                <w:color w:val="000000"/>
                <w:sz w:val="22"/>
              </w:rPr>
              <w:t>东吴证券</w:t>
            </w:r>
          </w:p>
        </w:tc>
      </w:tr>
    </w:tbl>
    <w:p w14:paraId="6D0346B5">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167" w:firstLine="400"/>
      </w:pPr>
      <w:rPr>
        <w:rFonts w:hint="default" w:ascii="Times New Roman" w:hAnsi="Times New Roman" w:cs="Times New Roman"/>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426A"/>
    <w:rsid w:val="000153DF"/>
    <w:rsid w:val="00021483"/>
    <w:rsid w:val="000217E0"/>
    <w:rsid w:val="00021FC6"/>
    <w:rsid w:val="00023999"/>
    <w:rsid w:val="000258AD"/>
    <w:rsid w:val="000263FE"/>
    <w:rsid w:val="00027CFC"/>
    <w:rsid w:val="000307A6"/>
    <w:rsid w:val="00030864"/>
    <w:rsid w:val="00031264"/>
    <w:rsid w:val="00031634"/>
    <w:rsid w:val="000319BB"/>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46F"/>
    <w:rsid w:val="0007152B"/>
    <w:rsid w:val="00071942"/>
    <w:rsid w:val="000721A9"/>
    <w:rsid w:val="00072516"/>
    <w:rsid w:val="00072CED"/>
    <w:rsid w:val="0007481B"/>
    <w:rsid w:val="00074893"/>
    <w:rsid w:val="00076E0F"/>
    <w:rsid w:val="00077353"/>
    <w:rsid w:val="000777C9"/>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6AEF"/>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2432"/>
    <w:rsid w:val="000F34A4"/>
    <w:rsid w:val="000F3B0C"/>
    <w:rsid w:val="000F4D5F"/>
    <w:rsid w:val="000F53D2"/>
    <w:rsid w:val="000F57C0"/>
    <w:rsid w:val="001019E6"/>
    <w:rsid w:val="001021EF"/>
    <w:rsid w:val="00102773"/>
    <w:rsid w:val="00103AE9"/>
    <w:rsid w:val="00103DC8"/>
    <w:rsid w:val="001057DB"/>
    <w:rsid w:val="0010694D"/>
    <w:rsid w:val="00110928"/>
    <w:rsid w:val="00111610"/>
    <w:rsid w:val="00111952"/>
    <w:rsid w:val="00113F42"/>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62D9"/>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2169"/>
    <w:rsid w:val="001823EF"/>
    <w:rsid w:val="00183E43"/>
    <w:rsid w:val="00183E49"/>
    <w:rsid w:val="00184BCF"/>
    <w:rsid w:val="00184BFE"/>
    <w:rsid w:val="001865A9"/>
    <w:rsid w:val="00186D97"/>
    <w:rsid w:val="00187147"/>
    <w:rsid w:val="00187D11"/>
    <w:rsid w:val="00190913"/>
    <w:rsid w:val="001916F9"/>
    <w:rsid w:val="00192259"/>
    <w:rsid w:val="00192EE1"/>
    <w:rsid w:val="001940DF"/>
    <w:rsid w:val="001A15A8"/>
    <w:rsid w:val="001A4E14"/>
    <w:rsid w:val="001A5050"/>
    <w:rsid w:val="001A531C"/>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1BC9"/>
    <w:rsid w:val="001D6615"/>
    <w:rsid w:val="001D7F03"/>
    <w:rsid w:val="001E0A38"/>
    <w:rsid w:val="001E173D"/>
    <w:rsid w:val="001E1850"/>
    <w:rsid w:val="001E1B9B"/>
    <w:rsid w:val="001E2AA7"/>
    <w:rsid w:val="001E301E"/>
    <w:rsid w:val="001E3D33"/>
    <w:rsid w:val="001E4408"/>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2A6"/>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769D1"/>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42A9"/>
    <w:rsid w:val="002C6DBE"/>
    <w:rsid w:val="002D128A"/>
    <w:rsid w:val="002D15A5"/>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053"/>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87843"/>
    <w:rsid w:val="00391860"/>
    <w:rsid w:val="00392688"/>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55BA"/>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42D"/>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694E"/>
    <w:rsid w:val="00557314"/>
    <w:rsid w:val="00557696"/>
    <w:rsid w:val="005601D3"/>
    <w:rsid w:val="00562D74"/>
    <w:rsid w:val="005641A5"/>
    <w:rsid w:val="00564BD7"/>
    <w:rsid w:val="00565CBB"/>
    <w:rsid w:val="00566702"/>
    <w:rsid w:val="0056752E"/>
    <w:rsid w:val="00570900"/>
    <w:rsid w:val="00572448"/>
    <w:rsid w:val="005770CC"/>
    <w:rsid w:val="005776F3"/>
    <w:rsid w:val="00580819"/>
    <w:rsid w:val="00583A85"/>
    <w:rsid w:val="00585222"/>
    <w:rsid w:val="005853A4"/>
    <w:rsid w:val="00585AE4"/>
    <w:rsid w:val="00586473"/>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3DC5"/>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722"/>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93D"/>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58B4"/>
    <w:rsid w:val="00705B51"/>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0C86"/>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671B0"/>
    <w:rsid w:val="0077012D"/>
    <w:rsid w:val="007705BD"/>
    <w:rsid w:val="0077318D"/>
    <w:rsid w:val="00774192"/>
    <w:rsid w:val="00775F14"/>
    <w:rsid w:val="0077702C"/>
    <w:rsid w:val="0077756E"/>
    <w:rsid w:val="00781F4A"/>
    <w:rsid w:val="00782B67"/>
    <w:rsid w:val="00783AAF"/>
    <w:rsid w:val="007845C2"/>
    <w:rsid w:val="0078509C"/>
    <w:rsid w:val="0078554E"/>
    <w:rsid w:val="00787551"/>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404"/>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3FA"/>
    <w:rsid w:val="0080342A"/>
    <w:rsid w:val="00803511"/>
    <w:rsid w:val="00803617"/>
    <w:rsid w:val="008044DF"/>
    <w:rsid w:val="00804C00"/>
    <w:rsid w:val="00805926"/>
    <w:rsid w:val="00806161"/>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511"/>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241"/>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87355"/>
    <w:rsid w:val="0089010D"/>
    <w:rsid w:val="00893FE2"/>
    <w:rsid w:val="00896AA9"/>
    <w:rsid w:val="00896ADE"/>
    <w:rsid w:val="008A05E8"/>
    <w:rsid w:val="008A0A22"/>
    <w:rsid w:val="008A4626"/>
    <w:rsid w:val="008A6411"/>
    <w:rsid w:val="008B15C1"/>
    <w:rsid w:val="008B3A0E"/>
    <w:rsid w:val="008B5D62"/>
    <w:rsid w:val="008B6D3B"/>
    <w:rsid w:val="008C2135"/>
    <w:rsid w:val="008C3DD3"/>
    <w:rsid w:val="008C5360"/>
    <w:rsid w:val="008C5828"/>
    <w:rsid w:val="008C6AD9"/>
    <w:rsid w:val="008D20B3"/>
    <w:rsid w:val="008D2D58"/>
    <w:rsid w:val="008D3212"/>
    <w:rsid w:val="008D5968"/>
    <w:rsid w:val="008D684A"/>
    <w:rsid w:val="008D6DB6"/>
    <w:rsid w:val="008D7376"/>
    <w:rsid w:val="008D760E"/>
    <w:rsid w:val="008D7C75"/>
    <w:rsid w:val="008E03EB"/>
    <w:rsid w:val="008E07F9"/>
    <w:rsid w:val="008E0C87"/>
    <w:rsid w:val="008E2C04"/>
    <w:rsid w:val="008E3127"/>
    <w:rsid w:val="008E3F3F"/>
    <w:rsid w:val="008E402E"/>
    <w:rsid w:val="008E4FE7"/>
    <w:rsid w:val="008E57C6"/>
    <w:rsid w:val="008E6DB6"/>
    <w:rsid w:val="008F029A"/>
    <w:rsid w:val="008F1D6E"/>
    <w:rsid w:val="008F2A1B"/>
    <w:rsid w:val="008F3F99"/>
    <w:rsid w:val="008F3FEE"/>
    <w:rsid w:val="008F61E4"/>
    <w:rsid w:val="008F7788"/>
    <w:rsid w:val="008F7E43"/>
    <w:rsid w:val="00901A05"/>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0E83"/>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170E2"/>
    <w:rsid w:val="00B1764B"/>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36C60"/>
    <w:rsid w:val="00B40F69"/>
    <w:rsid w:val="00B42D3C"/>
    <w:rsid w:val="00B4496D"/>
    <w:rsid w:val="00B4754A"/>
    <w:rsid w:val="00B50A00"/>
    <w:rsid w:val="00B50A94"/>
    <w:rsid w:val="00B50C2C"/>
    <w:rsid w:val="00B51CD2"/>
    <w:rsid w:val="00B51E7B"/>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3695"/>
    <w:rsid w:val="00B9428E"/>
    <w:rsid w:val="00B945FB"/>
    <w:rsid w:val="00B9668A"/>
    <w:rsid w:val="00B97BA8"/>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5F17"/>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2912"/>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6F17"/>
    <w:rsid w:val="00C4718D"/>
    <w:rsid w:val="00C47894"/>
    <w:rsid w:val="00C514D2"/>
    <w:rsid w:val="00C52248"/>
    <w:rsid w:val="00C526CA"/>
    <w:rsid w:val="00C53C82"/>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B67"/>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1B40"/>
    <w:rsid w:val="00CF230F"/>
    <w:rsid w:val="00CF2D12"/>
    <w:rsid w:val="00CF3220"/>
    <w:rsid w:val="00CF3C66"/>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C0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2580"/>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26DA"/>
    <w:rsid w:val="00DA4F8C"/>
    <w:rsid w:val="00DA7716"/>
    <w:rsid w:val="00DA7AF6"/>
    <w:rsid w:val="00DB147D"/>
    <w:rsid w:val="00DB2896"/>
    <w:rsid w:val="00DB385E"/>
    <w:rsid w:val="00DB70B8"/>
    <w:rsid w:val="00DB7BB2"/>
    <w:rsid w:val="00DB7EBD"/>
    <w:rsid w:val="00DC39B0"/>
    <w:rsid w:val="00DC3EBA"/>
    <w:rsid w:val="00DD09BB"/>
    <w:rsid w:val="00DD0D1C"/>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6D25"/>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5E62"/>
    <w:rsid w:val="00E7665C"/>
    <w:rsid w:val="00E76D2D"/>
    <w:rsid w:val="00E803AA"/>
    <w:rsid w:val="00E80499"/>
    <w:rsid w:val="00E80FD8"/>
    <w:rsid w:val="00E82D17"/>
    <w:rsid w:val="00E83DB3"/>
    <w:rsid w:val="00E8433E"/>
    <w:rsid w:val="00E85254"/>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50D8"/>
    <w:rsid w:val="00ED6652"/>
    <w:rsid w:val="00ED7302"/>
    <w:rsid w:val="00EE09A9"/>
    <w:rsid w:val="00EE25C3"/>
    <w:rsid w:val="00EE3E1C"/>
    <w:rsid w:val="00EE5AD7"/>
    <w:rsid w:val="00EE5E05"/>
    <w:rsid w:val="00EE693A"/>
    <w:rsid w:val="00EE6C1D"/>
    <w:rsid w:val="00EE77F2"/>
    <w:rsid w:val="00EF5583"/>
    <w:rsid w:val="00EF6478"/>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278FF"/>
    <w:rsid w:val="00F300F5"/>
    <w:rsid w:val="00F30AD0"/>
    <w:rsid w:val="00F31619"/>
    <w:rsid w:val="00F316A6"/>
    <w:rsid w:val="00F31764"/>
    <w:rsid w:val="00F31D0F"/>
    <w:rsid w:val="00F31F24"/>
    <w:rsid w:val="00F326F2"/>
    <w:rsid w:val="00F32D03"/>
    <w:rsid w:val="00F34D15"/>
    <w:rsid w:val="00F40CFC"/>
    <w:rsid w:val="00F4138D"/>
    <w:rsid w:val="00F41FF6"/>
    <w:rsid w:val="00F42937"/>
    <w:rsid w:val="00F42E92"/>
    <w:rsid w:val="00F43637"/>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19E1"/>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177667"/>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5824A5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955EEB"/>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3BD07B5"/>
    <w:rsid w:val="543D62C1"/>
    <w:rsid w:val="55673A9D"/>
    <w:rsid w:val="557430F6"/>
    <w:rsid w:val="55F63C41"/>
    <w:rsid w:val="560C07DA"/>
    <w:rsid w:val="563D374E"/>
    <w:rsid w:val="56702844"/>
    <w:rsid w:val="56C360E3"/>
    <w:rsid w:val="56FC7846"/>
    <w:rsid w:val="571903F8"/>
    <w:rsid w:val="57227344"/>
    <w:rsid w:val="57522A51"/>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536C47"/>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1F3DF0"/>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2e95bbe2-ab76-42ed-aeec-fa4b392d5b3a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59A75BFB</paraID>
      <start>10</start>
      <end>11</end>
      <status>unmodified</status>
      <modifiedWord/>
      <trackRevisions>false</trackRevisions>
    </reviewItem>
    <reviewItem>
      <errorID>8cbcdae1-5a27-4f1f-b997-a39bd4282b3a</errorID>
      <errorWord>具备高科技、高效能、高质量特征</errorWord>
      <group>L1_Political</group>
      <groupName>政治性问题</groupName>
      <ability>L2_Keyword</ability>
      <abilityName>固定表述</abilityName>
      <candidateList>
        <item>具有高科技、高效能、高质量特征</item>
      </candidateList>
      <explain>词汇“具有高科技、高效能、高质量特征”在特定场景下为固定表述形式，请确认此处的“具备高科技、高效能、高质量特征”是否存在不当。</explain>
      <paraID> F361C2D</paraID>
      <start>18</start>
      <end>33</end>
      <status>unmodified</status>
      <modifiedWord/>
      <trackRevisions>false</trackRevisions>
    </reviewItem>
    <reviewItem>
      <errorID>006782f8-00d9-49c5-8df3-323103dec259</errorID>
      <errorWord>：</errorWord>
      <group>L1_Word</group>
      <groupName>字词问题</groupName>
      <ability>L2_Typo</ability>
      <abilityName>字词错误</abilityName>
      <candidateList>
        <item>：第</item>
      </candidateList>
      <explain/>
      <paraID>26CADDB4</paraID>
      <start>1</start>
      <end>2</end>
      <status>unmodified</status>
      <modifiedWord/>
      <trackRevisions>false</trackRevisions>
    </reviewItem>
    <reviewItem>
      <errorID>07f05585-9676-43bb-8554-d824b39bdf6e</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26CADDB4</paraID>
      <start>10</start>
      <end>12</end>
      <status>unmodified</status>
      <modifiedWord/>
      <trackRevisions>false</trackRevisions>
    </reviewItem>
    <reviewItem>
      <errorID>a9ae6a16-3ab4-4855-9824-132f84a4efc0</errorID>
      <errorWord>力</errorWord>
      <group>L1_Word</group>
      <groupName>字词问题</groupName>
      <ability>L2_Typo</ability>
      <abilityName>字词错误</abilityName>
      <candidateList>
        <item>力于</item>
      </candidateList>
      <explain/>
      <paraID>7388D0F1</paraID>
      <start>236</start>
      <end>237</end>
      <status>unmodified</status>
      <modifiedWord/>
      <trackRevisions>false</trackRevisions>
    </reviewItem>
    <reviewItem>
      <errorID>33188b9c-7836-4b5e-9de5-1ad28912fcaa</errorID>
      <errorWord>司</errorWord>
      <group>L1_Word</group>
      <groupName>字词问题</groupName>
      <ability>L2_Typo</ability>
      <abilityName>字词错误</abilityName>
      <candidateList>
        <item>司已</item>
      </candidateList>
      <explain/>
      <paraID>714EC260</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C4428BE8-00BC-42B7-B434-323174146393}">
  <ds:schemaRefs/>
</ds:datastoreItem>
</file>

<file path=customXml/itemProps2.xml><?xml version="1.0" encoding="utf-8"?>
<ds:datastoreItem xmlns:ds="http://schemas.openxmlformats.org/officeDocument/2006/customXml" ds:itemID="{fb34388f-1500-4e05-b1da-179d878342f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2112</Words>
  <Characters>2223</Characters>
  <Lines>17</Lines>
  <Paragraphs>4</Paragraphs>
  <TotalTime>13</TotalTime>
  <ScaleCrop>false</ScaleCrop>
  <LinksUpToDate>false</LinksUpToDate>
  <CharactersWithSpaces>2354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2025-11-28T07:10:00Z</dcterms:created>
  <dc:creator>fangz</dc:creator>
  <cp:lastModifiedBy>DiamondHeart</cp:lastModifiedBy>
  <cp:lastPrinted>2024-04-29T01:04:00Z</cp:lastPrinted>
  <dcterms:modified xsi:type="dcterms:W3CDTF">2026-04-30T08:27:37Z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173E7430DEB04A04A0A2AD21699AA1B9_13</vt:lpwstr>
  </property>
  <property fmtid="{D5CDD505-2E9C-101B-9397-08002B2CF9AE}" pid="4" name="KSOTemplateDocerSaveRecord">
    <vt:lpwstr>eyJoZGlkIjoiYjM4ZDBkNWExNjY0ZmU4NGJiYjYzNGFjMTUwMDgyZGUiLCJ1c2VySWQiOiI1MDQ4Nzk1NjAifQ==</vt:lpwstr>
  </property>
</Properties>
</file>