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EFC9" w14:textId="255B4882" w:rsidR="005A0559" w:rsidRPr="00644136" w:rsidRDefault="00650708" w:rsidP="005A0559">
      <w:pPr>
        <w:pStyle w:val="a3"/>
        <w:spacing w:line="520" w:lineRule="exact"/>
        <w:jc w:val="center"/>
        <w:rPr>
          <w:rFonts w:hAnsi="宋体" w:cs="宋体"/>
          <w:b/>
          <w:sz w:val="36"/>
          <w:szCs w:val="24"/>
        </w:rPr>
      </w:pPr>
      <w:r w:rsidRPr="00644136">
        <w:rPr>
          <w:rFonts w:hAnsi="宋体" w:cs="宋体" w:hint="eastAsia"/>
          <w:b/>
          <w:sz w:val="36"/>
          <w:szCs w:val="24"/>
        </w:rPr>
        <w:t>兖矿能源集团</w:t>
      </w:r>
      <w:r w:rsidR="005A0559" w:rsidRPr="00644136">
        <w:rPr>
          <w:rFonts w:hAnsi="宋体" w:cs="宋体" w:hint="eastAsia"/>
          <w:b/>
          <w:sz w:val="36"/>
          <w:szCs w:val="24"/>
        </w:rPr>
        <w:t>股份有限公司</w:t>
      </w:r>
    </w:p>
    <w:p w14:paraId="1B4DB1C9" w14:textId="1E399D4F" w:rsidR="005A0559" w:rsidRPr="00644136" w:rsidRDefault="00822C7A" w:rsidP="005A0559">
      <w:pPr>
        <w:pStyle w:val="a3"/>
        <w:spacing w:line="520" w:lineRule="exact"/>
        <w:jc w:val="center"/>
        <w:rPr>
          <w:rFonts w:hAnsi="宋体" w:cs="宋体"/>
          <w:b/>
          <w:sz w:val="36"/>
          <w:szCs w:val="24"/>
        </w:rPr>
      </w:pPr>
      <w:r w:rsidRPr="00644136">
        <w:rPr>
          <w:rFonts w:hAnsi="宋体" w:cs="宋体" w:hint="eastAsia"/>
          <w:b/>
          <w:sz w:val="36"/>
          <w:szCs w:val="24"/>
        </w:rPr>
        <w:t>202</w:t>
      </w:r>
      <w:r w:rsidR="001A5D8B" w:rsidRPr="00644136">
        <w:rPr>
          <w:rFonts w:hAnsi="宋体" w:cs="宋体" w:hint="eastAsia"/>
          <w:b/>
          <w:sz w:val="36"/>
          <w:szCs w:val="24"/>
        </w:rPr>
        <w:t>6</w:t>
      </w:r>
      <w:r w:rsidRPr="00644136">
        <w:rPr>
          <w:rFonts w:hAnsi="宋体" w:cs="宋体" w:hint="eastAsia"/>
          <w:b/>
          <w:sz w:val="36"/>
          <w:szCs w:val="24"/>
        </w:rPr>
        <w:t>年</w:t>
      </w:r>
      <w:r w:rsidR="001A5D8B" w:rsidRPr="00644136">
        <w:rPr>
          <w:rFonts w:hAnsi="宋体" w:cs="宋体" w:hint="eastAsia"/>
          <w:b/>
          <w:sz w:val="36"/>
          <w:szCs w:val="24"/>
        </w:rPr>
        <w:t>第一季度</w:t>
      </w:r>
      <w:r w:rsidR="005A0559" w:rsidRPr="00644136">
        <w:rPr>
          <w:rFonts w:hAnsi="宋体" w:cs="宋体"/>
          <w:b/>
          <w:sz w:val="36"/>
          <w:szCs w:val="24"/>
        </w:rPr>
        <w:t>业绩说明会</w:t>
      </w:r>
      <w:r w:rsidR="005A0559" w:rsidRPr="00644136">
        <w:rPr>
          <w:rFonts w:hAnsi="宋体" w:cs="宋体" w:hint="eastAsia"/>
          <w:b/>
          <w:sz w:val="36"/>
          <w:szCs w:val="24"/>
        </w:rPr>
        <w:t>会议</w:t>
      </w:r>
      <w:r w:rsidR="005A0559" w:rsidRPr="00644136">
        <w:rPr>
          <w:rFonts w:hAnsi="宋体" w:cs="宋体"/>
          <w:b/>
          <w:sz w:val="36"/>
          <w:szCs w:val="24"/>
        </w:rPr>
        <w:t>纪要</w:t>
      </w:r>
    </w:p>
    <w:p w14:paraId="75BC6245" w14:textId="263E8F30" w:rsidR="00120966" w:rsidRPr="00644136" w:rsidRDefault="00120966" w:rsidP="000747EE">
      <w:pPr>
        <w:pStyle w:val="a3"/>
        <w:spacing w:line="520" w:lineRule="exact"/>
        <w:ind w:firstLineChars="200" w:firstLine="600"/>
        <w:rPr>
          <w:rFonts w:hAnsi="宋体"/>
          <w:sz w:val="30"/>
          <w:szCs w:val="30"/>
        </w:rPr>
      </w:pPr>
    </w:p>
    <w:p w14:paraId="51AF2F6B" w14:textId="6E04BA6D" w:rsidR="0076723F" w:rsidRPr="00644136" w:rsidRDefault="00822C7A" w:rsidP="0028003F">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sz w:val="32"/>
          <w:szCs w:val="32"/>
        </w:rPr>
        <w:t>2026年</w:t>
      </w:r>
      <w:r w:rsidR="001A5D8B" w:rsidRPr="00644136">
        <w:rPr>
          <w:rFonts w:ascii="宋体" w:eastAsia="宋体" w:hAnsi="宋体" w:hint="eastAsia"/>
          <w:sz w:val="32"/>
          <w:szCs w:val="32"/>
        </w:rPr>
        <w:t>4</w:t>
      </w:r>
      <w:r w:rsidR="0076723F" w:rsidRPr="00644136">
        <w:rPr>
          <w:rFonts w:ascii="宋体" w:eastAsia="宋体" w:hAnsi="宋体" w:hint="eastAsia"/>
          <w:sz w:val="32"/>
          <w:szCs w:val="32"/>
        </w:rPr>
        <w:t>月</w:t>
      </w:r>
      <w:r w:rsidR="001A5D8B" w:rsidRPr="00644136">
        <w:rPr>
          <w:rFonts w:ascii="宋体" w:eastAsia="宋体" w:hAnsi="宋体" w:hint="eastAsia"/>
          <w:sz w:val="32"/>
          <w:szCs w:val="32"/>
        </w:rPr>
        <w:t>29</w:t>
      </w:r>
      <w:r w:rsidR="0076723F" w:rsidRPr="00644136">
        <w:rPr>
          <w:rFonts w:ascii="宋体" w:eastAsia="宋体" w:hAnsi="宋体" w:hint="eastAsia"/>
          <w:sz w:val="32"/>
          <w:szCs w:val="32"/>
        </w:rPr>
        <w:t>日，</w:t>
      </w:r>
      <w:r w:rsidR="00650708" w:rsidRPr="00644136">
        <w:rPr>
          <w:rFonts w:ascii="宋体" w:eastAsia="宋体" w:hAnsi="宋体" w:hint="eastAsia"/>
          <w:sz w:val="32"/>
          <w:szCs w:val="32"/>
        </w:rPr>
        <w:t>兖矿能源集团</w:t>
      </w:r>
      <w:r w:rsidR="0076723F" w:rsidRPr="00644136">
        <w:rPr>
          <w:rFonts w:ascii="宋体" w:eastAsia="宋体" w:hAnsi="宋体" w:hint="eastAsia"/>
          <w:sz w:val="32"/>
          <w:szCs w:val="32"/>
        </w:rPr>
        <w:t>股份有限公司（“</w:t>
      </w:r>
      <w:r w:rsidR="00650708" w:rsidRPr="00644136">
        <w:rPr>
          <w:rFonts w:ascii="宋体" w:eastAsia="宋体" w:hAnsi="宋体" w:hint="eastAsia"/>
          <w:sz w:val="32"/>
          <w:szCs w:val="32"/>
        </w:rPr>
        <w:t>兖矿能源</w:t>
      </w:r>
      <w:r w:rsidR="0076723F" w:rsidRPr="00644136">
        <w:rPr>
          <w:rFonts w:ascii="宋体" w:eastAsia="宋体" w:hAnsi="宋体" w:hint="eastAsia"/>
          <w:sz w:val="32"/>
          <w:szCs w:val="32"/>
        </w:rPr>
        <w:t>”或“公司”）以电话</w:t>
      </w:r>
      <w:r w:rsidR="009D6D0A" w:rsidRPr="00644136">
        <w:rPr>
          <w:rFonts w:ascii="宋体" w:eastAsia="宋体" w:hAnsi="宋体" w:hint="eastAsia"/>
          <w:sz w:val="32"/>
          <w:szCs w:val="32"/>
        </w:rPr>
        <w:t>及网络会议</w:t>
      </w:r>
      <w:r w:rsidR="0076723F" w:rsidRPr="00644136">
        <w:rPr>
          <w:rFonts w:ascii="宋体" w:eastAsia="宋体" w:hAnsi="宋体" w:hint="eastAsia"/>
          <w:sz w:val="32"/>
          <w:szCs w:val="32"/>
        </w:rPr>
        <w:t>的方式召开</w:t>
      </w:r>
      <w:r w:rsidRPr="00644136">
        <w:rPr>
          <w:rFonts w:ascii="宋体" w:eastAsia="宋体" w:hAnsi="宋体"/>
          <w:sz w:val="32"/>
          <w:szCs w:val="32"/>
        </w:rPr>
        <w:t>202</w:t>
      </w:r>
      <w:r w:rsidR="001A5D8B" w:rsidRPr="00644136">
        <w:rPr>
          <w:rFonts w:ascii="宋体" w:eastAsia="宋体" w:hAnsi="宋体" w:hint="eastAsia"/>
          <w:sz w:val="32"/>
          <w:szCs w:val="32"/>
        </w:rPr>
        <w:t>6</w:t>
      </w:r>
      <w:r w:rsidRPr="00644136">
        <w:rPr>
          <w:rFonts w:ascii="宋体" w:eastAsia="宋体" w:hAnsi="宋体"/>
          <w:sz w:val="32"/>
          <w:szCs w:val="32"/>
        </w:rPr>
        <w:t>年</w:t>
      </w:r>
      <w:r w:rsidR="001A5D8B" w:rsidRPr="00644136">
        <w:rPr>
          <w:rFonts w:ascii="宋体" w:eastAsia="宋体" w:hAnsi="宋体" w:hint="eastAsia"/>
          <w:sz w:val="32"/>
          <w:szCs w:val="32"/>
        </w:rPr>
        <w:t>第一季度</w:t>
      </w:r>
      <w:r w:rsidR="0076723F" w:rsidRPr="00644136">
        <w:rPr>
          <w:rFonts w:ascii="宋体" w:eastAsia="宋体" w:hAnsi="宋体" w:hint="eastAsia"/>
          <w:sz w:val="32"/>
          <w:szCs w:val="32"/>
        </w:rPr>
        <w:t>业绩说明会。</w:t>
      </w:r>
      <w:r w:rsidR="00364396" w:rsidRPr="00644136">
        <w:rPr>
          <w:rFonts w:ascii="宋体" w:eastAsia="宋体" w:hAnsi="宋体" w:hint="eastAsia"/>
          <w:sz w:val="32"/>
          <w:szCs w:val="32"/>
        </w:rPr>
        <w:t>公司</w:t>
      </w:r>
      <w:r w:rsidR="0028003F" w:rsidRPr="00644136">
        <w:rPr>
          <w:rFonts w:ascii="宋体" w:eastAsia="宋体" w:hAnsi="宋体" w:hint="eastAsia"/>
          <w:sz w:val="32"/>
          <w:szCs w:val="32"/>
        </w:rPr>
        <w:t>党委书记</w:t>
      </w:r>
      <w:r w:rsidR="00062DEF" w:rsidRPr="00644136">
        <w:rPr>
          <w:rFonts w:ascii="宋体" w:eastAsia="宋体" w:hAnsi="宋体" w:hint="eastAsia"/>
          <w:sz w:val="32"/>
          <w:szCs w:val="32"/>
        </w:rPr>
        <w:t>、</w:t>
      </w:r>
      <w:r w:rsidR="000B4E67" w:rsidRPr="00644136">
        <w:rPr>
          <w:rFonts w:ascii="宋体" w:eastAsia="宋体" w:hAnsi="宋体" w:hint="eastAsia"/>
          <w:sz w:val="32"/>
          <w:szCs w:val="32"/>
        </w:rPr>
        <w:t>董事、</w:t>
      </w:r>
      <w:r w:rsidR="00062DEF" w:rsidRPr="00644136">
        <w:rPr>
          <w:rFonts w:ascii="宋体" w:eastAsia="宋体" w:hAnsi="宋体" w:hint="eastAsia"/>
          <w:sz w:val="32"/>
          <w:szCs w:val="32"/>
        </w:rPr>
        <w:t>总经理</w:t>
      </w:r>
      <w:r w:rsidR="0028003F" w:rsidRPr="00644136">
        <w:rPr>
          <w:rFonts w:ascii="宋体" w:eastAsia="宋体" w:hAnsi="宋体" w:hint="eastAsia"/>
          <w:sz w:val="32"/>
          <w:szCs w:val="32"/>
        </w:rPr>
        <w:t>王九红</w:t>
      </w:r>
      <w:r w:rsidR="00062DEF" w:rsidRPr="00644136">
        <w:rPr>
          <w:rFonts w:ascii="宋体" w:eastAsia="宋体" w:hAnsi="宋体" w:hint="eastAsia"/>
          <w:sz w:val="32"/>
          <w:szCs w:val="32"/>
        </w:rPr>
        <w:t>先生，</w:t>
      </w:r>
      <w:r w:rsidR="003A401D" w:rsidRPr="00644136">
        <w:rPr>
          <w:rFonts w:ascii="宋体" w:eastAsia="宋体" w:hAnsi="宋体" w:hint="eastAsia"/>
          <w:sz w:val="32"/>
          <w:szCs w:val="32"/>
        </w:rPr>
        <w:t>独立董事</w:t>
      </w:r>
      <w:r w:rsidR="00E8620F" w:rsidRPr="00644136">
        <w:rPr>
          <w:rFonts w:ascii="宋体" w:eastAsia="宋体" w:hAnsi="宋体"/>
          <w:sz w:val="32"/>
          <w:szCs w:val="32"/>
        </w:rPr>
        <w:t>胡家栋先生</w:t>
      </w:r>
      <w:r w:rsidR="003A401D" w:rsidRPr="00644136">
        <w:rPr>
          <w:rFonts w:ascii="宋体" w:eastAsia="宋体" w:hAnsi="宋体" w:hint="eastAsia"/>
          <w:sz w:val="32"/>
          <w:szCs w:val="32"/>
        </w:rPr>
        <w:t>，</w:t>
      </w:r>
      <w:r w:rsidR="00364396" w:rsidRPr="00644136">
        <w:rPr>
          <w:rFonts w:ascii="宋体" w:eastAsia="宋体" w:hAnsi="宋体" w:hint="eastAsia"/>
          <w:sz w:val="32"/>
          <w:szCs w:val="32"/>
        </w:rPr>
        <w:t>董事会秘书</w:t>
      </w:r>
      <w:r w:rsidR="00613F28" w:rsidRPr="00644136">
        <w:rPr>
          <w:rFonts w:ascii="宋体" w:eastAsia="宋体" w:hAnsi="宋体" w:hint="eastAsia"/>
          <w:sz w:val="32"/>
          <w:szCs w:val="32"/>
        </w:rPr>
        <w:t>，</w:t>
      </w:r>
      <w:r w:rsidR="00367A5D" w:rsidRPr="00644136">
        <w:rPr>
          <w:rFonts w:ascii="宋体" w:eastAsia="宋体" w:hAnsi="宋体" w:hint="eastAsia"/>
          <w:sz w:val="32"/>
          <w:szCs w:val="32"/>
        </w:rPr>
        <w:t>财务总监</w:t>
      </w:r>
      <w:r w:rsidR="0076723F" w:rsidRPr="00644136">
        <w:rPr>
          <w:rFonts w:ascii="宋体" w:eastAsia="宋体" w:hAnsi="宋体" w:hint="eastAsia"/>
          <w:sz w:val="32"/>
          <w:szCs w:val="32"/>
        </w:rPr>
        <w:t>和有关业务负责人出席会议，向投资者</w:t>
      </w:r>
      <w:r w:rsidR="00A655DF" w:rsidRPr="00644136">
        <w:rPr>
          <w:rFonts w:ascii="宋体" w:eastAsia="宋体" w:hAnsi="宋体" w:hint="eastAsia"/>
          <w:sz w:val="32"/>
          <w:szCs w:val="32"/>
        </w:rPr>
        <w:t>介绍</w:t>
      </w:r>
      <w:r w:rsidRPr="00644136">
        <w:rPr>
          <w:rFonts w:ascii="宋体" w:eastAsia="宋体" w:hAnsi="宋体"/>
          <w:sz w:val="32"/>
          <w:szCs w:val="32"/>
        </w:rPr>
        <w:t>202</w:t>
      </w:r>
      <w:r w:rsidR="001A5D8B" w:rsidRPr="00644136">
        <w:rPr>
          <w:rFonts w:ascii="宋体" w:eastAsia="宋体" w:hAnsi="宋体" w:hint="eastAsia"/>
          <w:sz w:val="32"/>
          <w:szCs w:val="32"/>
        </w:rPr>
        <w:t>6</w:t>
      </w:r>
      <w:r w:rsidRPr="00644136">
        <w:rPr>
          <w:rFonts w:ascii="宋体" w:eastAsia="宋体" w:hAnsi="宋体"/>
          <w:sz w:val="32"/>
          <w:szCs w:val="32"/>
        </w:rPr>
        <w:t>年</w:t>
      </w:r>
      <w:r w:rsidR="001A5D8B" w:rsidRPr="00644136">
        <w:rPr>
          <w:rFonts w:ascii="宋体" w:eastAsia="宋体" w:hAnsi="宋体" w:hint="eastAsia"/>
          <w:sz w:val="32"/>
          <w:szCs w:val="32"/>
        </w:rPr>
        <w:t>第一季度</w:t>
      </w:r>
      <w:r w:rsidR="00A655DF" w:rsidRPr="00644136">
        <w:rPr>
          <w:rFonts w:ascii="宋体" w:eastAsia="宋体" w:hAnsi="宋体"/>
          <w:sz w:val="32"/>
          <w:szCs w:val="32"/>
        </w:rPr>
        <w:t>经营业绩、</w:t>
      </w:r>
      <w:r w:rsidR="000B4E67" w:rsidRPr="00644136">
        <w:rPr>
          <w:rFonts w:ascii="宋体" w:eastAsia="宋体" w:hAnsi="宋体" w:hint="eastAsia"/>
          <w:sz w:val="32"/>
          <w:szCs w:val="32"/>
        </w:rPr>
        <w:t>未来</w:t>
      </w:r>
      <w:r w:rsidR="0028003F" w:rsidRPr="00644136">
        <w:rPr>
          <w:rFonts w:ascii="宋体" w:eastAsia="宋体" w:hAnsi="宋体"/>
          <w:sz w:val="32"/>
          <w:szCs w:val="32"/>
        </w:rPr>
        <w:t>市场分析、经营措施等相关</w:t>
      </w:r>
      <w:r w:rsidR="0028003F" w:rsidRPr="00644136">
        <w:rPr>
          <w:rFonts w:ascii="宋体" w:eastAsia="宋体" w:hAnsi="宋体" w:hint="eastAsia"/>
          <w:sz w:val="32"/>
          <w:szCs w:val="32"/>
        </w:rPr>
        <w:t>情况</w:t>
      </w:r>
      <w:r w:rsidR="00A655DF" w:rsidRPr="00644136">
        <w:rPr>
          <w:rFonts w:ascii="宋体" w:eastAsia="宋体" w:hAnsi="宋体" w:hint="eastAsia"/>
          <w:sz w:val="32"/>
          <w:szCs w:val="32"/>
        </w:rPr>
        <w:t>，并就投资者关注的问题进行沟通和交流。</w:t>
      </w:r>
      <w:r w:rsidR="0076723F" w:rsidRPr="00644136">
        <w:rPr>
          <w:rFonts w:ascii="宋体" w:eastAsia="宋体" w:hAnsi="宋体" w:hint="eastAsia"/>
          <w:sz w:val="32"/>
          <w:szCs w:val="32"/>
        </w:rPr>
        <w:t>现就本次会议沟通、交流的重点内容整理如下：</w:t>
      </w:r>
      <w:r w:rsidR="00AA7419" w:rsidRPr="00644136">
        <w:rPr>
          <w:rFonts w:ascii="宋体" w:eastAsia="宋体" w:hAnsi="宋体" w:hint="eastAsia"/>
          <w:sz w:val="32"/>
          <w:szCs w:val="32"/>
        </w:rPr>
        <w:t xml:space="preserve"> </w:t>
      </w:r>
    </w:p>
    <w:p w14:paraId="1150403B" w14:textId="58B926C3" w:rsidR="00AC2D0D" w:rsidRPr="00644136" w:rsidRDefault="00387099" w:rsidP="00387099">
      <w:pPr>
        <w:pStyle w:val="1"/>
        <w:spacing w:before="156" w:after="156"/>
        <w:ind w:firstLineChars="200" w:firstLine="643"/>
      </w:pPr>
      <w:r w:rsidRPr="00644136">
        <w:t>202</w:t>
      </w:r>
      <w:r w:rsidR="001A5D8B" w:rsidRPr="00644136">
        <w:rPr>
          <w:rFonts w:hint="eastAsia"/>
        </w:rPr>
        <w:t>6</w:t>
      </w:r>
      <w:r w:rsidRPr="00644136">
        <w:t>年</w:t>
      </w:r>
      <w:r w:rsidR="001A5D8B" w:rsidRPr="00644136">
        <w:rPr>
          <w:rFonts w:hint="eastAsia"/>
        </w:rPr>
        <w:t>一季度</w:t>
      </w:r>
      <w:r w:rsidRPr="00644136">
        <w:t>商品煤</w:t>
      </w:r>
      <w:r w:rsidR="001A5D8B" w:rsidRPr="00644136">
        <w:rPr>
          <w:rFonts w:hint="eastAsia"/>
        </w:rPr>
        <w:t>产量</w:t>
      </w:r>
      <w:r w:rsidR="00724EE3" w:rsidRPr="00644136">
        <w:rPr>
          <w:rFonts w:hint="eastAsia"/>
        </w:rPr>
        <w:t>情况</w:t>
      </w:r>
      <w:r w:rsidRPr="00644136">
        <w:t>及</w:t>
      </w:r>
      <w:r w:rsidR="001A5D8B" w:rsidRPr="00644136">
        <w:rPr>
          <w:rFonts w:hint="eastAsia"/>
        </w:rPr>
        <w:t>全年展望</w:t>
      </w:r>
    </w:p>
    <w:p w14:paraId="7CC8605F" w14:textId="20963FBF" w:rsidR="00EC3987" w:rsidRPr="00644136" w:rsidRDefault="00CD4BE7" w:rsidP="00EB06F0">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本集团</w:t>
      </w:r>
      <w:r w:rsidR="001A5D8B" w:rsidRPr="00644136">
        <w:rPr>
          <w:rFonts w:ascii="宋体" w:eastAsia="宋体" w:hAnsi="宋体"/>
          <w:sz w:val="32"/>
          <w:szCs w:val="32"/>
        </w:rPr>
        <w:t>2026年一季度商品煤产量4155万吨，同比减少279万吨或6.3%。</w:t>
      </w:r>
      <w:r w:rsidR="001A5D8B" w:rsidRPr="00644136">
        <w:rPr>
          <w:rFonts w:ascii="宋体" w:eastAsia="宋体" w:hAnsi="宋体" w:hint="eastAsia"/>
          <w:sz w:val="32"/>
          <w:szCs w:val="32"/>
        </w:rPr>
        <w:t>主要是</w:t>
      </w:r>
      <w:r w:rsidR="00EC3987" w:rsidRPr="00644136">
        <w:rPr>
          <w:rFonts w:ascii="宋体" w:eastAsia="宋体" w:hAnsi="宋体" w:hint="eastAsia"/>
          <w:sz w:val="32"/>
          <w:szCs w:val="32"/>
        </w:rPr>
        <w:t>由于：</w:t>
      </w:r>
    </w:p>
    <w:p w14:paraId="28D86AEE" w14:textId="26E50C5E" w:rsidR="004F44B7" w:rsidRPr="00644136" w:rsidRDefault="00EC3987" w:rsidP="00EB06F0">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1.</w:t>
      </w:r>
      <w:r w:rsidR="00CD4BE7" w:rsidRPr="00644136">
        <w:rPr>
          <w:rFonts w:ascii="宋体" w:eastAsia="宋体" w:hAnsi="宋体" w:hint="eastAsia"/>
          <w:sz w:val="32"/>
          <w:szCs w:val="32"/>
        </w:rPr>
        <w:t>公司控股子公司</w:t>
      </w:r>
      <w:r w:rsidR="004F44B7" w:rsidRPr="00644136">
        <w:rPr>
          <w:rFonts w:ascii="宋体" w:eastAsia="宋体" w:hAnsi="宋体"/>
          <w:sz w:val="32"/>
          <w:szCs w:val="32"/>
        </w:rPr>
        <w:t>新疆</w:t>
      </w:r>
      <w:r w:rsidR="004F44B7" w:rsidRPr="00644136">
        <w:rPr>
          <w:rFonts w:ascii="宋体" w:eastAsia="宋体" w:hAnsi="宋体" w:hint="eastAsia"/>
          <w:sz w:val="32"/>
          <w:szCs w:val="32"/>
        </w:rPr>
        <w:t>能化</w:t>
      </w:r>
      <w:r w:rsidR="004F44B7" w:rsidRPr="00644136">
        <w:rPr>
          <w:rFonts w:ascii="宋体" w:eastAsia="宋体" w:hAnsi="宋体"/>
          <w:sz w:val="32"/>
          <w:szCs w:val="32"/>
        </w:rPr>
        <w:t>根据市场变化，调整生产计划</w:t>
      </w:r>
      <w:r w:rsidR="004F44B7" w:rsidRPr="00644136">
        <w:rPr>
          <w:rFonts w:ascii="宋体" w:eastAsia="宋体" w:hAnsi="宋体" w:hint="eastAsia"/>
          <w:sz w:val="32"/>
          <w:szCs w:val="32"/>
        </w:rPr>
        <w:t>，一季度</w:t>
      </w:r>
      <w:r w:rsidR="004F44B7" w:rsidRPr="00644136">
        <w:rPr>
          <w:rFonts w:ascii="宋体" w:eastAsia="宋体" w:hAnsi="宋体"/>
          <w:sz w:val="32"/>
          <w:szCs w:val="32"/>
        </w:rPr>
        <w:t>产量303万吨，同比减少248万吨</w:t>
      </w:r>
      <w:r w:rsidR="004F44B7" w:rsidRPr="00644136">
        <w:rPr>
          <w:rFonts w:ascii="宋体" w:eastAsia="宋体" w:hAnsi="宋体" w:hint="eastAsia"/>
          <w:sz w:val="32"/>
          <w:szCs w:val="32"/>
        </w:rPr>
        <w:t>。</w:t>
      </w:r>
    </w:p>
    <w:p w14:paraId="45E85991" w14:textId="7E827A0C" w:rsidR="000031F4" w:rsidRPr="00662745" w:rsidRDefault="00EC3987" w:rsidP="00662745">
      <w:pPr>
        <w:adjustRightInd w:val="0"/>
        <w:snapToGrid w:val="0"/>
        <w:spacing w:line="600" w:lineRule="exact"/>
        <w:ind w:firstLineChars="200" w:firstLine="640"/>
        <w:rPr>
          <w:rFonts w:ascii="宋体" w:eastAsia="宋体" w:hAnsi="宋体"/>
          <w:sz w:val="32"/>
          <w:szCs w:val="32"/>
        </w:rPr>
      </w:pPr>
      <w:r w:rsidRPr="00662745">
        <w:rPr>
          <w:rFonts w:ascii="宋体" w:eastAsia="宋体" w:hAnsi="宋体" w:hint="eastAsia"/>
          <w:sz w:val="32"/>
          <w:szCs w:val="32"/>
        </w:rPr>
        <w:t>2.</w:t>
      </w:r>
      <w:r w:rsidR="00EC6DB1" w:rsidRPr="00662745">
        <w:rPr>
          <w:rFonts w:ascii="宋体" w:eastAsia="宋体" w:hAnsi="宋体" w:hint="eastAsia"/>
          <w:sz w:val="32"/>
          <w:szCs w:val="32"/>
        </w:rPr>
        <w:t>春节放假周期相对较长，境内矿井一季度商品煤产量阶段性有所收缩。</w:t>
      </w:r>
    </w:p>
    <w:p w14:paraId="12A0F40C" w14:textId="736E152D" w:rsidR="001A5D8B" w:rsidRPr="00416D0A" w:rsidRDefault="00A7709E" w:rsidP="00EB06F0">
      <w:pPr>
        <w:adjustRightInd w:val="0"/>
        <w:snapToGrid w:val="0"/>
        <w:spacing w:line="600" w:lineRule="exact"/>
        <w:ind w:firstLineChars="200" w:firstLine="640"/>
        <w:rPr>
          <w:rFonts w:ascii="宋体" w:eastAsia="宋体" w:hAnsi="宋体"/>
          <w:sz w:val="32"/>
          <w:szCs w:val="32"/>
        </w:rPr>
      </w:pPr>
      <w:r w:rsidRPr="00416D0A">
        <w:rPr>
          <w:rFonts w:ascii="宋体" w:eastAsia="宋体" w:hAnsi="宋体" w:hint="eastAsia"/>
          <w:sz w:val="32"/>
          <w:szCs w:val="32"/>
        </w:rPr>
        <w:t>当前煤炭市场价格稳步回升，公司锚定年初既定生产目标统筹组织生产</w:t>
      </w:r>
      <w:r w:rsidR="007B3EDD" w:rsidRPr="00416D0A">
        <w:rPr>
          <w:rFonts w:ascii="宋体" w:eastAsia="宋体" w:hAnsi="宋体" w:hint="eastAsia"/>
          <w:sz w:val="32"/>
          <w:szCs w:val="32"/>
        </w:rPr>
        <w:t>，</w:t>
      </w:r>
      <w:r w:rsidR="002B3A07" w:rsidRPr="00416D0A">
        <w:rPr>
          <w:rFonts w:ascii="宋体" w:eastAsia="宋体" w:hAnsi="宋体" w:hint="eastAsia"/>
          <w:sz w:val="32"/>
          <w:szCs w:val="32"/>
        </w:rPr>
        <w:t>预计</w:t>
      </w:r>
      <w:r w:rsidRPr="00416D0A">
        <w:rPr>
          <w:rFonts w:ascii="宋体" w:eastAsia="宋体" w:hAnsi="宋体" w:hint="eastAsia"/>
          <w:sz w:val="32"/>
          <w:szCs w:val="32"/>
        </w:rPr>
        <w:t>后续季度</w:t>
      </w:r>
      <w:r w:rsidR="002B3A07" w:rsidRPr="00416D0A">
        <w:rPr>
          <w:rFonts w:ascii="宋体" w:eastAsia="宋体" w:hAnsi="宋体" w:hint="eastAsia"/>
          <w:sz w:val="32"/>
          <w:szCs w:val="32"/>
        </w:rPr>
        <w:t>能弥补</w:t>
      </w:r>
      <w:r w:rsidRPr="00416D0A">
        <w:rPr>
          <w:rFonts w:ascii="宋体" w:eastAsia="宋体" w:hAnsi="宋体" w:hint="eastAsia"/>
          <w:sz w:val="32"/>
          <w:szCs w:val="32"/>
        </w:rPr>
        <w:t>一季度产量缺口，</w:t>
      </w:r>
      <w:r w:rsidR="009C4584">
        <w:rPr>
          <w:rFonts w:ascii="宋体" w:eastAsia="宋体" w:hAnsi="宋体" w:hint="eastAsia"/>
          <w:sz w:val="32"/>
          <w:szCs w:val="32"/>
        </w:rPr>
        <w:t>确保</w:t>
      </w:r>
      <w:r w:rsidR="00416D0A" w:rsidRPr="00416D0A">
        <w:rPr>
          <w:rFonts w:ascii="宋体" w:eastAsia="宋体" w:hAnsi="宋体" w:hint="eastAsia"/>
          <w:sz w:val="32"/>
          <w:szCs w:val="32"/>
        </w:rPr>
        <w:t>全年</w:t>
      </w:r>
      <w:r w:rsidRPr="00416D0A">
        <w:rPr>
          <w:rFonts w:ascii="宋体" w:eastAsia="宋体" w:hAnsi="宋体" w:hint="eastAsia"/>
          <w:sz w:val="32"/>
          <w:szCs w:val="32"/>
        </w:rPr>
        <w:t>完成</w:t>
      </w:r>
      <w:r w:rsidR="007B3EDD" w:rsidRPr="00416D0A">
        <w:rPr>
          <w:rFonts w:ascii="宋体" w:eastAsia="宋体" w:hAnsi="宋体"/>
          <w:sz w:val="32"/>
          <w:szCs w:val="32"/>
        </w:rPr>
        <w:t>1.86-1.90亿吨</w:t>
      </w:r>
      <w:r w:rsidR="007B3EDD" w:rsidRPr="00416D0A">
        <w:rPr>
          <w:rFonts w:ascii="宋体" w:eastAsia="宋体" w:hAnsi="宋体" w:hint="eastAsia"/>
          <w:sz w:val="32"/>
          <w:szCs w:val="32"/>
        </w:rPr>
        <w:t>的</w:t>
      </w:r>
      <w:r w:rsidRPr="00416D0A">
        <w:rPr>
          <w:rFonts w:ascii="宋体" w:eastAsia="宋体" w:hAnsi="宋体" w:hint="eastAsia"/>
          <w:sz w:val="32"/>
          <w:szCs w:val="32"/>
        </w:rPr>
        <w:t>商品煤生产目标</w:t>
      </w:r>
      <w:r w:rsidR="00724EE3" w:rsidRPr="00416D0A">
        <w:rPr>
          <w:rFonts w:ascii="宋体" w:eastAsia="宋体" w:hAnsi="宋体" w:hint="eastAsia"/>
          <w:sz w:val="32"/>
          <w:szCs w:val="32"/>
        </w:rPr>
        <w:t>。</w:t>
      </w:r>
    </w:p>
    <w:p w14:paraId="7650B4FB" w14:textId="77777777" w:rsidR="000175C4" w:rsidRPr="00644136" w:rsidRDefault="000175C4" w:rsidP="000175C4">
      <w:pPr>
        <w:pStyle w:val="1"/>
        <w:spacing w:before="156" w:after="156"/>
        <w:ind w:firstLineChars="200" w:firstLine="643"/>
      </w:pPr>
      <w:r w:rsidRPr="000175C4">
        <w:rPr>
          <w:rFonts w:hint="eastAsia"/>
        </w:rPr>
        <w:t>如何实现3亿吨原煤产量规划目标</w:t>
      </w:r>
    </w:p>
    <w:p w14:paraId="113C08E2" w14:textId="2D063BEB" w:rsidR="000175C4" w:rsidRPr="009C4584" w:rsidRDefault="000175C4" w:rsidP="000175C4">
      <w:pPr>
        <w:adjustRightInd w:val="0"/>
        <w:snapToGrid w:val="0"/>
        <w:spacing w:line="600" w:lineRule="exact"/>
        <w:ind w:firstLineChars="200" w:firstLine="640"/>
        <w:rPr>
          <w:rFonts w:ascii="宋体" w:eastAsia="宋体" w:hAnsi="宋体"/>
          <w:sz w:val="32"/>
          <w:szCs w:val="32"/>
        </w:rPr>
      </w:pPr>
      <w:r w:rsidRPr="009C4584">
        <w:rPr>
          <w:rFonts w:ascii="宋体" w:eastAsia="宋体" w:hAnsi="宋体" w:hint="eastAsia"/>
          <w:sz w:val="32"/>
          <w:szCs w:val="32"/>
        </w:rPr>
        <w:lastRenderedPageBreak/>
        <w:t>公司2021年12月制定的《发展战略纲要》提出，力争5-10年原煤产量达到3亿吨/年。目前，本集团在产、在建及规划矿井合计产能约3亿吨/年，</w:t>
      </w:r>
      <w:r w:rsidR="00291DC4" w:rsidRPr="009C4584">
        <w:rPr>
          <w:rFonts w:ascii="宋体" w:eastAsia="宋体" w:hAnsi="宋体" w:hint="eastAsia"/>
          <w:sz w:val="32"/>
          <w:szCs w:val="32"/>
        </w:rPr>
        <w:t>力争</w:t>
      </w:r>
      <w:r w:rsidRPr="009C4584">
        <w:rPr>
          <w:rFonts w:ascii="宋体" w:eastAsia="宋体" w:hAnsi="宋体" w:hint="eastAsia"/>
          <w:sz w:val="32"/>
          <w:szCs w:val="32"/>
        </w:rPr>
        <w:t xml:space="preserve">如期实现“原煤3亿吨”目标。包括： </w:t>
      </w:r>
    </w:p>
    <w:p w14:paraId="472D77C7" w14:textId="77777777" w:rsidR="000175C4" w:rsidRPr="00644136" w:rsidRDefault="000175C4" w:rsidP="000175C4">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（一）2025年商品煤产量1.82亿吨，对应原煤产量2.2亿吨。</w:t>
      </w:r>
    </w:p>
    <w:p w14:paraId="3658F78B" w14:textId="77777777" w:rsidR="000175C4" w:rsidRPr="00644136" w:rsidRDefault="000175C4" w:rsidP="000175C4">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（二）2026年至2031年，商品煤增量总计约7000-8000万吨，主要是：</w:t>
      </w:r>
    </w:p>
    <w:p w14:paraId="0E1D58B4" w14:textId="77777777" w:rsidR="000175C4" w:rsidRPr="00644136" w:rsidRDefault="000175C4" w:rsidP="000175C4">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1.陕蒙区域油房壕矿、霍林河一号矿、刘三圪旦矿、杨家坪矿及嘎鲁图矿等新建产能。</w:t>
      </w:r>
    </w:p>
    <w:p w14:paraId="16E0B6A1" w14:textId="77777777" w:rsidR="000175C4" w:rsidRPr="00644136" w:rsidRDefault="000175C4" w:rsidP="000175C4">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2.新疆区域五彩湾四号露天矿一期项目和二期项目建成后达产达效。</w:t>
      </w:r>
    </w:p>
    <w:p w14:paraId="45CAEBAC" w14:textId="77777777" w:rsidR="000175C4" w:rsidRPr="00644136" w:rsidRDefault="000175C4" w:rsidP="000175C4">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3.甘肃区域马福川、毛家川两座煤矿新增产能。</w:t>
      </w:r>
    </w:p>
    <w:p w14:paraId="2DB79C65" w14:textId="40226728" w:rsidR="000175C4" w:rsidRPr="00724EE3" w:rsidRDefault="000175C4" w:rsidP="000175C4">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此外，公司将持续关注境内外市场优质资产的并购机遇，争取增产提效的外部机会。</w:t>
      </w:r>
    </w:p>
    <w:p w14:paraId="129238DA" w14:textId="77777777" w:rsidR="00824A0B" w:rsidRPr="00644136" w:rsidRDefault="00824A0B" w:rsidP="00824A0B">
      <w:pPr>
        <w:pStyle w:val="1"/>
        <w:spacing w:before="156" w:after="156"/>
        <w:ind w:firstLineChars="200" w:firstLine="643"/>
      </w:pPr>
      <w:r w:rsidRPr="00644136">
        <w:rPr>
          <w:rFonts w:hint="eastAsia"/>
        </w:rPr>
        <w:t>近期地缘政治冲突对化工品及公司的影响</w:t>
      </w:r>
    </w:p>
    <w:p w14:paraId="0E9BC762" w14:textId="77777777" w:rsidR="00824A0B" w:rsidRPr="00644136" w:rsidRDefault="00824A0B" w:rsidP="00824A0B">
      <w:pPr>
        <w:spacing w:line="580" w:lineRule="exact"/>
        <w:ind w:firstLineChars="200" w:firstLine="640"/>
        <w:rPr>
          <w:rFonts w:ascii="宋体" w:eastAsia="宋体" w:hAnsi="宋体" w:cstheme="majorEastAsia"/>
          <w:color w:val="222222"/>
          <w:sz w:val="32"/>
          <w:szCs w:val="32"/>
          <w:shd w:val="clear" w:color="auto" w:fill="FFFFFF"/>
        </w:rPr>
      </w:pPr>
      <w:r w:rsidRPr="00644136">
        <w:rPr>
          <w:rFonts w:ascii="宋体" w:eastAsia="宋体" w:hAnsi="宋体" w:cstheme="majorEastAsia" w:hint="eastAsia"/>
          <w:color w:val="222222"/>
          <w:sz w:val="32"/>
          <w:szCs w:val="32"/>
          <w:shd w:val="clear" w:color="auto" w:fill="FFFFFF"/>
        </w:rPr>
        <w:t>近期地缘冲突冲击全球能源市场，原油走强推动煤化工“替代效应”凸显，叠加中东供应缺口扩大，带动化工品价格攀升，甲醇、煤制油等产品大幅上涨。兖矿能源化工产业凭借规模、技术及成本优势，成为受益板块之一。</w:t>
      </w:r>
    </w:p>
    <w:p w14:paraId="093CB952" w14:textId="0B1249C4" w:rsidR="00824A0B" w:rsidRPr="00644136" w:rsidRDefault="00824A0B" w:rsidP="00824A0B">
      <w:pPr>
        <w:spacing w:line="580" w:lineRule="exact"/>
        <w:ind w:firstLineChars="200" w:firstLine="640"/>
        <w:rPr>
          <w:rFonts w:ascii="宋体" w:eastAsia="宋体" w:hAnsi="宋体" w:cstheme="majorEastAsia"/>
          <w:color w:val="222222"/>
          <w:sz w:val="32"/>
          <w:szCs w:val="32"/>
          <w:shd w:val="clear" w:color="auto" w:fill="FFFFFF"/>
        </w:rPr>
      </w:pPr>
      <w:r w:rsidRPr="00644136">
        <w:rPr>
          <w:rFonts w:ascii="宋体" w:eastAsia="宋体" w:hAnsi="宋体" w:cstheme="majorEastAsia" w:hint="eastAsia"/>
          <w:color w:val="222222"/>
          <w:sz w:val="32"/>
          <w:szCs w:val="32"/>
          <w:shd w:val="clear" w:color="auto" w:fill="FFFFFF"/>
        </w:rPr>
        <w:lastRenderedPageBreak/>
        <w:t>（一）地缘冲突驱动化工品价格全线上涨。中东作为全球化工品核心供应地，出口航运受限，国内甲醇、烯烃等进口依赖度较高的品类出现缺口，推动化工品价格冲高。</w:t>
      </w:r>
      <w:r w:rsidRPr="00644136">
        <w:rPr>
          <w:rFonts w:ascii="宋体" w:eastAsia="宋体" w:hAnsi="宋体" w:cstheme="majorEastAsia"/>
          <w:color w:val="222222"/>
          <w:sz w:val="32"/>
          <w:szCs w:val="32"/>
          <w:shd w:val="clear" w:color="auto" w:fill="FFFFFF"/>
        </w:rPr>
        <w:t>甲醇</w:t>
      </w:r>
      <w:r w:rsidRPr="00644136">
        <w:rPr>
          <w:rFonts w:ascii="宋体" w:eastAsia="宋体" w:hAnsi="宋体" w:cstheme="majorEastAsia" w:hint="eastAsia"/>
          <w:color w:val="222222"/>
          <w:sz w:val="32"/>
          <w:szCs w:val="32"/>
          <w:shd w:val="clear" w:color="auto" w:fill="FFFFFF"/>
        </w:rPr>
        <w:t>、</w:t>
      </w:r>
      <w:r w:rsidRPr="00644136">
        <w:rPr>
          <w:rFonts w:ascii="宋体" w:eastAsia="宋体" w:hAnsi="宋体" w:cstheme="majorEastAsia"/>
          <w:color w:val="222222"/>
          <w:sz w:val="32"/>
          <w:szCs w:val="32"/>
          <w:shd w:val="clear" w:color="auto" w:fill="FFFFFF"/>
        </w:rPr>
        <w:t>煤制油、醋</w:t>
      </w:r>
      <w:r w:rsidRPr="009C4584">
        <w:rPr>
          <w:rFonts w:ascii="宋体" w:eastAsia="宋体" w:hAnsi="宋体" w:cstheme="majorEastAsia"/>
          <w:sz w:val="32"/>
          <w:szCs w:val="32"/>
          <w:shd w:val="clear" w:color="auto" w:fill="FFFFFF"/>
        </w:rPr>
        <w:t>酸、尿素等产品</w:t>
      </w:r>
      <w:r w:rsidR="00291DC4" w:rsidRPr="009C4584">
        <w:rPr>
          <w:rFonts w:ascii="宋体" w:eastAsia="宋体" w:hAnsi="宋体" w:cstheme="majorEastAsia" w:hint="eastAsia"/>
          <w:sz w:val="32"/>
          <w:szCs w:val="32"/>
          <w:shd w:val="clear" w:color="auto" w:fill="FFFFFF"/>
        </w:rPr>
        <w:t>较大幅度</w:t>
      </w:r>
      <w:r w:rsidRPr="009C4584">
        <w:rPr>
          <w:rFonts w:ascii="宋体" w:eastAsia="宋体" w:hAnsi="宋体" w:cstheme="majorEastAsia"/>
          <w:sz w:val="32"/>
          <w:szCs w:val="32"/>
          <w:shd w:val="clear" w:color="auto" w:fill="FFFFFF"/>
        </w:rPr>
        <w:t>上行，为双线布局煤炭、煤化工的企业创造了</w:t>
      </w:r>
      <w:r w:rsidR="00291DC4" w:rsidRPr="009C4584">
        <w:rPr>
          <w:rFonts w:ascii="宋体" w:eastAsia="宋体" w:hAnsi="宋体" w:cstheme="majorEastAsia" w:hint="eastAsia"/>
          <w:sz w:val="32"/>
          <w:szCs w:val="32"/>
          <w:shd w:val="clear" w:color="auto" w:fill="FFFFFF"/>
        </w:rPr>
        <w:t>较好的</w:t>
      </w:r>
      <w:r w:rsidRPr="009C4584">
        <w:rPr>
          <w:rFonts w:ascii="宋体" w:eastAsia="宋体" w:hAnsi="宋体" w:cstheme="majorEastAsia"/>
          <w:sz w:val="32"/>
          <w:szCs w:val="32"/>
          <w:shd w:val="clear" w:color="auto" w:fill="FFFFFF"/>
        </w:rPr>
        <w:t>发展窗口。</w:t>
      </w:r>
    </w:p>
    <w:p w14:paraId="799E3389" w14:textId="77777777" w:rsidR="00824A0B" w:rsidRPr="00644136" w:rsidRDefault="00824A0B" w:rsidP="00824A0B">
      <w:pPr>
        <w:spacing w:line="580" w:lineRule="exact"/>
        <w:ind w:firstLineChars="200" w:firstLine="640"/>
        <w:rPr>
          <w:rFonts w:ascii="宋体" w:eastAsia="宋体" w:hAnsi="宋体" w:cstheme="majorEastAsia"/>
          <w:color w:val="222222"/>
          <w:sz w:val="32"/>
          <w:szCs w:val="32"/>
          <w:shd w:val="clear" w:color="auto" w:fill="FFFFFF"/>
        </w:rPr>
      </w:pPr>
      <w:r w:rsidRPr="00644136">
        <w:rPr>
          <w:rFonts w:ascii="宋体" w:eastAsia="宋体" w:hAnsi="宋体" w:cstheme="majorEastAsia" w:hint="eastAsia"/>
          <w:color w:val="222222"/>
          <w:sz w:val="32"/>
          <w:szCs w:val="32"/>
          <w:shd w:val="clear" w:color="auto" w:fill="FFFFFF"/>
        </w:rPr>
        <w:t>（二）多产业链布局，核心产品优势突出。兖矿能源深耕煤化工二十余年，构建山东、陕西、内蒙古、新疆四大化工基地，煤化工总产能突破</w:t>
      </w:r>
      <w:r w:rsidRPr="00644136">
        <w:rPr>
          <w:rFonts w:ascii="宋体" w:eastAsia="宋体" w:hAnsi="宋体" w:cstheme="majorEastAsia"/>
          <w:color w:val="222222"/>
          <w:sz w:val="32"/>
          <w:szCs w:val="32"/>
          <w:shd w:val="clear" w:color="auto" w:fill="FFFFFF"/>
        </w:rPr>
        <w:t>1100万吨，规模稳居行业前列。主要产品产能分别为：甲醇</w:t>
      </w:r>
      <w:r>
        <w:rPr>
          <w:rFonts w:ascii="宋体" w:eastAsia="宋体" w:hAnsi="宋体" w:cstheme="majorEastAsia" w:hint="eastAsia"/>
          <w:color w:val="222222"/>
          <w:sz w:val="32"/>
          <w:szCs w:val="32"/>
          <w:shd w:val="clear" w:color="auto" w:fill="FFFFFF"/>
        </w:rPr>
        <w:t>产能4</w:t>
      </w:r>
      <w:r>
        <w:rPr>
          <w:rFonts w:ascii="宋体" w:eastAsia="宋体" w:hAnsi="宋体" w:cstheme="majorEastAsia"/>
          <w:color w:val="222222"/>
          <w:sz w:val="32"/>
          <w:szCs w:val="32"/>
          <w:shd w:val="clear" w:color="auto" w:fill="FFFFFF"/>
        </w:rPr>
        <w:t>30</w:t>
      </w:r>
      <w:r w:rsidRPr="00644136">
        <w:rPr>
          <w:rFonts w:ascii="宋体" w:eastAsia="宋体" w:hAnsi="宋体" w:cstheme="majorEastAsia"/>
          <w:color w:val="222222"/>
          <w:sz w:val="32"/>
          <w:szCs w:val="32"/>
          <w:shd w:val="clear" w:color="auto" w:fill="FFFFFF"/>
        </w:rPr>
        <w:t>万吨、煤制油产能100万吨、醋酸产能100万吨、尿素产能92万吨、乙二醇产能40万吨、己内酰胺产能30万吨、聚甲醛产能8万吨，产品种类丰富、规模领先。</w:t>
      </w:r>
    </w:p>
    <w:p w14:paraId="452C0A2D" w14:textId="77777777" w:rsidR="00824A0B" w:rsidRPr="00644136" w:rsidRDefault="00824A0B" w:rsidP="00824A0B">
      <w:pPr>
        <w:spacing w:line="580" w:lineRule="exact"/>
        <w:ind w:firstLineChars="200" w:firstLine="640"/>
        <w:rPr>
          <w:rFonts w:ascii="宋体" w:eastAsia="宋体" w:hAnsi="宋体" w:cstheme="majorEastAsia"/>
          <w:color w:val="222222"/>
          <w:sz w:val="32"/>
          <w:szCs w:val="32"/>
          <w:shd w:val="clear" w:color="auto" w:fill="FFFFFF"/>
        </w:rPr>
      </w:pPr>
      <w:r w:rsidRPr="00644136">
        <w:rPr>
          <w:rFonts w:ascii="宋体" w:eastAsia="宋体" w:hAnsi="宋体" w:cstheme="majorEastAsia" w:hint="eastAsia"/>
          <w:color w:val="222222"/>
          <w:sz w:val="32"/>
          <w:szCs w:val="32"/>
          <w:shd w:val="clear" w:color="auto" w:fill="FFFFFF"/>
        </w:rPr>
        <w:t>作为“煤炭</w:t>
      </w:r>
      <w:r w:rsidRPr="00644136">
        <w:rPr>
          <w:rFonts w:ascii="宋体" w:eastAsia="宋体" w:hAnsi="宋体" w:cstheme="majorEastAsia"/>
          <w:color w:val="222222"/>
          <w:sz w:val="32"/>
          <w:szCs w:val="32"/>
          <w:shd w:val="clear" w:color="auto" w:fill="FFFFFF"/>
        </w:rPr>
        <w:t>+煤化工”全产业链龙头企业，兖矿能源双主业协同效应加速释放，</w:t>
      </w:r>
      <w:r>
        <w:rPr>
          <w:rFonts w:ascii="宋体" w:eastAsia="宋体" w:hAnsi="宋体" w:cstheme="majorEastAsia" w:hint="eastAsia"/>
          <w:color w:val="222222"/>
          <w:sz w:val="32"/>
          <w:szCs w:val="32"/>
          <w:shd w:val="clear" w:color="auto" w:fill="FFFFFF"/>
        </w:rPr>
        <w:t>有利于增厚</w:t>
      </w:r>
      <w:r w:rsidRPr="00644136">
        <w:rPr>
          <w:rFonts w:ascii="宋体" w:eastAsia="宋体" w:hAnsi="宋体" w:cstheme="majorEastAsia"/>
          <w:color w:val="222222"/>
          <w:sz w:val="32"/>
          <w:szCs w:val="32"/>
          <w:shd w:val="clear" w:color="auto" w:fill="FFFFFF"/>
        </w:rPr>
        <w:t>全年业绩。公司将抢抓有利时机，全方位释放“煤化一体”协同效应，推动化工板块稳产优产、增收提效。同时加快建设荣信化工80万吨烯烃、鲁南化工6万吨聚甲醛项目，稳步推进新疆能化80万吨煤制烯烃、未来能源50万吨高温费托项目，持续延伸高端化工产业链，提升盈利空间。</w:t>
      </w:r>
    </w:p>
    <w:p w14:paraId="58DA709F" w14:textId="1E35A862" w:rsidR="000175C4" w:rsidRPr="00416D0A" w:rsidRDefault="004751D0" w:rsidP="00D1263B">
      <w:pPr>
        <w:pStyle w:val="1"/>
        <w:spacing w:before="156" w:after="156"/>
        <w:ind w:firstLineChars="200" w:firstLine="643"/>
      </w:pPr>
      <w:r w:rsidRPr="00416D0A">
        <w:rPr>
          <w:rFonts w:hint="eastAsia"/>
        </w:rPr>
        <w:t>未来国内煤价走势判断</w:t>
      </w:r>
    </w:p>
    <w:p w14:paraId="38EFA00D" w14:textId="38FA2984" w:rsidR="004751D0" w:rsidRPr="004751D0" w:rsidRDefault="004751D0" w:rsidP="004751D0">
      <w:pPr>
        <w:adjustRightInd w:val="0"/>
        <w:snapToGrid w:val="0"/>
        <w:spacing w:line="600" w:lineRule="exact"/>
        <w:ind w:firstLineChars="200" w:firstLine="640"/>
        <w:rPr>
          <w:rFonts w:ascii="宋体" w:eastAsia="宋体" w:hAnsi="宋体"/>
          <w:sz w:val="32"/>
          <w:szCs w:val="32"/>
        </w:rPr>
      </w:pPr>
      <w:r w:rsidRPr="004751D0">
        <w:rPr>
          <w:rFonts w:ascii="宋体" w:eastAsia="宋体" w:hAnsi="宋体" w:hint="eastAsia"/>
          <w:sz w:val="32"/>
          <w:szCs w:val="32"/>
        </w:rPr>
        <w:t>受供需关系趋紧、地缘冲突对能源的深远影响，预计未来三个季度煤价稳中有升，价格中枢高于</w:t>
      </w:r>
      <w:r w:rsidRPr="004751D0">
        <w:rPr>
          <w:rFonts w:ascii="宋体" w:eastAsia="宋体" w:hAnsi="宋体"/>
          <w:sz w:val="32"/>
          <w:szCs w:val="32"/>
        </w:rPr>
        <w:t>2025年。</w:t>
      </w:r>
    </w:p>
    <w:p w14:paraId="10BEE6B9" w14:textId="0BB8BAA2" w:rsidR="004751D0" w:rsidRPr="004751D0" w:rsidRDefault="004751D0" w:rsidP="004751D0">
      <w:pPr>
        <w:adjustRightInd w:val="0"/>
        <w:snapToGrid w:val="0"/>
        <w:spacing w:line="600" w:lineRule="exact"/>
        <w:ind w:firstLineChars="200" w:firstLine="643"/>
        <w:rPr>
          <w:rFonts w:ascii="宋体" w:eastAsia="宋体" w:hAnsi="宋体"/>
          <w:sz w:val="32"/>
          <w:szCs w:val="32"/>
        </w:rPr>
      </w:pPr>
      <w:r w:rsidRPr="00A875EE">
        <w:rPr>
          <w:rFonts w:ascii="宋体" w:eastAsia="宋体" w:hAnsi="宋体" w:hint="eastAsia"/>
          <w:b/>
          <w:bCs/>
          <w:sz w:val="32"/>
          <w:szCs w:val="32"/>
        </w:rPr>
        <w:t>供应端，</w:t>
      </w:r>
      <w:r w:rsidRPr="004751D0">
        <w:rPr>
          <w:rFonts w:ascii="宋体" w:eastAsia="宋体" w:hAnsi="宋体" w:hint="eastAsia"/>
          <w:sz w:val="32"/>
          <w:szCs w:val="32"/>
        </w:rPr>
        <w:t>国内产量整体趋稳，进口减量预期强化。</w:t>
      </w:r>
      <w:r>
        <w:rPr>
          <w:rFonts w:ascii="宋体" w:eastAsia="宋体" w:hAnsi="宋体" w:hint="eastAsia"/>
          <w:sz w:val="32"/>
          <w:szCs w:val="32"/>
        </w:rPr>
        <w:t>2</w:t>
      </w:r>
      <w:r>
        <w:rPr>
          <w:rFonts w:ascii="宋体" w:eastAsia="宋体" w:hAnsi="宋体"/>
          <w:sz w:val="32"/>
          <w:szCs w:val="32"/>
        </w:rPr>
        <w:t>026</w:t>
      </w:r>
      <w:r>
        <w:rPr>
          <w:rFonts w:ascii="宋体" w:eastAsia="宋体" w:hAnsi="宋体" w:hint="eastAsia"/>
          <w:sz w:val="32"/>
          <w:szCs w:val="32"/>
        </w:rPr>
        <w:t>年</w:t>
      </w:r>
      <w:r w:rsidRPr="004751D0">
        <w:rPr>
          <w:rFonts w:ascii="宋体" w:eastAsia="宋体" w:hAnsi="宋体" w:hint="eastAsia"/>
          <w:sz w:val="32"/>
          <w:szCs w:val="32"/>
        </w:rPr>
        <w:t>一</w:t>
      </w:r>
      <w:r w:rsidRPr="004751D0">
        <w:rPr>
          <w:rFonts w:ascii="宋体" w:eastAsia="宋体" w:hAnsi="宋体" w:hint="eastAsia"/>
          <w:sz w:val="32"/>
          <w:szCs w:val="32"/>
        </w:rPr>
        <w:lastRenderedPageBreak/>
        <w:t>季度全国原煤产量</w:t>
      </w:r>
      <w:r w:rsidRPr="004751D0">
        <w:rPr>
          <w:rFonts w:ascii="宋体" w:eastAsia="宋体" w:hAnsi="宋体"/>
          <w:sz w:val="32"/>
          <w:szCs w:val="32"/>
        </w:rPr>
        <w:t>12亿吨，同比基本持平。在安全监管强化的政策导向下，预计全国原煤产量保持稳定。受进口煤价格倒挂，印尼全年煤炭产量核减及中东地缘冲突的</w:t>
      </w:r>
      <w:r w:rsidR="00154EFB">
        <w:rPr>
          <w:rFonts w:ascii="宋体" w:eastAsia="宋体" w:hAnsi="宋体" w:hint="eastAsia"/>
          <w:sz w:val="32"/>
          <w:szCs w:val="32"/>
        </w:rPr>
        <w:t>影响</w:t>
      </w:r>
      <w:r w:rsidRPr="004751D0">
        <w:rPr>
          <w:rFonts w:ascii="宋体" w:eastAsia="宋体" w:hAnsi="宋体"/>
          <w:sz w:val="32"/>
          <w:szCs w:val="32"/>
        </w:rPr>
        <w:t>，预计煤炭进口收紧。</w:t>
      </w:r>
    </w:p>
    <w:p w14:paraId="00CFABB4" w14:textId="612F44A6" w:rsidR="000175C4" w:rsidRPr="004F3119" w:rsidRDefault="00EB418C" w:rsidP="004F3119">
      <w:pPr>
        <w:adjustRightInd w:val="0"/>
        <w:snapToGrid w:val="0"/>
        <w:spacing w:line="600" w:lineRule="exact"/>
        <w:ind w:firstLineChars="200" w:firstLine="643"/>
        <w:rPr>
          <w:rFonts w:ascii="宋体" w:eastAsia="宋体" w:hAnsi="宋体"/>
          <w:sz w:val="32"/>
          <w:szCs w:val="32"/>
        </w:rPr>
      </w:pPr>
      <w:r w:rsidRPr="00A875EE">
        <w:rPr>
          <w:rFonts w:ascii="宋体" w:eastAsia="宋体" w:hAnsi="宋体" w:hint="eastAsia"/>
          <w:b/>
          <w:bCs/>
          <w:sz w:val="32"/>
          <w:szCs w:val="32"/>
        </w:rPr>
        <w:t>需求端，</w:t>
      </w:r>
      <w:r w:rsidR="004751D0" w:rsidRPr="004751D0">
        <w:rPr>
          <w:rFonts w:ascii="宋体" w:eastAsia="宋体" w:hAnsi="宋体" w:hint="eastAsia"/>
          <w:sz w:val="32"/>
          <w:szCs w:val="32"/>
        </w:rPr>
        <w:t>火电用煤的刚性需求与煤化工行业的高景气度将对动力煤价格形成支撑。</w:t>
      </w:r>
      <w:r>
        <w:rPr>
          <w:rFonts w:ascii="宋体" w:eastAsia="宋体" w:hAnsi="宋体" w:hint="eastAsia"/>
          <w:sz w:val="32"/>
          <w:szCs w:val="32"/>
        </w:rPr>
        <w:t>2</w:t>
      </w:r>
      <w:r>
        <w:rPr>
          <w:rFonts w:ascii="宋体" w:eastAsia="宋体" w:hAnsi="宋体"/>
          <w:sz w:val="32"/>
          <w:szCs w:val="32"/>
        </w:rPr>
        <w:t>026</w:t>
      </w:r>
      <w:r>
        <w:rPr>
          <w:rFonts w:ascii="宋体" w:eastAsia="宋体" w:hAnsi="宋体" w:hint="eastAsia"/>
          <w:sz w:val="32"/>
          <w:szCs w:val="32"/>
        </w:rPr>
        <w:t>年</w:t>
      </w:r>
      <w:r w:rsidR="004751D0" w:rsidRPr="004751D0">
        <w:rPr>
          <w:rFonts w:ascii="宋体" w:eastAsia="宋体" w:hAnsi="宋体" w:hint="eastAsia"/>
          <w:sz w:val="32"/>
          <w:szCs w:val="32"/>
        </w:rPr>
        <w:t>一季度全国发电量</w:t>
      </w:r>
      <w:r w:rsidR="004751D0" w:rsidRPr="004751D0">
        <w:rPr>
          <w:rFonts w:ascii="宋体" w:eastAsia="宋体" w:hAnsi="宋体"/>
          <w:sz w:val="32"/>
          <w:szCs w:val="32"/>
        </w:rPr>
        <w:t>2.38万亿千瓦时，其中火电发电量1.59万亿千瓦时，同比增长3.7%，火电对煤炭市场形成刚性支撑。随着高端制造业、数字经济与新兴技术等领域用电需求的快速增长，全社会用电量有望保持高位。</w:t>
      </w:r>
      <w:r w:rsidR="004751D0" w:rsidRPr="004F3119">
        <w:rPr>
          <w:rFonts w:ascii="宋体" w:eastAsia="宋体" w:hAnsi="宋体"/>
          <w:sz w:val="32"/>
          <w:szCs w:val="32"/>
        </w:rPr>
        <w:t>受中东地缘冲突影响，煤化工</w:t>
      </w:r>
      <w:r w:rsidR="004F3119" w:rsidRPr="004F3119">
        <w:rPr>
          <w:rFonts w:ascii="宋体" w:eastAsia="宋体" w:hAnsi="宋体" w:hint="eastAsia"/>
          <w:sz w:val="32"/>
          <w:szCs w:val="32"/>
        </w:rPr>
        <w:t>市场持续回暖</w:t>
      </w:r>
      <w:r w:rsidRPr="004F3119">
        <w:rPr>
          <w:rFonts w:ascii="宋体" w:eastAsia="宋体" w:hAnsi="宋体" w:hint="eastAsia"/>
          <w:sz w:val="32"/>
          <w:szCs w:val="32"/>
        </w:rPr>
        <w:t>，</w:t>
      </w:r>
      <w:r w:rsidR="004751D0" w:rsidRPr="004F3119">
        <w:rPr>
          <w:rFonts w:ascii="宋体" w:eastAsia="宋体" w:hAnsi="宋体"/>
          <w:sz w:val="32"/>
          <w:szCs w:val="32"/>
        </w:rPr>
        <w:t>进一步拉动</w:t>
      </w:r>
      <w:r w:rsidR="004F3119" w:rsidRPr="004F3119">
        <w:rPr>
          <w:rFonts w:ascii="宋体" w:eastAsia="宋体" w:hAnsi="宋体" w:hint="eastAsia"/>
          <w:sz w:val="32"/>
          <w:szCs w:val="32"/>
        </w:rPr>
        <w:t>上游</w:t>
      </w:r>
      <w:r w:rsidR="004751D0" w:rsidRPr="004F3119">
        <w:rPr>
          <w:rFonts w:ascii="宋体" w:eastAsia="宋体" w:hAnsi="宋体"/>
          <w:sz w:val="32"/>
          <w:szCs w:val="32"/>
        </w:rPr>
        <w:t>煤炭需求增长。</w:t>
      </w:r>
    </w:p>
    <w:p w14:paraId="04224CC0" w14:textId="2F09CAAB" w:rsidR="004F3119" w:rsidRPr="00523A80" w:rsidRDefault="004F3119" w:rsidP="00D1263B">
      <w:pPr>
        <w:pStyle w:val="1"/>
        <w:spacing w:before="156" w:after="156"/>
        <w:ind w:firstLineChars="200" w:firstLine="643"/>
      </w:pPr>
      <w:r w:rsidRPr="00523A80">
        <w:rPr>
          <w:rFonts w:hint="eastAsia"/>
        </w:rPr>
        <w:t>未来国际煤价走势判断</w:t>
      </w:r>
    </w:p>
    <w:p w14:paraId="23E833C6" w14:textId="05AB493A" w:rsidR="004F3119" w:rsidRDefault="004F3119" w:rsidP="002F0B17">
      <w:pPr>
        <w:spacing w:line="580" w:lineRule="exact"/>
        <w:ind w:firstLineChars="200" w:firstLine="640"/>
        <w:rPr>
          <w:rFonts w:ascii="宋体" w:eastAsia="宋体" w:hAnsi="宋体" w:cstheme="majorEastAsia"/>
          <w:color w:val="222222"/>
          <w:sz w:val="32"/>
          <w:szCs w:val="32"/>
          <w:shd w:val="clear" w:color="auto" w:fill="FFFFFF"/>
        </w:rPr>
      </w:pPr>
      <w:r w:rsidRPr="004F3119">
        <w:rPr>
          <w:rFonts w:ascii="宋体" w:eastAsia="宋体" w:hAnsi="宋体" w:cstheme="majorEastAsia" w:hint="eastAsia"/>
          <w:color w:val="222222"/>
          <w:sz w:val="32"/>
          <w:szCs w:val="32"/>
          <w:shd w:val="clear" w:color="auto" w:fill="FFFFFF"/>
        </w:rPr>
        <w:t>中东地缘冲突导致油气价格上行，煤炭替代需求提升，国际煤价上涨</w:t>
      </w:r>
      <w:r w:rsidR="00075880">
        <w:rPr>
          <w:rFonts w:ascii="宋体" w:eastAsia="宋体" w:hAnsi="宋体" w:cstheme="majorEastAsia" w:hint="eastAsia"/>
          <w:color w:val="222222"/>
          <w:sz w:val="32"/>
          <w:szCs w:val="32"/>
          <w:shd w:val="clear" w:color="auto" w:fill="FFFFFF"/>
        </w:rPr>
        <w:t>，叠加</w:t>
      </w:r>
      <w:r w:rsidR="002F0B17" w:rsidRPr="004F3119">
        <w:rPr>
          <w:rFonts w:ascii="宋体" w:eastAsia="宋体" w:hAnsi="宋体" w:cstheme="majorEastAsia" w:hint="eastAsia"/>
          <w:color w:val="222222"/>
          <w:sz w:val="32"/>
          <w:szCs w:val="32"/>
          <w:shd w:val="clear" w:color="auto" w:fill="FFFFFF"/>
        </w:rPr>
        <w:t>主要出口国产能收缩，预计国际煤炭市场将维持“紧平衡”格局，价格中枢上移。</w:t>
      </w:r>
    </w:p>
    <w:p w14:paraId="05B7FC75" w14:textId="6AFF0F19" w:rsidR="002F0B17" w:rsidRDefault="00E66F6B" w:rsidP="004F3119">
      <w:pPr>
        <w:spacing w:line="580" w:lineRule="exact"/>
        <w:ind w:firstLineChars="200" w:firstLine="643"/>
        <w:rPr>
          <w:rFonts w:ascii="宋体" w:eastAsia="宋体" w:hAnsi="宋体" w:cstheme="majorEastAsia"/>
          <w:color w:val="222222"/>
          <w:sz w:val="32"/>
          <w:szCs w:val="32"/>
          <w:shd w:val="clear" w:color="auto" w:fill="FFFFFF"/>
        </w:rPr>
      </w:pPr>
      <w:r w:rsidRPr="00A875EE">
        <w:rPr>
          <w:rFonts w:ascii="宋体" w:eastAsia="宋体" w:hAnsi="宋体" w:hint="eastAsia"/>
          <w:b/>
          <w:bCs/>
          <w:sz w:val="32"/>
          <w:szCs w:val="32"/>
        </w:rPr>
        <w:t>供应端，</w:t>
      </w:r>
      <w:r w:rsidR="002F0B17" w:rsidRPr="004F3119">
        <w:rPr>
          <w:rFonts w:ascii="宋体" w:eastAsia="宋体" w:hAnsi="宋体" w:cstheme="majorEastAsia"/>
          <w:color w:val="222222"/>
          <w:sz w:val="32"/>
          <w:szCs w:val="32"/>
          <w:shd w:val="clear" w:color="auto" w:fill="FFFFFF"/>
        </w:rPr>
        <w:t>印尼政府恢复出口关税和控制产量配额的政策预期或将压制后续出口规模；澳大利亚因柴油价格大涨，运输成本抬升，且受制于环保限制，煤炭增量有限；俄煤铁路运价上涨推高成本，</w:t>
      </w:r>
      <w:r w:rsidR="00075880">
        <w:rPr>
          <w:rFonts w:ascii="宋体" w:eastAsia="宋体" w:hAnsi="宋体" w:cstheme="majorEastAsia" w:hint="eastAsia"/>
          <w:color w:val="222222"/>
          <w:sz w:val="32"/>
          <w:szCs w:val="32"/>
          <w:shd w:val="clear" w:color="auto" w:fill="FFFFFF"/>
        </w:rPr>
        <w:t>影响出口量的有效供给</w:t>
      </w:r>
      <w:r w:rsidR="002F0B17" w:rsidRPr="004F3119">
        <w:rPr>
          <w:rFonts w:ascii="宋体" w:eastAsia="宋体" w:hAnsi="宋体" w:cstheme="majorEastAsia"/>
          <w:color w:val="222222"/>
          <w:sz w:val="32"/>
          <w:szCs w:val="32"/>
          <w:shd w:val="clear" w:color="auto" w:fill="FFFFFF"/>
        </w:rPr>
        <w:t>。</w:t>
      </w:r>
    </w:p>
    <w:p w14:paraId="73084445" w14:textId="7FAF4D21" w:rsidR="004F3119" w:rsidRPr="004F3119" w:rsidRDefault="00E66F6B" w:rsidP="002F0B17">
      <w:pPr>
        <w:spacing w:line="580" w:lineRule="exact"/>
        <w:ind w:firstLineChars="200" w:firstLine="643"/>
        <w:rPr>
          <w:rFonts w:ascii="宋体" w:eastAsia="宋体" w:hAnsi="宋体" w:cstheme="majorEastAsia"/>
          <w:color w:val="222222"/>
          <w:sz w:val="32"/>
          <w:szCs w:val="32"/>
          <w:shd w:val="clear" w:color="auto" w:fill="FFFFFF"/>
        </w:rPr>
      </w:pPr>
      <w:r w:rsidRPr="00A875EE">
        <w:rPr>
          <w:rFonts w:ascii="宋体" w:eastAsia="宋体" w:hAnsi="宋体" w:hint="eastAsia"/>
          <w:b/>
          <w:bCs/>
          <w:sz w:val="32"/>
          <w:szCs w:val="32"/>
        </w:rPr>
        <w:t>需求端，</w:t>
      </w:r>
      <w:r w:rsidR="00075880" w:rsidRPr="002F0B17">
        <w:rPr>
          <w:rFonts w:ascii="宋体" w:eastAsia="宋体" w:hAnsi="宋体" w:cstheme="majorEastAsia" w:hint="eastAsia"/>
          <w:color w:val="222222"/>
          <w:sz w:val="32"/>
          <w:szCs w:val="32"/>
          <w:shd w:val="clear" w:color="auto" w:fill="FFFFFF"/>
        </w:rPr>
        <w:t>美国暂停部分燃煤电厂退役；欧洲气电成本高企，电厂重启煤炭发电。</w:t>
      </w:r>
      <w:r w:rsidR="002F0B17" w:rsidRPr="002F0B17">
        <w:rPr>
          <w:rFonts w:ascii="宋体" w:eastAsia="宋体" w:hAnsi="宋体" w:cstheme="majorEastAsia" w:hint="eastAsia"/>
          <w:color w:val="222222"/>
          <w:sz w:val="32"/>
          <w:szCs w:val="32"/>
          <w:shd w:val="clear" w:color="auto" w:fill="FFFFFF"/>
        </w:rPr>
        <w:t>多国能源政策向煤电倾斜，进一步强化需求</w:t>
      </w:r>
      <w:r w:rsidR="002F0B17" w:rsidRPr="002F0B17">
        <w:rPr>
          <w:rFonts w:ascii="宋体" w:eastAsia="宋体" w:hAnsi="宋体" w:cstheme="majorEastAsia" w:hint="eastAsia"/>
          <w:color w:val="222222"/>
          <w:sz w:val="32"/>
          <w:szCs w:val="32"/>
          <w:shd w:val="clear" w:color="auto" w:fill="FFFFFF"/>
        </w:rPr>
        <w:lastRenderedPageBreak/>
        <w:t>支撑。</w:t>
      </w:r>
    </w:p>
    <w:p w14:paraId="71203F63" w14:textId="77777777" w:rsidR="00824A0B" w:rsidRPr="00644136" w:rsidRDefault="00824A0B" w:rsidP="00824A0B">
      <w:pPr>
        <w:pStyle w:val="1"/>
        <w:spacing w:before="156" w:after="156"/>
        <w:ind w:firstLineChars="200" w:firstLine="643"/>
      </w:pPr>
      <w:r w:rsidRPr="00644136">
        <w:rPr>
          <w:rFonts w:hint="eastAsia"/>
        </w:rPr>
        <w:t>2026年一季度吨煤销售成本</w:t>
      </w:r>
      <w:r>
        <w:rPr>
          <w:rFonts w:hint="eastAsia"/>
        </w:rPr>
        <w:t>情况</w:t>
      </w:r>
      <w:r w:rsidRPr="00644136">
        <w:rPr>
          <w:rFonts w:hint="eastAsia"/>
        </w:rPr>
        <w:t>及全年展望</w:t>
      </w:r>
    </w:p>
    <w:p w14:paraId="7D2CA6BB" w14:textId="77777777" w:rsidR="00824A0B" w:rsidRPr="00644136" w:rsidRDefault="00824A0B" w:rsidP="00824A0B">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本集团2026年一季度</w:t>
      </w:r>
      <w:r w:rsidRPr="00644136">
        <w:rPr>
          <w:rFonts w:ascii="宋体" w:eastAsia="宋体" w:hAnsi="宋体"/>
          <w:sz w:val="32"/>
          <w:szCs w:val="32"/>
        </w:rPr>
        <w:t>自产商品煤吨煤销售成本343元/吨，同比增长30元/吨或9.4%。</w:t>
      </w:r>
      <w:r w:rsidRPr="00644136">
        <w:rPr>
          <w:rFonts w:ascii="宋体" w:eastAsia="宋体" w:hAnsi="宋体" w:hint="eastAsia"/>
          <w:sz w:val="32"/>
          <w:szCs w:val="32"/>
        </w:rPr>
        <w:t>主要是由于：</w:t>
      </w:r>
    </w:p>
    <w:p w14:paraId="3505582F" w14:textId="3B3568CF" w:rsidR="00824A0B" w:rsidRPr="00644136" w:rsidRDefault="00824A0B" w:rsidP="00824A0B">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1.本集团</w:t>
      </w:r>
      <w:r w:rsidR="0007607E">
        <w:rPr>
          <w:rFonts w:ascii="宋体" w:eastAsia="宋体" w:hAnsi="宋体" w:hint="eastAsia"/>
          <w:sz w:val="32"/>
          <w:szCs w:val="32"/>
        </w:rPr>
        <w:t>根据市场变化调整生产节奏，</w:t>
      </w:r>
      <w:r w:rsidRPr="00644136">
        <w:rPr>
          <w:rFonts w:ascii="宋体" w:eastAsia="宋体" w:hAnsi="宋体"/>
          <w:sz w:val="32"/>
          <w:szCs w:val="32"/>
        </w:rPr>
        <w:t>2026年一季度商品煤产量同比减少279万吨</w:t>
      </w:r>
      <w:r w:rsidRPr="00644136">
        <w:rPr>
          <w:rFonts w:ascii="宋体" w:eastAsia="宋体" w:hAnsi="宋体" w:hint="eastAsia"/>
          <w:sz w:val="32"/>
          <w:szCs w:val="32"/>
        </w:rPr>
        <w:t>，影响吨煤销售成本上升。</w:t>
      </w:r>
      <w:r w:rsidR="0007607E">
        <w:rPr>
          <w:rFonts w:ascii="宋体" w:eastAsia="宋体" w:hAnsi="宋体" w:hint="eastAsia"/>
          <w:sz w:val="32"/>
          <w:szCs w:val="32"/>
        </w:rPr>
        <w:t>后续将合规高效释放产能，确保完成全年产量目标。</w:t>
      </w:r>
    </w:p>
    <w:p w14:paraId="2914CD7B" w14:textId="032EF310" w:rsidR="00824A0B" w:rsidRPr="00241EBD" w:rsidRDefault="00824A0B" w:rsidP="00824A0B">
      <w:pPr>
        <w:adjustRightInd w:val="0"/>
        <w:snapToGrid w:val="0"/>
        <w:spacing w:line="600" w:lineRule="exact"/>
        <w:ind w:firstLineChars="200" w:firstLine="640"/>
        <w:rPr>
          <w:rFonts w:ascii="宋体" w:eastAsia="宋体" w:hAnsi="宋体"/>
          <w:sz w:val="32"/>
          <w:szCs w:val="32"/>
        </w:rPr>
      </w:pPr>
      <w:r w:rsidRPr="00241EBD">
        <w:rPr>
          <w:rFonts w:ascii="宋体" w:eastAsia="宋体" w:hAnsi="宋体"/>
          <w:sz w:val="32"/>
          <w:szCs w:val="32"/>
        </w:rPr>
        <w:t>2.</w:t>
      </w:r>
      <w:r w:rsidRPr="00241EBD">
        <w:rPr>
          <w:rFonts w:ascii="宋体" w:eastAsia="宋体" w:hAnsi="宋体" w:hint="eastAsia"/>
          <w:sz w:val="32"/>
          <w:szCs w:val="32"/>
        </w:rPr>
        <w:t>受地缘政治冲突扰动，国际柴油等大宗商品价格上涨，公司</w:t>
      </w:r>
      <w:r>
        <w:rPr>
          <w:rFonts w:ascii="宋体" w:eastAsia="宋体" w:hAnsi="宋体" w:hint="eastAsia"/>
          <w:sz w:val="32"/>
          <w:szCs w:val="32"/>
        </w:rPr>
        <w:t>在</w:t>
      </w:r>
      <w:r w:rsidRPr="00241EBD">
        <w:rPr>
          <w:rFonts w:ascii="宋体" w:eastAsia="宋体" w:hAnsi="宋体" w:hint="eastAsia"/>
          <w:sz w:val="32"/>
          <w:szCs w:val="32"/>
        </w:rPr>
        <w:t>澳洲</w:t>
      </w:r>
      <w:r>
        <w:rPr>
          <w:rFonts w:ascii="宋体" w:eastAsia="宋体" w:hAnsi="宋体" w:hint="eastAsia"/>
          <w:sz w:val="32"/>
          <w:szCs w:val="32"/>
        </w:rPr>
        <w:t>基地的</w:t>
      </w:r>
      <w:r w:rsidRPr="00241EBD">
        <w:rPr>
          <w:rFonts w:ascii="宋体" w:eastAsia="宋体" w:hAnsi="宋体" w:hint="eastAsia"/>
          <w:sz w:val="32"/>
          <w:szCs w:val="32"/>
        </w:rPr>
        <w:t>控股子公司煤炭生产、运输等相关费用随之攀升，导致成本总额有所增加。</w:t>
      </w:r>
    </w:p>
    <w:p w14:paraId="1E1BA953" w14:textId="3C90D42D" w:rsidR="00824A0B" w:rsidRPr="00644136" w:rsidRDefault="00824A0B" w:rsidP="00824A0B">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随着二季度产能释放带来的固定成本摊薄，以及本集团成本管控力度的持续加强，</w:t>
      </w:r>
      <w:r w:rsidR="0007607E">
        <w:rPr>
          <w:rFonts w:ascii="宋体" w:eastAsia="宋体" w:hAnsi="宋体" w:hint="eastAsia"/>
          <w:sz w:val="32"/>
          <w:szCs w:val="32"/>
        </w:rPr>
        <w:t>全年吨煤销售成本将得到有效控制</w:t>
      </w:r>
      <w:r w:rsidRPr="00644136">
        <w:rPr>
          <w:rFonts w:ascii="宋体" w:eastAsia="宋体" w:hAnsi="宋体" w:hint="eastAsia"/>
          <w:sz w:val="32"/>
          <w:szCs w:val="32"/>
        </w:rPr>
        <w:t>。</w:t>
      </w:r>
    </w:p>
    <w:p w14:paraId="0A29B0D2" w14:textId="551CEBE3" w:rsidR="009E3B69" w:rsidRPr="00644136" w:rsidRDefault="00262DA7" w:rsidP="00B15ECA">
      <w:pPr>
        <w:pStyle w:val="1"/>
        <w:spacing w:before="156" w:after="156"/>
        <w:ind w:firstLineChars="200" w:firstLine="643"/>
      </w:pPr>
      <w:r w:rsidRPr="00644136">
        <w:rPr>
          <w:rFonts w:hint="eastAsia"/>
        </w:rPr>
        <w:t>兴和钼业</w:t>
      </w:r>
      <w:r w:rsidR="00B15ECA" w:rsidRPr="00644136">
        <w:rPr>
          <w:rFonts w:hint="eastAsia"/>
        </w:rPr>
        <w:t>（曹四夭钼矿）</w:t>
      </w:r>
      <w:r w:rsidRPr="00644136">
        <w:rPr>
          <w:rFonts w:hint="eastAsia"/>
        </w:rPr>
        <w:t>的</w:t>
      </w:r>
      <w:r w:rsidR="00CB713C" w:rsidRPr="00644136">
        <w:rPr>
          <w:rFonts w:hint="eastAsia"/>
        </w:rPr>
        <w:t>基本</w:t>
      </w:r>
      <w:r w:rsidRPr="00644136">
        <w:rPr>
          <w:rFonts w:hint="eastAsia"/>
        </w:rPr>
        <w:t>概况</w:t>
      </w:r>
    </w:p>
    <w:p w14:paraId="1209D3AB" w14:textId="460E18D3" w:rsidR="00262DA7" w:rsidRPr="00644136" w:rsidRDefault="00262DA7" w:rsidP="00262DA7">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兴和钼业（曹四夭钼矿）是公司矿业产业延伸的核心战略项目，该矿拥有丰富的资源储量和较强的成本竞争力，规模化开发优势显著，建成后将成为公司重要利润增长点。</w:t>
      </w:r>
    </w:p>
    <w:p w14:paraId="0BF3D99E" w14:textId="400F6AB5" w:rsidR="009E3B69" w:rsidRPr="00644136" w:rsidRDefault="00262DA7" w:rsidP="00262DA7">
      <w:pPr>
        <w:adjustRightInd w:val="0"/>
        <w:snapToGrid w:val="0"/>
        <w:spacing w:line="600" w:lineRule="exact"/>
        <w:ind w:firstLineChars="200" w:firstLine="640"/>
        <w:rPr>
          <w:rFonts w:ascii="宋体" w:eastAsia="宋体" w:hAnsi="宋体"/>
          <w:sz w:val="32"/>
          <w:szCs w:val="32"/>
        </w:rPr>
      </w:pPr>
      <w:r w:rsidRPr="00644136">
        <w:rPr>
          <w:rFonts w:ascii="宋体" w:eastAsia="宋体" w:hAnsi="宋体" w:hint="eastAsia"/>
          <w:sz w:val="32"/>
          <w:szCs w:val="32"/>
        </w:rPr>
        <w:t>根据长沙有色冶金设计研究院有限公司编制的可行性研究报告，兴和钼业（曹四夭钼矿）地处内蒙古自治区乌兰察布市兴和县，拥有钼矿石资源量</w:t>
      </w:r>
      <w:r w:rsidRPr="00644136">
        <w:rPr>
          <w:rFonts w:ascii="宋体" w:eastAsia="宋体" w:hAnsi="宋体"/>
          <w:sz w:val="32"/>
          <w:szCs w:val="32"/>
        </w:rPr>
        <w:t>10.4亿吨，金属量108.9万吨，平均品位0.105</w:t>
      </w:r>
      <w:r w:rsidR="00D56BAF" w:rsidRPr="00644136">
        <w:rPr>
          <w:rFonts w:ascii="宋体" w:eastAsia="宋体" w:hAnsi="宋体" w:hint="eastAsia"/>
          <w:sz w:val="32"/>
          <w:szCs w:val="32"/>
        </w:rPr>
        <w:t>%</w:t>
      </w:r>
      <w:r w:rsidRPr="00644136">
        <w:rPr>
          <w:rFonts w:ascii="宋体" w:eastAsia="宋体" w:hAnsi="宋体"/>
          <w:sz w:val="32"/>
          <w:szCs w:val="32"/>
        </w:rPr>
        <w:t>，并伴生有钨、锌等金属。设计产能为原矿1650万</w:t>
      </w:r>
      <w:r w:rsidRPr="00644136">
        <w:rPr>
          <w:rFonts w:ascii="宋体" w:eastAsia="宋体" w:hAnsi="宋体"/>
          <w:sz w:val="32"/>
          <w:szCs w:val="32"/>
        </w:rPr>
        <w:lastRenderedPageBreak/>
        <w:t>吨/年，达产年钼精矿产量3.08万吨/年。2026年2月获发年产规模1650万吨的采矿许可证电子证书，预计2026年下半年开工建设</w:t>
      </w:r>
      <w:r w:rsidRPr="00644136">
        <w:rPr>
          <w:rFonts w:ascii="宋体" w:eastAsia="宋体" w:hAnsi="宋体" w:hint="eastAsia"/>
          <w:sz w:val="32"/>
          <w:szCs w:val="32"/>
        </w:rPr>
        <w:t>，</w:t>
      </w:r>
      <w:r w:rsidRPr="00644136">
        <w:rPr>
          <w:rFonts w:ascii="宋体" w:eastAsia="宋体" w:hAnsi="宋体"/>
          <w:sz w:val="32"/>
          <w:szCs w:val="32"/>
        </w:rPr>
        <w:t>建设周期1.5-2年</w:t>
      </w:r>
      <w:r w:rsidRPr="00644136">
        <w:rPr>
          <w:rFonts w:ascii="宋体" w:eastAsia="宋体" w:hAnsi="宋体" w:hint="eastAsia"/>
          <w:sz w:val="32"/>
          <w:szCs w:val="32"/>
        </w:rPr>
        <w:t>。</w:t>
      </w:r>
    </w:p>
    <w:sectPr w:rsidR="009E3B69" w:rsidRPr="00644136" w:rsidSect="00AD612C">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0D47" w14:textId="77777777" w:rsidR="00EB4BD6" w:rsidRDefault="00EB4BD6" w:rsidP="00482F81">
      <w:r>
        <w:separator/>
      </w:r>
    </w:p>
  </w:endnote>
  <w:endnote w:type="continuationSeparator" w:id="0">
    <w:p w14:paraId="0AF82998" w14:textId="77777777" w:rsidR="00EB4BD6" w:rsidRDefault="00EB4BD6" w:rsidP="0048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409237"/>
      <w:docPartObj>
        <w:docPartGallery w:val="Page Numbers (Bottom of Page)"/>
        <w:docPartUnique/>
      </w:docPartObj>
    </w:sdtPr>
    <w:sdtEndPr/>
    <w:sdtContent>
      <w:p w14:paraId="5D45A900" w14:textId="17C98CAD" w:rsidR="006167B5" w:rsidRDefault="006167B5">
        <w:pPr>
          <w:pStyle w:val="a9"/>
          <w:jc w:val="center"/>
        </w:pPr>
        <w:r>
          <w:fldChar w:fldCharType="begin"/>
        </w:r>
        <w:r>
          <w:instrText>PAGE   \* MERGEFORMAT</w:instrText>
        </w:r>
        <w:r>
          <w:fldChar w:fldCharType="separate"/>
        </w:r>
        <w:r>
          <w:rPr>
            <w:lang w:val="zh-CN"/>
          </w:rPr>
          <w:t>2</w:t>
        </w:r>
        <w:r>
          <w:fldChar w:fldCharType="end"/>
        </w:r>
      </w:p>
    </w:sdtContent>
  </w:sdt>
  <w:p w14:paraId="4D67397B" w14:textId="77777777" w:rsidR="006167B5" w:rsidRDefault="006167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2A707" w14:textId="77777777" w:rsidR="00EB4BD6" w:rsidRDefault="00EB4BD6" w:rsidP="00482F81">
      <w:r>
        <w:separator/>
      </w:r>
    </w:p>
  </w:footnote>
  <w:footnote w:type="continuationSeparator" w:id="0">
    <w:p w14:paraId="06688D76" w14:textId="77777777" w:rsidR="00EB4BD6" w:rsidRDefault="00EB4BD6" w:rsidP="0048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1902"/>
    <w:multiLevelType w:val="hybridMultilevel"/>
    <w:tmpl w:val="15CCBAD2"/>
    <w:lvl w:ilvl="0" w:tplc="7A8CA876">
      <w:start w:val="1"/>
      <w:numFmt w:val="chineseCountingThousand"/>
      <w:pStyle w:val="1"/>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46972"/>
    <w:multiLevelType w:val="hybridMultilevel"/>
    <w:tmpl w:val="054692BA"/>
    <w:lvl w:ilvl="0" w:tplc="5E36A434">
      <w:start w:val="1"/>
      <w:numFmt w:val="decimal"/>
      <w:suff w:val="nothing"/>
      <w:lvlText w:val="%1."/>
      <w:lvlJc w:val="left"/>
      <w:pPr>
        <w:ind w:left="1555"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338A73E8"/>
    <w:multiLevelType w:val="multilevel"/>
    <w:tmpl w:val="70F046BA"/>
    <w:lvl w:ilvl="0">
      <w:start w:val="1"/>
      <w:numFmt w:val="chineseCountingThousand"/>
      <w:pStyle w:val="2"/>
      <w:suff w:val="nothing"/>
      <w:lvlText w:val="%1、"/>
      <w:lvlJc w:val="left"/>
      <w:pPr>
        <w:ind w:left="1130" w:hanging="420"/>
      </w:pPr>
      <w:rPr>
        <w:rFonts w:hint="eastAsia"/>
        <w:lang w:val="en-US"/>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4BF1104E"/>
    <w:multiLevelType w:val="hybridMultilevel"/>
    <w:tmpl w:val="50B0CC0C"/>
    <w:lvl w:ilvl="0" w:tplc="8018AAD2">
      <w:start w:val="1"/>
      <w:numFmt w:val="decimal"/>
      <w:suff w:val="nothing"/>
      <w:lvlText w:val="%1."/>
      <w:lvlJc w:val="left"/>
      <w:pPr>
        <w:ind w:left="1063"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 w:numId="3">
    <w:abstractNumId w:val="3"/>
  </w:num>
  <w:num w:numId="4">
    <w:abstractNumId w:val="0"/>
  </w:num>
  <w:num w:numId="5">
    <w:abstractNumId w:val="2"/>
  </w:num>
  <w:num w:numId="6">
    <w:abstractNumId w:val="2"/>
    <w:lvlOverride w:ilvl="0">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lvlOverride w:ilvl="0">
      <w:startOverride w:val="1"/>
    </w:lvlOverride>
  </w:num>
  <w:num w:numId="14">
    <w:abstractNumId w:val="0"/>
  </w:num>
  <w:num w:numId="15">
    <w:abstractNumId w:val="0"/>
    <w:lvlOverride w:ilvl="0">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num>
  <w:num w:numId="33">
    <w:abstractNumId w:val="0"/>
  </w:num>
  <w:num w:numId="34">
    <w:abstractNumId w:val="0"/>
    <w:lvlOverride w:ilvl="0">
      <w:startOverride w:val="1"/>
    </w:lvlOverride>
  </w:num>
  <w:num w:numId="35">
    <w:abstractNumId w:val="0"/>
  </w:num>
  <w:num w:numId="36">
    <w:abstractNumId w:val="0"/>
    <w:lvlOverride w:ilvl="0">
      <w:startOverride w:val="1"/>
    </w:lvlOverride>
  </w:num>
  <w:num w:numId="37">
    <w:abstractNumId w:val="0"/>
    <w:lvlOverride w:ilvl="0">
      <w:startOverride w:val="1"/>
    </w:lvlOverride>
  </w:num>
  <w:num w:numId="38">
    <w:abstractNumId w:val="0"/>
  </w:num>
  <w:num w:numId="39">
    <w:abstractNumId w:val="0"/>
  </w:num>
  <w:num w:numId="40">
    <w:abstractNumId w:val="0"/>
    <w:lvlOverride w:ilvl="0">
      <w:startOverride w:val="1"/>
    </w:lvlOverride>
  </w:num>
  <w:num w:numId="41">
    <w:abstractNumId w:val="0"/>
    <w:lvlOverride w:ilvl="0">
      <w:startOverride w:val="1"/>
    </w:lvlOverride>
  </w:num>
  <w:num w:numId="42">
    <w:abstractNumId w:val="0"/>
  </w:num>
  <w:num w:numId="43">
    <w:abstractNumId w:val="0"/>
    <w:lvlOverride w:ilvl="0">
      <w:startOverride w:val="1"/>
    </w:lvlOverride>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66"/>
    <w:rsid w:val="0000209F"/>
    <w:rsid w:val="000031F4"/>
    <w:rsid w:val="00006779"/>
    <w:rsid w:val="000110DF"/>
    <w:rsid w:val="000175C4"/>
    <w:rsid w:val="00035137"/>
    <w:rsid w:val="000352E9"/>
    <w:rsid w:val="00040055"/>
    <w:rsid w:val="000413C7"/>
    <w:rsid w:val="0004303F"/>
    <w:rsid w:val="00046BF7"/>
    <w:rsid w:val="00062DEF"/>
    <w:rsid w:val="000747EE"/>
    <w:rsid w:val="000753DD"/>
    <w:rsid w:val="00075880"/>
    <w:rsid w:val="0007607E"/>
    <w:rsid w:val="00081CAC"/>
    <w:rsid w:val="00082A09"/>
    <w:rsid w:val="00086E2E"/>
    <w:rsid w:val="0009179D"/>
    <w:rsid w:val="000923A0"/>
    <w:rsid w:val="000A1349"/>
    <w:rsid w:val="000A3AF5"/>
    <w:rsid w:val="000A47EF"/>
    <w:rsid w:val="000A72BD"/>
    <w:rsid w:val="000B4E67"/>
    <w:rsid w:val="000B625D"/>
    <w:rsid w:val="000D43BB"/>
    <w:rsid w:val="000D5F04"/>
    <w:rsid w:val="000E20D7"/>
    <w:rsid w:val="000E3F67"/>
    <w:rsid w:val="000E65E2"/>
    <w:rsid w:val="000F2DAA"/>
    <w:rsid w:val="001135AE"/>
    <w:rsid w:val="00113701"/>
    <w:rsid w:val="001175BF"/>
    <w:rsid w:val="00120823"/>
    <w:rsid w:val="00120966"/>
    <w:rsid w:val="00130FFE"/>
    <w:rsid w:val="001341EE"/>
    <w:rsid w:val="001360C3"/>
    <w:rsid w:val="0014314C"/>
    <w:rsid w:val="00151749"/>
    <w:rsid w:val="00151E69"/>
    <w:rsid w:val="00154EFB"/>
    <w:rsid w:val="0017047E"/>
    <w:rsid w:val="00194294"/>
    <w:rsid w:val="00196D6A"/>
    <w:rsid w:val="001A5D8B"/>
    <w:rsid w:val="001B2D9F"/>
    <w:rsid w:val="001B326F"/>
    <w:rsid w:val="001E0A32"/>
    <w:rsid w:val="001E4C35"/>
    <w:rsid w:val="001F1DF2"/>
    <w:rsid w:val="00213C2A"/>
    <w:rsid w:val="0021465C"/>
    <w:rsid w:val="00221BEE"/>
    <w:rsid w:val="00224FF0"/>
    <w:rsid w:val="00241EBD"/>
    <w:rsid w:val="00252011"/>
    <w:rsid w:val="00252E1B"/>
    <w:rsid w:val="00255378"/>
    <w:rsid w:val="00257929"/>
    <w:rsid w:val="002621E6"/>
    <w:rsid w:val="00262C05"/>
    <w:rsid w:val="00262DA7"/>
    <w:rsid w:val="00265A4A"/>
    <w:rsid w:val="00274A68"/>
    <w:rsid w:val="00274AC2"/>
    <w:rsid w:val="00275CF7"/>
    <w:rsid w:val="00276391"/>
    <w:rsid w:val="00276BD2"/>
    <w:rsid w:val="0027770A"/>
    <w:rsid w:val="0028003F"/>
    <w:rsid w:val="0028396C"/>
    <w:rsid w:val="002852B4"/>
    <w:rsid w:val="00285492"/>
    <w:rsid w:val="00291DC4"/>
    <w:rsid w:val="002A79C6"/>
    <w:rsid w:val="002A7D71"/>
    <w:rsid w:val="002B3A07"/>
    <w:rsid w:val="002B6170"/>
    <w:rsid w:val="002C23B3"/>
    <w:rsid w:val="002D5A25"/>
    <w:rsid w:val="002D614F"/>
    <w:rsid w:val="002E1096"/>
    <w:rsid w:val="002E3701"/>
    <w:rsid w:val="002F0B17"/>
    <w:rsid w:val="002F4B3A"/>
    <w:rsid w:val="002F7D2D"/>
    <w:rsid w:val="00304BDB"/>
    <w:rsid w:val="00305D38"/>
    <w:rsid w:val="0030608B"/>
    <w:rsid w:val="003114F7"/>
    <w:rsid w:val="00320243"/>
    <w:rsid w:val="003446FB"/>
    <w:rsid w:val="00350353"/>
    <w:rsid w:val="003528B3"/>
    <w:rsid w:val="003626D6"/>
    <w:rsid w:val="00364396"/>
    <w:rsid w:val="00367A5D"/>
    <w:rsid w:val="003724F0"/>
    <w:rsid w:val="00385E38"/>
    <w:rsid w:val="00387099"/>
    <w:rsid w:val="003A044C"/>
    <w:rsid w:val="003A1437"/>
    <w:rsid w:val="003A401D"/>
    <w:rsid w:val="003D2C3B"/>
    <w:rsid w:val="003F5E84"/>
    <w:rsid w:val="00416D0A"/>
    <w:rsid w:val="004205EA"/>
    <w:rsid w:val="00424176"/>
    <w:rsid w:val="004270BF"/>
    <w:rsid w:val="00427D5E"/>
    <w:rsid w:val="00431B71"/>
    <w:rsid w:val="00444067"/>
    <w:rsid w:val="0045343E"/>
    <w:rsid w:val="00454D93"/>
    <w:rsid w:val="00456ED7"/>
    <w:rsid w:val="0047410B"/>
    <w:rsid w:val="004751D0"/>
    <w:rsid w:val="0048037F"/>
    <w:rsid w:val="00482F81"/>
    <w:rsid w:val="004844EC"/>
    <w:rsid w:val="004944E2"/>
    <w:rsid w:val="004B0878"/>
    <w:rsid w:val="004B3AE4"/>
    <w:rsid w:val="004B7F9A"/>
    <w:rsid w:val="004C4EBB"/>
    <w:rsid w:val="004E35E3"/>
    <w:rsid w:val="004F3119"/>
    <w:rsid w:val="004F44B7"/>
    <w:rsid w:val="00500376"/>
    <w:rsid w:val="00513F31"/>
    <w:rsid w:val="00523A80"/>
    <w:rsid w:val="005503EB"/>
    <w:rsid w:val="005535CF"/>
    <w:rsid w:val="00560624"/>
    <w:rsid w:val="00562D6E"/>
    <w:rsid w:val="005636B1"/>
    <w:rsid w:val="00580A34"/>
    <w:rsid w:val="00585350"/>
    <w:rsid w:val="005A0559"/>
    <w:rsid w:val="005B3B5D"/>
    <w:rsid w:val="005B57B2"/>
    <w:rsid w:val="005B7ECD"/>
    <w:rsid w:val="005D6B0A"/>
    <w:rsid w:val="005E02C5"/>
    <w:rsid w:val="005F1DDE"/>
    <w:rsid w:val="005F5503"/>
    <w:rsid w:val="00613F28"/>
    <w:rsid w:val="00615C9D"/>
    <w:rsid w:val="006167B5"/>
    <w:rsid w:val="006302DA"/>
    <w:rsid w:val="0063157F"/>
    <w:rsid w:val="00642123"/>
    <w:rsid w:val="00644136"/>
    <w:rsid w:val="00650708"/>
    <w:rsid w:val="006542BC"/>
    <w:rsid w:val="00655C68"/>
    <w:rsid w:val="00662745"/>
    <w:rsid w:val="00663523"/>
    <w:rsid w:val="006802B3"/>
    <w:rsid w:val="00685DE5"/>
    <w:rsid w:val="00687E56"/>
    <w:rsid w:val="00692287"/>
    <w:rsid w:val="00694021"/>
    <w:rsid w:val="006A32A1"/>
    <w:rsid w:val="006A7141"/>
    <w:rsid w:val="006A77F6"/>
    <w:rsid w:val="006B2428"/>
    <w:rsid w:val="006B6500"/>
    <w:rsid w:val="006C311D"/>
    <w:rsid w:val="006D001E"/>
    <w:rsid w:val="006D7DC8"/>
    <w:rsid w:val="006E1E60"/>
    <w:rsid w:val="006F1F23"/>
    <w:rsid w:val="0070020A"/>
    <w:rsid w:val="00703047"/>
    <w:rsid w:val="00724C7F"/>
    <w:rsid w:val="00724EE3"/>
    <w:rsid w:val="007269F5"/>
    <w:rsid w:val="007274D0"/>
    <w:rsid w:val="00735EF8"/>
    <w:rsid w:val="00740FAE"/>
    <w:rsid w:val="00743E30"/>
    <w:rsid w:val="00746776"/>
    <w:rsid w:val="00755571"/>
    <w:rsid w:val="00756877"/>
    <w:rsid w:val="00762982"/>
    <w:rsid w:val="00764C05"/>
    <w:rsid w:val="0076723F"/>
    <w:rsid w:val="00771F14"/>
    <w:rsid w:val="0078142B"/>
    <w:rsid w:val="00793706"/>
    <w:rsid w:val="00796090"/>
    <w:rsid w:val="007A0ACB"/>
    <w:rsid w:val="007B2BDE"/>
    <w:rsid w:val="007B3EDD"/>
    <w:rsid w:val="007B5CED"/>
    <w:rsid w:val="007B7EE0"/>
    <w:rsid w:val="007E2F18"/>
    <w:rsid w:val="007E6FA3"/>
    <w:rsid w:val="007F4187"/>
    <w:rsid w:val="008045FC"/>
    <w:rsid w:val="008059C7"/>
    <w:rsid w:val="00807C2E"/>
    <w:rsid w:val="00822C7A"/>
    <w:rsid w:val="00823F06"/>
    <w:rsid w:val="00824A0B"/>
    <w:rsid w:val="00830D8E"/>
    <w:rsid w:val="00833BEB"/>
    <w:rsid w:val="00835EC7"/>
    <w:rsid w:val="00837B14"/>
    <w:rsid w:val="00841FA1"/>
    <w:rsid w:val="008426E1"/>
    <w:rsid w:val="008567BB"/>
    <w:rsid w:val="00857812"/>
    <w:rsid w:val="00857FED"/>
    <w:rsid w:val="0086613B"/>
    <w:rsid w:val="008814C0"/>
    <w:rsid w:val="0089660A"/>
    <w:rsid w:val="008A14F4"/>
    <w:rsid w:val="008A4D59"/>
    <w:rsid w:val="008B07C9"/>
    <w:rsid w:val="008B7149"/>
    <w:rsid w:val="008C1229"/>
    <w:rsid w:val="008C2573"/>
    <w:rsid w:val="008C6BF8"/>
    <w:rsid w:val="008E5F8D"/>
    <w:rsid w:val="008E6BAD"/>
    <w:rsid w:val="00902249"/>
    <w:rsid w:val="0094036E"/>
    <w:rsid w:val="009427E6"/>
    <w:rsid w:val="00955996"/>
    <w:rsid w:val="009573A2"/>
    <w:rsid w:val="0097550D"/>
    <w:rsid w:val="00975BA3"/>
    <w:rsid w:val="00980FAB"/>
    <w:rsid w:val="00981DC9"/>
    <w:rsid w:val="00982817"/>
    <w:rsid w:val="009848AE"/>
    <w:rsid w:val="00992505"/>
    <w:rsid w:val="00992F9C"/>
    <w:rsid w:val="009A493A"/>
    <w:rsid w:val="009B0E79"/>
    <w:rsid w:val="009B2A4B"/>
    <w:rsid w:val="009B7CDD"/>
    <w:rsid w:val="009C1E3E"/>
    <w:rsid w:val="009C4584"/>
    <w:rsid w:val="009D6264"/>
    <w:rsid w:val="009D6D0A"/>
    <w:rsid w:val="009E0637"/>
    <w:rsid w:val="009E3B69"/>
    <w:rsid w:val="009E6A11"/>
    <w:rsid w:val="009F2A3A"/>
    <w:rsid w:val="00A0251B"/>
    <w:rsid w:val="00A02D43"/>
    <w:rsid w:val="00A25210"/>
    <w:rsid w:val="00A54196"/>
    <w:rsid w:val="00A655DF"/>
    <w:rsid w:val="00A65A8F"/>
    <w:rsid w:val="00A72AA0"/>
    <w:rsid w:val="00A7709E"/>
    <w:rsid w:val="00A81CFF"/>
    <w:rsid w:val="00A875EE"/>
    <w:rsid w:val="00A91F4A"/>
    <w:rsid w:val="00A9364B"/>
    <w:rsid w:val="00A9530D"/>
    <w:rsid w:val="00AA7419"/>
    <w:rsid w:val="00AC2D0D"/>
    <w:rsid w:val="00AD0454"/>
    <w:rsid w:val="00AD612C"/>
    <w:rsid w:val="00AE3432"/>
    <w:rsid w:val="00AF1578"/>
    <w:rsid w:val="00AF2F56"/>
    <w:rsid w:val="00AF6D36"/>
    <w:rsid w:val="00B0435B"/>
    <w:rsid w:val="00B0452C"/>
    <w:rsid w:val="00B15ECA"/>
    <w:rsid w:val="00B17ADD"/>
    <w:rsid w:val="00B35571"/>
    <w:rsid w:val="00B445CB"/>
    <w:rsid w:val="00B545A8"/>
    <w:rsid w:val="00B61EAA"/>
    <w:rsid w:val="00B64476"/>
    <w:rsid w:val="00B730B5"/>
    <w:rsid w:val="00B736CD"/>
    <w:rsid w:val="00B8577E"/>
    <w:rsid w:val="00B86313"/>
    <w:rsid w:val="00B923C2"/>
    <w:rsid w:val="00B93F69"/>
    <w:rsid w:val="00BA2A40"/>
    <w:rsid w:val="00BA688C"/>
    <w:rsid w:val="00BB0CC7"/>
    <w:rsid w:val="00BC2C8A"/>
    <w:rsid w:val="00BD486B"/>
    <w:rsid w:val="00BE40B3"/>
    <w:rsid w:val="00BF3339"/>
    <w:rsid w:val="00C0409B"/>
    <w:rsid w:val="00C12BEE"/>
    <w:rsid w:val="00C47525"/>
    <w:rsid w:val="00C532B9"/>
    <w:rsid w:val="00C668D2"/>
    <w:rsid w:val="00C67DE0"/>
    <w:rsid w:val="00C70F59"/>
    <w:rsid w:val="00C74FC2"/>
    <w:rsid w:val="00C90D79"/>
    <w:rsid w:val="00C969B4"/>
    <w:rsid w:val="00CA2749"/>
    <w:rsid w:val="00CB713C"/>
    <w:rsid w:val="00CD0B99"/>
    <w:rsid w:val="00CD1762"/>
    <w:rsid w:val="00CD2648"/>
    <w:rsid w:val="00CD4BE7"/>
    <w:rsid w:val="00CF01F1"/>
    <w:rsid w:val="00CF191C"/>
    <w:rsid w:val="00CF4103"/>
    <w:rsid w:val="00CF6EE9"/>
    <w:rsid w:val="00D05A85"/>
    <w:rsid w:val="00D06B55"/>
    <w:rsid w:val="00D1263B"/>
    <w:rsid w:val="00D13BAA"/>
    <w:rsid w:val="00D14F02"/>
    <w:rsid w:val="00D344EF"/>
    <w:rsid w:val="00D414A1"/>
    <w:rsid w:val="00D45064"/>
    <w:rsid w:val="00D528C0"/>
    <w:rsid w:val="00D539BC"/>
    <w:rsid w:val="00D53C4D"/>
    <w:rsid w:val="00D547F7"/>
    <w:rsid w:val="00D56BAF"/>
    <w:rsid w:val="00D57658"/>
    <w:rsid w:val="00D61D23"/>
    <w:rsid w:val="00D73349"/>
    <w:rsid w:val="00D814C6"/>
    <w:rsid w:val="00D87267"/>
    <w:rsid w:val="00D97D0B"/>
    <w:rsid w:val="00DA0CDC"/>
    <w:rsid w:val="00DA1BFE"/>
    <w:rsid w:val="00DC0254"/>
    <w:rsid w:val="00DD6BAF"/>
    <w:rsid w:val="00DE4F4C"/>
    <w:rsid w:val="00DE730D"/>
    <w:rsid w:val="00DF435E"/>
    <w:rsid w:val="00DF5CF8"/>
    <w:rsid w:val="00E01673"/>
    <w:rsid w:val="00E03376"/>
    <w:rsid w:val="00E04297"/>
    <w:rsid w:val="00E0701B"/>
    <w:rsid w:val="00E21600"/>
    <w:rsid w:val="00E30A5D"/>
    <w:rsid w:val="00E3491C"/>
    <w:rsid w:val="00E37E6C"/>
    <w:rsid w:val="00E64FA8"/>
    <w:rsid w:val="00E66F6B"/>
    <w:rsid w:val="00E83B5E"/>
    <w:rsid w:val="00E85BAC"/>
    <w:rsid w:val="00E8620F"/>
    <w:rsid w:val="00E8764A"/>
    <w:rsid w:val="00E90726"/>
    <w:rsid w:val="00E9217F"/>
    <w:rsid w:val="00E939B9"/>
    <w:rsid w:val="00E97106"/>
    <w:rsid w:val="00EB06F0"/>
    <w:rsid w:val="00EB19DE"/>
    <w:rsid w:val="00EB418C"/>
    <w:rsid w:val="00EB4BD6"/>
    <w:rsid w:val="00EC3987"/>
    <w:rsid w:val="00EC6DB1"/>
    <w:rsid w:val="00EC7C09"/>
    <w:rsid w:val="00ED02F5"/>
    <w:rsid w:val="00ED41A0"/>
    <w:rsid w:val="00ED5608"/>
    <w:rsid w:val="00EE18E7"/>
    <w:rsid w:val="00EE7BC4"/>
    <w:rsid w:val="00EF0866"/>
    <w:rsid w:val="00EF0AD4"/>
    <w:rsid w:val="00EF25D3"/>
    <w:rsid w:val="00F05266"/>
    <w:rsid w:val="00F237D3"/>
    <w:rsid w:val="00F242C9"/>
    <w:rsid w:val="00F30562"/>
    <w:rsid w:val="00F411CE"/>
    <w:rsid w:val="00F4143D"/>
    <w:rsid w:val="00F4313C"/>
    <w:rsid w:val="00F557B8"/>
    <w:rsid w:val="00F57BEF"/>
    <w:rsid w:val="00F62336"/>
    <w:rsid w:val="00F64956"/>
    <w:rsid w:val="00F65032"/>
    <w:rsid w:val="00F65036"/>
    <w:rsid w:val="00F666F5"/>
    <w:rsid w:val="00F85375"/>
    <w:rsid w:val="00F85810"/>
    <w:rsid w:val="00F9308E"/>
    <w:rsid w:val="00FA5C2F"/>
    <w:rsid w:val="00FB0E6A"/>
    <w:rsid w:val="00FB6FC8"/>
    <w:rsid w:val="00FC51DF"/>
    <w:rsid w:val="00F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DF48"/>
  <w15:chartTrackingRefBased/>
  <w15:docId w15:val="{08597004-8157-4492-B413-2ACA097D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25D3"/>
    <w:pPr>
      <w:numPr>
        <w:numId w:val="4"/>
      </w:numPr>
      <w:snapToGrid w:val="0"/>
      <w:spacing w:beforeLines="50" w:before="50" w:afterLines="50" w:after="50" w:line="560" w:lineRule="exact"/>
      <w:outlineLvl w:val="0"/>
    </w:pPr>
    <w:rPr>
      <w:rFonts w:ascii="宋体" w:eastAsia="宋体" w:hAnsi="宋体"/>
      <w:b/>
      <w:sz w:val="32"/>
      <w:szCs w:val="32"/>
    </w:rPr>
  </w:style>
  <w:style w:type="paragraph" w:styleId="2">
    <w:name w:val="heading 2"/>
    <w:basedOn w:val="a"/>
    <w:next w:val="a"/>
    <w:link w:val="20"/>
    <w:uiPriority w:val="9"/>
    <w:unhideWhenUsed/>
    <w:qFormat/>
    <w:rsid w:val="006A32A1"/>
    <w:pPr>
      <w:numPr>
        <w:numId w:val="5"/>
      </w:numPr>
      <w:adjustRightInd w:val="0"/>
      <w:ind w:left="620" w:firstLine="0"/>
      <w:outlineLvl w:val="1"/>
    </w:pPr>
    <w:rPr>
      <w:rFonts w:ascii="黑体"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0559"/>
    <w:rPr>
      <w:rFonts w:ascii="宋体" w:eastAsia="宋体" w:hAnsi="Courier New" w:cs="Courier New"/>
      <w:szCs w:val="21"/>
    </w:rPr>
  </w:style>
  <w:style w:type="character" w:customStyle="1" w:styleId="a4">
    <w:name w:val="纯文本 字符"/>
    <w:basedOn w:val="a0"/>
    <w:link w:val="a3"/>
    <w:rsid w:val="005A0559"/>
    <w:rPr>
      <w:rFonts w:ascii="宋体" w:eastAsia="宋体" w:hAnsi="Courier New" w:cs="Courier New"/>
      <w:szCs w:val="21"/>
    </w:rPr>
  </w:style>
  <w:style w:type="paragraph" w:styleId="a5">
    <w:name w:val="Balloon Text"/>
    <w:basedOn w:val="a"/>
    <w:link w:val="a6"/>
    <w:uiPriority w:val="99"/>
    <w:semiHidden/>
    <w:unhideWhenUsed/>
    <w:rsid w:val="000747EE"/>
    <w:rPr>
      <w:sz w:val="18"/>
      <w:szCs w:val="18"/>
    </w:rPr>
  </w:style>
  <w:style w:type="character" w:customStyle="1" w:styleId="a6">
    <w:name w:val="批注框文本 字符"/>
    <w:basedOn w:val="a0"/>
    <w:link w:val="a5"/>
    <w:uiPriority w:val="99"/>
    <w:semiHidden/>
    <w:rsid w:val="000747EE"/>
    <w:rPr>
      <w:sz w:val="18"/>
      <w:szCs w:val="18"/>
    </w:rPr>
  </w:style>
  <w:style w:type="character" w:customStyle="1" w:styleId="10">
    <w:name w:val="标题 1 字符"/>
    <w:basedOn w:val="a0"/>
    <w:link w:val="1"/>
    <w:uiPriority w:val="9"/>
    <w:rsid w:val="00EF25D3"/>
    <w:rPr>
      <w:rFonts w:ascii="宋体" w:eastAsia="宋体" w:hAnsi="宋体"/>
      <w:b/>
      <w:sz w:val="32"/>
      <w:szCs w:val="32"/>
    </w:rPr>
  </w:style>
  <w:style w:type="character" w:customStyle="1" w:styleId="20">
    <w:name w:val="标题 2 字符"/>
    <w:basedOn w:val="a0"/>
    <w:link w:val="2"/>
    <w:uiPriority w:val="9"/>
    <w:rsid w:val="006A32A1"/>
    <w:rPr>
      <w:rFonts w:ascii="黑体" w:eastAsia="黑体" w:hAnsiTheme="majorHAnsi" w:cstheme="majorBidi"/>
      <w:bCs/>
      <w:sz w:val="32"/>
      <w:szCs w:val="32"/>
    </w:rPr>
  </w:style>
  <w:style w:type="paragraph" w:styleId="a7">
    <w:name w:val="header"/>
    <w:basedOn w:val="a"/>
    <w:link w:val="a8"/>
    <w:uiPriority w:val="99"/>
    <w:unhideWhenUsed/>
    <w:rsid w:val="00482F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82F81"/>
    <w:rPr>
      <w:sz w:val="18"/>
      <w:szCs w:val="18"/>
    </w:rPr>
  </w:style>
  <w:style w:type="paragraph" w:styleId="a9">
    <w:name w:val="footer"/>
    <w:basedOn w:val="a"/>
    <w:link w:val="aa"/>
    <w:uiPriority w:val="99"/>
    <w:unhideWhenUsed/>
    <w:rsid w:val="00482F81"/>
    <w:pPr>
      <w:tabs>
        <w:tab w:val="center" w:pos="4153"/>
        <w:tab w:val="right" w:pos="8306"/>
      </w:tabs>
      <w:snapToGrid w:val="0"/>
      <w:jc w:val="left"/>
    </w:pPr>
    <w:rPr>
      <w:sz w:val="18"/>
      <w:szCs w:val="18"/>
    </w:rPr>
  </w:style>
  <w:style w:type="character" w:customStyle="1" w:styleId="aa">
    <w:name w:val="页脚 字符"/>
    <w:basedOn w:val="a0"/>
    <w:link w:val="a9"/>
    <w:uiPriority w:val="99"/>
    <w:rsid w:val="00482F81"/>
    <w:rPr>
      <w:sz w:val="18"/>
      <w:szCs w:val="18"/>
    </w:rPr>
  </w:style>
  <w:style w:type="paragraph" w:styleId="ab">
    <w:name w:val="List Paragraph"/>
    <w:basedOn w:val="a"/>
    <w:uiPriority w:val="34"/>
    <w:qFormat/>
    <w:rsid w:val="00B8577E"/>
    <w:pPr>
      <w:ind w:firstLineChars="200" w:firstLine="420"/>
    </w:pPr>
  </w:style>
  <w:style w:type="paragraph" w:styleId="ac">
    <w:name w:val="Revision"/>
    <w:hidden/>
    <w:uiPriority w:val="99"/>
    <w:semiHidden/>
    <w:rsid w:val="00E86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9DAF-9B87-4B6B-811C-78F3F78B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晨</dc:creator>
  <cp:keywords/>
  <dc:description/>
  <cp:lastModifiedBy>Tian</cp:lastModifiedBy>
  <cp:revision>67</cp:revision>
  <cp:lastPrinted>2026-04-30T06:25:00Z</cp:lastPrinted>
  <dcterms:created xsi:type="dcterms:W3CDTF">2026-04-29T09:43:00Z</dcterms:created>
  <dcterms:modified xsi:type="dcterms:W3CDTF">2026-04-30T11:31:00Z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</vt:lpwstr>
  </property>
</Properties>
</file>