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B7949">
      <w:pPr>
        <w:spacing w:before="156" w:beforeLines="50"/>
        <w:jc w:val="center"/>
        <w:rPr>
          <w:rFonts w:hint="eastAsia" w:ascii="宋体" w:hAnsi="宋体"/>
          <w:b/>
          <w:bCs/>
          <w:iCs/>
          <w:color w:val="000000"/>
          <w:sz w:val="36"/>
          <w:szCs w:val="36"/>
        </w:rPr>
      </w:pPr>
      <w:r>
        <w:rPr>
          <w:rFonts w:hint="eastAsia" w:ascii="宋体" w:hAnsi="宋体"/>
          <w:b/>
          <w:bCs/>
          <w:iCs/>
          <w:color w:val="000000"/>
          <w:sz w:val="36"/>
          <w:szCs w:val="36"/>
        </w:rPr>
        <w:t>海南矿业股份有限公司</w:t>
      </w:r>
    </w:p>
    <w:p w14:paraId="6F58AB5A">
      <w:pPr>
        <w:jc w:val="center"/>
        <w:rPr>
          <w:rFonts w:hint="eastAsia" w:ascii="宋体" w:hAnsi="宋体"/>
          <w:b/>
          <w:bCs/>
          <w:iCs/>
          <w:color w:val="000000"/>
          <w:sz w:val="36"/>
          <w:szCs w:val="36"/>
        </w:rPr>
      </w:pPr>
      <w:r>
        <w:rPr>
          <w:rFonts w:hint="eastAsia" w:ascii="宋体" w:hAnsi="宋体"/>
          <w:b/>
          <w:bCs/>
          <w:iCs/>
          <w:color w:val="000000"/>
          <w:sz w:val="36"/>
          <w:szCs w:val="36"/>
        </w:rPr>
        <w:t>投资者关系活动记录表</w:t>
      </w:r>
    </w:p>
    <w:p w14:paraId="37B280A0">
      <w:pPr>
        <w:spacing w:line="400" w:lineRule="exact"/>
        <w:rPr>
          <w:rFonts w:hint="eastAsia" w:ascii="宋体" w:hAnsi="宋体"/>
          <w:bCs/>
          <w:iCs/>
          <w:color w:val="000000"/>
          <w:sz w:val="24"/>
        </w:rPr>
      </w:pPr>
      <w:r>
        <w:rPr>
          <w:rFonts w:hint="eastAsia" w:ascii="宋体" w:hAnsi="宋体"/>
          <w:bCs/>
          <w:iCs/>
          <w:color w:val="000000"/>
          <w:sz w:val="24"/>
        </w:rPr>
        <w:t xml:space="preserve">                                                        编号：20</w:t>
      </w:r>
      <w:r>
        <w:rPr>
          <w:rFonts w:ascii="宋体" w:hAnsi="宋体"/>
          <w:bCs/>
          <w:iCs/>
          <w:color w:val="000000"/>
          <w:sz w:val="24"/>
        </w:rPr>
        <w:t>2</w:t>
      </w:r>
      <w:r>
        <w:rPr>
          <w:rFonts w:hint="eastAsia" w:ascii="宋体" w:hAnsi="宋体"/>
          <w:bCs/>
          <w:iCs/>
          <w:color w:val="000000"/>
          <w:sz w:val="24"/>
        </w:rPr>
        <w:t>6-002</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397"/>
      </w:tblGrid>
      <w:tr w14:paraId="0510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Borders>
              <w:top w:val="single" w:color="auto" w:sz="4" w:space="0"/>
              <w:left w:val="single" w:color="auto" w:sz="4" w:space="0"/>
              <w:bottom w:val="single" w:color="auto" w:sz="4" w:space="0"/>
              <w:right w:val="single" w:color="auto" w:sz="4" w:space="0"/>
            </w:tcBorders>
            <w:vAlign w:val="center"/>
          </w:tcPr>
          <w:p w14:paraId="55FD4760">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投资者关系活动类别</w:t>
            </w:r>
          </w:p>
        </w:tc>
        <w:tc>
          <w:tcPr>
            <w:tcW w:w="4337" w:type="pct"/>
            <w:tcBorders>
              <w:top w:val="single" w:color="auto" w:sz="4" w:space="0"/>
              <w:left w:val="single" w:color="auto" w:sz="4" w:space="0"/>
              <w:bottom w:val="single" w:color="auto" w:sz="4" w:space="0"/>
              <w:right w:val="single" w:color="auto" w:sz="4" w:space="0"/>
            </w:tcBorders>
            <w:vAlign w:val="center"/>
          </w:tcPr>
          <w:p w14:paraId="70A81220">
            <w:pPr>
              <w:spacing w:before="93" w:beforeLines="30" w:after="93" w:afterLines="30"/>
              <w:rPr>
                <w:rFonts w:hint="eastAsia" w:ascii="宋体" w:hAnsi="宋体"/>
                <w:bCs/>
                <w:iCs/>
                <w:sz w:val="24"/>
              </w:rPr>
            </w:pPr>
            <w:r>
              <w:rPr>
                <w:rFonts w:hint="eastAsia" w:ascii="宋体" w:hAnsi="宋体"/>
                <w:bCs/>
                <w:iCs/>
                <w:color w:val="000000"/>
                <w:sz w:val="24"/>
              </w:rPr>
              <w:t>□</w:t>
            </w:r>
            <w:r>
              <w:rPr>
                <w:rFonts w:hint="eastAsia" w:ascii="宋体" w:hAnsi="宋体"/>
                <w:sz w:val="24"/>
              </w:rPr>
              <w:t xml:space="preserve">特定对象调研        </w:t>
            </w:r>
            <w:r>
              <w:rPr>
                <w:rFonts w:ascii="宋体" w:hAnsi="宋体"/>
                <w:sz w:val="24"/>
              </w:rPr>
              <w:t xml:space="preserve">  </w:t>
            </w:r>
            <w:r>
              <w:rPr>
                <w:rFonts w:hint="eastAsia" w:ascii="宋体" w:hAnsi="宋体"/>
                <w:bCs/>
                <w:iCs/>
                <w:sz w:val="24"/>
              </w:rPr>
              <w:t>□</w:t>
            </w:r>
            <w:r>
              <w:rPr>
                <w:rFonts w:hint="eastAsia" w:ascii="宋体" w:hAnsi="宋体"/>
                <w:sz w:val="24"/>
              </w:rPr>
              <w:t>分析师会议</w:t>
            </w:r>
          </w:p>
          <w:p w14:paraId="7ACC572C">
            <w:pPr>
              <w:spacing w:before="93" w:beforeLines="30" w:after="93" w:afterLines="30"/>
              <w:rPr>
                <w:rFonts w:hint="eastAsia" w:ascii="宋体" w:hAnsi="宋体"/>
                <w:bCs/>
                <w:iCs/>
                <w:sz w:val="24"/>
              </w:rPr>
            </w:pPr>
            <w:r>
              <w:rPr>
                <w:rFonts w:hint="eastAsia" w:ascii="宋体" w:hAnsi="宋体"/>
                <w:bCs/>
                <w:iCs/>
                <w:sz w:val="24"/>
              </w:rPr>
              <w:t>□</w:t>
            </w:r>
            <w:r>
              <w:rPr>
                <w:rFonts w:hint="eastAsia" w:ascii="宋体" w:hAnsi="宋体"/>
                <w:sz w:val="24"/>
              </w:rPr>
              <w:t xml:space="preserve">媒体采访             </w:t>
            </w:r>
            <w:r>
              <w:rPr>
                <w:rFonts w:ascii="宋体" w:hAnsi="宋体"/>
                <w:sz w:val="24"/>
              </w:rPr>
              <w:t xml:space="preserve"> </w:t>
            </w:r>
            <w:r>
              <w:rPr>
                <w:rFonts w:hint="eastAsia" w:ascii="宋体" w:hAnsi="宋体"/>
                <w:bCs/>
                <w:iCs/>
                <w:sz w:val="24"/>
              </w:rPr>
              <w:t>□</w:t>
            </w:r>
            <w:r>
              <w:rPr>
                <w:rFonts w:hint="eastAsia" w:ascii="宋体" w:hAnsi="宋体"/>
                <w:sz w:val="24"/>
              </w:rPr>
              <w:t>业绩说明会</w:t>
            </w:r>
          </w:p>
          <w:p w14:paraId="0C393570">
            <w:pPr>
              <w:spacing w:before="93" w:beforeLines="30" w:after="93" w:afterLines="30"/>
              <w:rPr>
                <w:rFonts w:hint="eastAsia" w:ascii="宋体" w:hAnsi="宋体"/>
                <w:bCs/>
                <w:iCs/>
                <w:sz w:val="24"/>
              </w:rPr>
            </w:pPr>
            <w:r>
              <w:rPr>
                <w:rFonts w:hint="eastAsia" w:ascii="宋体" w:hAnsi="宋体"/>
                <w:bCs/>
                <w:iCs/>
                <w:sz w:val="24"/>
              </w:rPr>
              <w:t>□</w:t>
            </w:r>
            <w:r>
              <w:rPr>
                <w:rFonts w:hint="eastAsia" w:ascii="宋体" w:hAnsi="宋体"/>
                <w:sz w:val="24"/>
              </w:rPr>
              <w:t xml:space="preserve">新闻发布会          </w:t>
            </w:r>
            <w:r>
              <w:rPr>
                <w:rFonts w:ascii="宋体" w:hAnsi="宋体"/>
                <w:sz w:val="24"/>
              </w:rPr>
              <w:t xml:space="preserve"> </w:t>
            </w:r>
            <w:r>
              <w:rPr>
                <w:rFonts w:hint="eastAsia" w:ascii="宋体" w:hAnsi="宋体"/>
                <w:sz w:val="24"/>
              </w:rPr>
              <w:t xml:space="preserve"> </w:t>
            </w:r>
            <w:r>
              <w:rPr>
                <w:rFonts w:hint="eastAsia" w:ascii="宋体" w:hAnsi="宋体"/>
                <w:bCs/>
                <w:iCs/>
                <w:sz w:val="24"/>
              </w:rPr>
              <w:t>□</w:t>
            </w:r>
            <w:r>
              <w:rPr>
                <w:rFonts w:hint="eastAsia" w:ascii="宋体" w:hAnsi="宋体"/>
                <w:sz w:val="24"/>
              </w:rPr>
              <w:t>路演活动</w:t>
            </w:r>
          </w:p>
          <w:p w14:paraId="09C3C64F">
            <w:pPr>
              <w:tabs>
                <w:tab w:val="left" w:pos="3045"/>
                <w:tab w:val="center" w:pos="3199"/>
              </w:tabs>
              <w:spacing w:before="93" w:beforeLines="30" w:after="93" w:afterLines="30"/>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现场参观             </w:t>
            </w:r>
            <w:r>
              <w:rPr>
                <w:rFonts w:ascii="宋体" w:hAnsi="宋体"/>
                <w:sz w:val="24"/>
              </w:rPr>
              <w:t xml:space="preserve"> </w:t>
            </w:r>
            <w:r>
              <w:rPr>
                <w:rFonts w:hint="eastAsia" w:ascii="宋体" w:hAnsi="宋体"/>
                <w:bCs/>
                <w:iCs/>
                <w:sz w:val="24"/>
              </w:rPr>
              <w:t>√</w:t>
            </w:r>
            <w:r>
              <w:rPr>
                <w:rFonts w:hint="eastAsia" w:ascii="宋体" w:hAnsi="宋体"/>
                <w:sz w:val="24"/>
              </w:rPr>
              <w:t>电话会议</w:t>
            </w:r>
            <w:r>
              <w:rPr>
                <w:rFonts w:hint="eastAsia" w:ascii="宋体" w:hAnsi="宋体"/>
                <w:bCs/>
                <w:iCs/>
                <w:color w:val="000000"/>
                <w:sz w:val="24"/>
              </w:rPr>
              <w:tab/>
            </w:r>
          </w:p>
          <w:p w14:paraId="369B7627">
            <w:pPr>
              <w:tabs>
                <w:tab w:val="center" w:pos="3199"/>
              </w:tabs>
              <w:spacing w:before="93" w:beforeLines="30" w:after="93" w:afterLines="30"/>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其他 </w:t>
            </w:r>
            <w:r>
              <w:rPr>
                <w:rFonts w:hint="eastAsia" w:ascii="宋体" w:hAnsi="宋体"/>
                <w:sz w:val="24"/>
                <w:u w:val="single"/>
              </w:rPr>
              <w:t xml:space="preserve">                 </w:t>
            </w:r>
          </w:p>
        </w:tc>
      </w:tr>
      <w:tr w14:paraId="22D7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62" w:type="pct"/>
            <w:tcBorders>
              <w:top w:val="single" w:color="auto" w:sz="4" w:space="0"/>
              <w:left w:val="single" w:color="auto" w:sz="4" w:space="0"/>
              <w:bottom w:val="single" w:color="auto" w:sz="4" w:space="0"/>
              <w:right w:val="single" w:color="auto" w:sz="4" w:space="0"/>
            </w:tcBorders>
            <w:vAlign w:val="center"/>
          </w:tcPr>
          <w:p w14:paraId="66C4F628">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参与单位</w:t>
            </w:r>
          </w:p>
        </w:tc>
        <w:tc>
          <w:tcPr>
            <w:tcW w:w="4337" w:type="pct"/>
            <w:tcBorders>
              <w:top w:val="single" w:color="auto" w:sz="4" w:space="0"/>
              <w:left w:val="single" w:color="auto" w:sz="4" w:space="0"/>
              <w:bottom w:val="single" w:color="auto" w:sz="4" w:space="0"/>
              <w:right w:val="single" w:color="auto" w:sz="4" w:space="0"/>
            </w:tcBorders>
            <w:vAlign w:val="center"/>
          </w:tcPr>
          <w:p w14:paraId="2D244701">
            <w:pPr>
              <w:spacing w:before="93" w:beforeLines="30" w:after="93" w:afterLines="30" w:line="360" w:lineRule="exact"/>
              <w:rPr>
                <w:rFonts w:hint="eastAsia" w:ascii="宋体" w:hAnsi="宋体"/>
                <w:bCs/>
                <w:iCs/>
                <w:sz w:val="24"/>
              </w:rPr>
            </w:pPr>
            <w:r>
              <w:rPr>
                <w:rFonts w:hint="eastAsia" w:ascii="宋体" w:hAnsi="宋体"/>
                <w:bCs/>
                <w:iCs/>
                <w:sz w:val="24"/>
              </w:rPr>
              <w:t>欧力士投资、昆仑保险、方正富邦基金、英大保险资管、深圳中天汇富基金、中国邮储银行、灏浚投资、北京中睿元同投资、福泽源(上海)私募基金、太平国发(苏州)资本、上海开思私募基金、上海益和源资管、上海君牛私募基金、长沙美丰资产、宁波明盛资管、宁波莲盛投资、上海九方云智能等机构投资者及个人投资者</w:t>
            </w:r>
          </w:p>
          <w:p w14:paraId="63C4CF79">
            <w:pPr>
              <w:spacing w:before="93" w:beforeLines="30" w:after="93" w:afterLines="30" w:line="360" w:lineRule="exact"/>
              <w:rPr>
                <w:rFonts w:hint="eastAsia" w:ascii="宋体" w:hAnsi="宋体"/>
                <w:bCs/>
                <w:iCs/>
                <w:sz w:val="24"/>
              </w:rPr>
            </w:pPr>
            <w:r>
              <w:rPr>
                <w:rFonts w:hint="eastAsia" w:ascii="宋体" w:hAnsi="宋体"/>
                <w:bCs/>
                <w:iCs/>
                <w:sz w:val="24"/>
              </w:rPr>
              <w:t xml:space="preserve">长江证券、浙商证券、中泰证券、国投证券、东吴证券、国盛证券、天风证券、高盛(亚洲)等分析师 </w:t>
            </w:r>
          </w:p>
          <w:p w14:paraId="10583432">
            <w:pPr>
              <w:spacing w:before="93" w:beforeLines="30" w:after="93" w:afterLines="30" w:line="360" w:lineRule="exact"/>
              <w:rPr>
                <w:rFonts w:hint="eastAsia" w:ascii="宋体" w:hAnsi="宋体"/>
                <w:bCs/>
                <w:iCs/>
                <w:sz w:val="24"/>
              </w:rPr>
            </w:pPr>
            <w:r>
              <w:rPr>
                <w:rFonts w:hint="eastAsia" w:ascii="宋体" w:hAnsi="宋体"/>
                <w:bCs/>
                <w:iCs/>
                <w:sz w:val="24"/>
              </w:rPr>
              <w:t>（排名不分先后）</w:t>
            </w:r>
          </w:p>
        </w:tc>
      </w:tr>
      <w:tr w14:paraId="38C7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2" w:type="pct"/>
            <w:tcBorders>
              <w:top w:val="single" w:color="auto" w:sz="4" w:space="0"/>
              <w:left w:val="single" w:color="auto" w:sz="4" w:space="0"/>
              <w:bottom w:val="single" w:color="auto" w:sz="4" w:space="0"/>
              <w:right w:val="single" w:color="auto" w:sz="4" w:space="0"/>
            </w:tcBorders>
            <w:vAlign w:val="center"/>
          </w:tcPr>
          <w:p w14:paraId="2F9FAF2D">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时间及主题</w:t>
            </w:r>
          </w:p>
        </w:tc>
        <w:tc>
          <w:tcPr>
            <w:tcW w:w="4337" w:type="pct"/>
            <w:tcBorders>
              <w:top w:val="single" w:color="auto" w:sz="4" w:space="0"/>
              <w:left w:val="single" w:color="auto" w:sz="4" w:space="0"/>
              <w:bottom w:val="single" w:color="auto" w:sz="4" w:space="0"/>
              <w:right w:val="single" w:color="auto" w:sz="4" w:space="0"/>
            </w:tcBorders>
            <w:vAlign w:val="center"/>
          </w:tcPr>
          <w:p w14:paraId="1C101430">
            <w:pPr>
              <w:spacing w:before="93" w:beforeLines="30" w:after="93" w:afterLines="30"/>
              <w:rPr>
                <w:rFonts w:hint="eastAsia" w:ascii="宋体" w:hAnsi="宋体"/>
                <w:bCs/>
                <w:iCs/>
                <w:color w:val="000000"/>
                <w:sz w:val="24"/>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rPr>
              <w:t>6年4月30日 10:00-11:00</w:t>
            </w:r>
          </w:p>
          <w:p w14:paraId="2FE329D0">
            <w:pPr>
              <w:spacing w:before="93" w:beforeLines="30" w:after="93" w:afterLines="30"/>
              <w:rPr>
                <w:rFonts w:hint="eastAsia" w:ascii="宋体" w:hAnsi="宋体"/>
                <w:bCs/>
                <w:iCs/>
                <w:color w:val="000000"/>
                <w:sz w:val="24"/>
              </w:rPr>
            </w:pPr>
            <w:r>
              <w:rPr>
                <w:rFonts w:hint="eastAsia" w:ascii="宋体" w:hAnsi="宋体"/>
                <w:bCs/>
                <w:iCs/>
                <w:color w:val="000000"/>
                <w:sz w:val="24"/>
              </w:rPr>
              <w:t>2026年第一季度业绩交流</w:t>
            </w:r>
          </w:p>
        </w:tc>
      </w:tr>
      <w:tr w14:paraId="7008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62" w:type="pct"/>
            <w:tcBorders>
              <w:top w:val="single" w:color="auto" w:sz="4" w:space="0"/>
              <w:left w:val="single" w:color="auto" w:sz="4" w:space="0"/>
              <w:bottom w:val="single" w:color="auto" w:sz="4" w:space="0"/>
              <w:right w:val="single" w:color="auto" w:sz="4" w:space="0"/>
            </w:tcBorders>
            <w:vAlign w:val="center"/>
          </w:tcPr>
          <w:p w14:paraId="68476549">
            <w:pPr>
              <w:spacing w:before="93" w:beforeLines="30" w:after="93" w:afterLines="30" w:line="380" w:lineRule="exact"/>
              <w:jc w:val="center"/>
              <w:rPr>
                <w:rFonts w:hint="eastAsia" w:ascii="宋体" w:hAnsi="宋体"/>
                <w:bCs/>
                <w:iCs/>
                <w:sz w:val="24"/>
              </w:rPr>
            </w:pPr>
            <w:r>
              <w:rPr>
                <w:rFonts w:hint="eastAsia" w:ascii="宋体" w:hAnsi="宋体"/>
                <w:bCs/>
                <w:iCs/>
                <w:sz w:val="24"/>
              </w:rPr>
              <w:t>地    点/沟通方式</w:t>
            </w:r>
          </w:p>
        </w:tc>
        <w:tc>
          <w:tcPr>
            <w:tcW w:w="4337" w:type="pct"/>
            <w:tcBorders>
              <w:top w:val="single" w:color="auto" w:sz="4" w:space="0"/>
              <w:left w:val="single" w:color="auto" w:sz="4" w:space="0"/>
              <w:bottom w:val="single" w:color="auto" w:sz="4" w:space="0"/>
              <w:right w:val="single" w:color="auto" w:sz="4" w:space="0"/>
            </w:tcBorders>
            <w:vAlign w:val="center"/>
          </w:tcPr>
          <w:p w14:paraId="16059A9B">
            <w:pPr>
              <w:spacing w:before="93" w:beforeLines="30" w:after="93" w:afterLines="30"/>
              <w:rPr>
                <w:rFonts w:hint="eastAsia" w:ascii="宋体" w:hAnsi="宋体"/>
                <w:bCs/>
                <w:iCs/>
                <w:sz w:val="24"/>
              </w:rPr>
            </w:pPr>
            <w:r>
              <w:rPr>
                <w:rFonts w:hint="eastAsia" w:ascii="宋体" w:hAnsi="宋体"/>
                <w:bCs/>
                <w:iCs/>
                <w:sz w:val="24"/>
              </w:rPr>
              <w:t>进门财经 线上会议</w:t>
            </w:r>
          </w:p>
        </w:tc>
      </w:tr>
      <w:tr w14:paraId="30C8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Borders>
              <w:top w:val="single" w:color="auto" w:sz="4" w:space="0"/>
              <w:left w:val="single" w:color="auto" w:sz="4" w:space="0"/>
              <w:bottom w:val="single" w:color="auto" w:sz="4" w:space="0"/>
              <w:right w:val="single" w:color="auto" w:sz="4" w:space="0"/>
            </w:tcBorders>
            <w:vAlign w:val="center"/>
          </w:tcPr>
          <w:p w14:paraId="228BD084">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上市公司参与人员</w:t>
            </w:r>
          </w:p>
        </w:tc>
        <w:tc>
          <w:tcPr>
            <w:tcW w:w="4337" w:type="pct"/>
            <w:tcBorders>
              <w:top w:val="single" w:color="auto" w:sz="4" w:space="0"/>
              <w:left w:val="single" w:color="auto" w:sz="4" w:space="0"/>
              <w:bottom w:val="single" w:color="auto" w:sz="4" w:space="0"/>
              <w:right w:val="single" w:color="auto" w:sz="4" w:space="0"/>
            </w:tcBorders>
            <w:vAlign w:val="center"/>
          </w:tcPr>
          <w:p w14:paraId="68CB2919">
            <w:pPr>
              <w:spacing w:before="93" w:beforeLines="30" w:after="93" w:afterLines="30" w:line="400" w:lineRule="exact"/>
              <w:rPr>
                <w:rFonts w:hint="eastAsia" w:ascii="宋体" w:hAnsi="宋体"/>
                <w:bCs/>
                <w:iCs/>
                <w:color w:val="000000"/>
                <w:sz w:val="24"/>
              </w:rPr>
            </w:pPr>
            <w:r>
              <w:rPr>
                <w:rFonts w:hint="eastAsia" w:ascii="宋体" w:hAnsi="宋体"/>
                <w:bCs/>
                <w:iCs/>
                <w:color w:val="000000"/>
                <w:sz w:val="24"/>
              </w:rPr>
              <w:t>副总裁</w:t>
            </w:r>
            <w:r>
              <w:rPr>
                <w:rFonts w:ascii="宋体" w:hAnsi="宋体"/>
                <w:bCs/>
                <w:iCs/>
                <w:color w:val="000000"/>
                <w:sz w:val="24"/>
              </w:rPr>
              <w:t>、</w:t>
            </w:r>
            <w:r>
              <w:rPr>
                <w:rFonts w:hint="eastAsia" w:ascii="宋体" w:hAnsi="宋体"/>
                <w:bCs/>
                <w:iCs/>
                <w:color w:val="000000"/>
                <w:sz w:val="24"/>
              </w:rPr>
              <w:t xml:space="preserve">董事会秘书 </w:t>
            </w:r>
            <w:r>
              <w:rPr>
                <w:rFonts w:ascii="宋体" w:hAnsi="宋体"/>
                <w:bCs/>
                <w:iCs/>
                <w:color w:val="000000"/>
                <w:sz w:val="24"/>
              </w:rPr>
              <w:t xml:space="preserve">        </w:t>
            </w:r>
            <w:r>
              <w:rPr>
                <w:rFonts w:hint="eastAsia" w:ascii="宋体" w:hAnsi="宋体"/>
                <w:bCs/>
                <w:iCs/>
                <w:color w:val="000000"/>
                <w:sz w:val="24"/>
              </w:rPr>
              <w:t xml:space="preserve">   何 </w:t>
            </w:r>
            <w:r>
              <w:rPr>
                <w:rFonts w:ascii="宋体" w:hAnsi="宋体"/>
                <w:bCs/>
                <w:iCs/>
                <w:color w:val="000000"/>
                <w:sz w:val="24"/>
              </w:rPr>
              <w:t xml:space="preserve"> </w:t>
            </w:r>
            <w:r>
              <w:rPr>
                <w:rFonts w:hint="eastAsia" w:ascii="宋体" w:hAnsi="宋体"/>
                <w:bCs/>
                <w:iCs/>
                <w:color w:val="000000"/>
                <w:sz w:val="24"/>
              </w:rPr>
              <w:t>婧</w:t>
            </w:r>
          </w:p>
          <w:p w14:paraId="54F4996B">
            <w:pPr>
              <w:spacing w:before="93" w:beforeLines="30" w:after="93" w:afterLines="30" w:line="400" w:lineRule="exact"/>
              <w:rPr>
                <w:rFonts w:hint="eastAsia" w:ascii="宋体" w:hAnsi="宋体"/>
                <w:bCs/>
                <w:iCs/>
                <w:color w:val="000000"/>
                <w:sz w:val="24"/>
              </w:rPr>
            </w:pPr>
            <w:r>
              <w:rPr>
                <w:rFonts w:hint="eastAsia" w:ascii="宋体" w:hAnsi="宋体"/>
                <w:bCs/>
                <w:iCs/>
                <w:color w:val="000000"/>
                <w:sz w:val="24"/>
              </w:rPr>
              <w:t xml:space="preserve">副总裁、首席财务官 </w:t>
            </w:r>
            <w:r>
              <w:rPr>
                <w:rFonts w:ascii="宋体" w:hAnsi="宋体"/>
                <w:bCs/>
                <w:iCs/>
                <w:color w:val="000000"/>
                <w:sz w:val="24"/>
              </w:rPr>
              <w:t xml:space="preserve">           </w:t>
            </w:r>
            <w:r>
              <w:rPr>
                <w:rFonts w:hint="eastAsia" w:ascii="宋体" w:hAnsi="宋体"/>
                <w:bCs/>
                <w:iCs/>
                <w:color w:val="000000"/>
                <w:sz w:val="24"/>
              </w:rPr>
              <w:t xml:space="preserve">朱 </w:t>
            </w:r>
            <w:r>
              <w:rPr>
                <w:rFonts w:ascii="宋体" w:hAnsi="宋体"/>
                <w:bCs/>
                <w:iCs/>
                <w:color w:val="000000"/>
                <w:sz w:val="24"/>
              </w:rPr>
              <w:t xml:space="preserve"> </w:t>
            </w:r>
            <w:r>
              <w:rPr>
                <w:rFonts w:hint="eastAsia" w:ascii="宋体" w:hAnsi="宋体"/>
                <w:bCs/>
                <w:iCs/>
                <w:color w:val="000000"/>
                <w:sz w:val="24"/>
              </w:rPr>
              <w:t>彤</w:t>
            </w:r>
          </w:p>
          <w:p w14:paraId="46AE88F2">
            <w:pPr>
              <w:spacing w:before="93" w:beforeLines="30" w:after="93" w:afterLines="30" w:line="400" w:lineRule="exact"/>
              <w:rPr>
                <w:rFonts w:hint="eastAsia" w:ascii="宋体" w:hAnsi="宋体"/>
                <w:bCs/>
                <w:iCs/>
                <w:color w:val="000000"/>
                <w:sz w:val="24"/>
              </w:rPr>
            </w:pPr>
            <w:r>
              <w:rPr>
                <w:rFonts w:hint="eastAsia" w:ascii="宋体" w:hAnsi="宋体"/>
                <w:bCs/>
                <w:iCs/>
                <w:color w:val="000000"/>
                <w:sz w:val="24"/>
              </w:rPr>
              <w:t>投资者关系高级经理            杨丰源</w:t>
            </w:r>
          </w:p>
        </w:tc>
      </w:tr>
      <w:tr w14:paraId="01B2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662" w:type="pct"/>
            <w:tcBorders>
              <w:top w:val="single" w:color="auto" w:sz="4" w:space="0"/>
              <w:left w:val="single" w:color="auto" w:sz="4" w:space="0"/>
              <w:bottom w:val="single" w:color="auto" w:sz="4" w:space="0"/>
              <w:right w:val="single" w:color="auto" w:sz="4" w:space="0"/>
            </w:tcBorders>
            <w:vAlign w:val="center"/>
          </w:tcPr>
          <w:p w14:paraId="153F0BA1">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投资者关系活动主要内容介绍</w:t>
            </w:r>
          </w:p>
        </w:tc>
        <w:tc>
          <w:tcPr>
            <w:tcW w:w="4337" w:type="pct"/>
            <w:tcBorders>
              <w:top w:val="single" w:color="auto" w:sz="4" w:space="0"/>
              <w:left w:val="single" w:color="auto" w:sz="4" w:space="0"/>
              <w:bottom w:val="single" w:color="auto" w:sz="4" w:space="0"/>
              <w:right w:val="single" w:color="auto" w:sz="4" w:space="0"/>
            </w:tcBorders>
          </w:tcPr>
          <w:p w14:paraId="2EADD0CB">
            <w:pPr>
              <w:spacing w:line="360" w:lineRule="auto"/>
              <w:jc w:val="left"/>
              <w:rPr>
                <w:b/>
                <w:bCs/>
              </w:rPr>
            </w:pPr>
            <w:r>
              <w:rPr>
                <w:rFonts w:hint="eastAsia"/>
                <w:b/>
                <w:bCs/>
              </w:rPr>
              <w:t>一、公司简介环节</w:t>
            </w:r>
          </w:p>
          <w:p w14:paraId="5D2FC327">
            <w:pPr>
              <w:spacing w:after="0" w:line="360" w:lineRule="auto"/>
              <w:rPr>
                <w:b/>
                <w:bCs/>
              </w:rPr>
            </w:pPr>
            <w:r>
              <w:rPr>
                <w:rFonts w:hint="eastAsia"/>
                <w:b/>
                <w:bCs/>
              </w:rPr>
              <w:t>（一）核心经营亮点</w:t>
            </w:r>
          </w:p>
          <w:p w14:paraId="0C5E8CFB">
            <w:pPr>
              <w:pStyle w:val="28"/>
              <w:numPr>
                <w:ilvl w:val="0"/>
                <w:numId w:val="1"/>
              </w:numPr>
              <w:spacing w:after="0" w:line="360" w:lineRule="auto"/>
              <w:ind w:firstLineChars="0"/>
              <w:jc w:val="left"/>
              <w:rPr>
                <w:rFonts w:hint="eastAsia" w:ascii="宋体" w:hAnsi="宋体" w:cs="宋体"/>
              </w:rPr>
            </w:pPr>
            <w:r>
              <w:rPr>
                <w:rFonts w:ascii="宋体" w:hAnsi="宋体" w:cs="宋体"/>
              </w:rPr>
              <w:t>202</w:t>
            </w:r>
            <w:r>
              <w:rPr>
                <w:rFonts w:hint="eastAsia" w:ascii="宋体" w:hAnsi="宋体" w:cs="宋体"/>
              </w:rPr>
              <w:t>6</w:t>
            </w:r>
            <w:r>
              <w:rPr>
                <w:rFonts w:ascii="宋体" w:hAnsi="宋体" w:cs="宋体"/>
              </w:rPr>
              <w:t>年一季度经营业绩同比稳健增长、环比大幅</w:t>
            </w:r>
            <w:r>
              <w:rPr>
                <w:rFonts w:hint="eastAsia" w:ascii="宋体" w:hAnsi="宋体" w:cs="宋体"/>
              </w:rPr>
              <w:t>提升；</w:t>
            </w:r>
          </w:p>
          <w:p w14:paraId="22533C8C">
            <w:pPr>
              <w:pStyle w:val="28"/>
              <w:numPr>
                <w:ilvl w:val="0"/>
                <w:numId w:val="1"/>
              </w:numPr>
              <w:spacing w:after="0" w:line="360" w:lineRule="auto"/>
              <w:ind w:firstLineChars="0"/>
              <w:jc w:val="left"/>
              <w:rPr>
                <w:rFonts w:hint="eastAsia" w:ascii="宋体" w:hAnsi="宋体" w:cs="宋体"/>
              </w:rPr>
            </w:pPr>
            <w:r>
              <w:rPr>
                <w:rFonts w:ascii="宋体" w:hAnsi="宋体" w:cs="宋体"/>
              </w:rPr>
              <w:t>锂资源一体化业务去年投产，行业回暖下首次扭亏为盈，月度达产且有降本空间；</w:t>
            </w:r>
          </w:p>
          <w:p w14:paraId="6E4685A6">
            <w:pPr>
              <w:pStyle w:val="28"/>
              <w:numPr>
                <w:ilvl w:val="0"/>
                <w:numId w:val="1"/>
              </w:numPr>
              <w:spacing w:after="0" w:line="360" w:lineRule="auto"/>
              <w:ind w:firstLineChars="0"/>
              <w:jc w:val="left"/>
              <w:rPr>
                <w:rFonts w:hint="eastAsia" w:ascii="宋体" w:hAnsi="宋体" w:cs="宋体"/>
              </w:rPr>
            </w:pPr>
            <w:r>
              <w:rPr>
                <w:rFonts w:ascii="宋体" w:hAnsi="宋体" w:cs="宋体"/>
              </w:rPr>
              <w:t>油气业务连续 5 年产量增长，当前</w:t>
            </w:r>
            <w:r>
              <w:rPr>
                <w:rFonts w:hint="eastAsia" w:ascii="宋体" w:hAnsi="宋体" w:cs="宋体"/>
              </w:rPr>
              <w:t>产量</w:t>
            </w:r>
            <w:r>
              <w:rPr>
                <w:rFonts w:ascii="宋体" w:hAnsi="宋体" w:cs="宋体"/>
              </w:rPr>
              <w:t>稳定在高位</w:t>
            </w:r>
            <w:r>
              <w:rPr>
                <w:rFonts w:hint="eastAsia" w:ascii="宋体" w:hAnsi="宋体" w:cs="宋体"/>
              </w:rPr>
              <w:t>，</w:t>
            </w:r>
            <w:r>
              <w:rPr>
                <w:rFonts w:ascii="宋体" w:hAnsi="宋体" w:cs="宋体"/>
              </w:rPr>
              <w:t>一季度产量完成序时进度</w:t>
            </w:r>
            <w:r>
              <w:rPr>
                <w:rFonts w:hint="eastAsia" w:ascii="宋体" w:hAnsi="宋体" w:cs="宋体"/>
              </w:rPr>
              <w:t>；</w:t>
            </w:r>
          </w:p>
          <w:p w14:paraId="22821363">
            <w:pPr>
              <w:pStyle w:val="28"/>
              <w:numPr>
                <w:ilvl w:val="0"/>
                <w:numId w:val="1"/>
              </w:numPr>
              <w:spacing w:after="0" w:line="360" w:lineRule="auto"/>
              <w:ind w:firstLineChars="0"/>
              <w:jc w:val="left"/>
              <w:rPr>
                <w:rFonts w:hint="eastAsia" w:ascii="宋体" w:hAnsi="宋体" w:cs="宋体"/>
              </w:rPr>
            </w:pPr>
            <w:r>
              <w:rPr>
                <w:rFonts w:ascii="宋体" w:hAnsi="宋体" w:cs="宋体"/>
              </w:rPr>
              <w:t>受结算机制影响，</w:t>
            </w:r>
            <w:r>
              <w:rPr>
                <w:rFonts w:hint="eastAsia" w:ascii="宋体" w:hAnsi="宋体" w:cs="宋体"/>
              </w:rPr>
              <w:t>近期高油价对</w:t>
            </w:r>
            <w:r>
              <w:rPr>
                <w:rFonts w:ascii="宋体" w:hAnsi="宋体" w:cs="宋体"/>
              </w:rPr>
              <w:t>阿曼项目的</w:t>
            </w:r>
            <w:r>
              <w:rPr>
                <w:rFonts w:hint="eastAsia" w:ascii="宋体" w:hAnsi="宋体" w:cs="宋体"/>
              </w:rPr>
              <w:t>影响</w:t>
            </w:r>
            <w:r>
              <w:rPr>
                <w:rFonts w:ascii="宋体" w:hAnsi="宋体" w:cs="宋体"/>
              </w:rPr>
              <w:t>将延迟</w:t>
            </w:r>
            <w:r>
              <w:rPr>
                <w:rFonts w:hint="eastAsia" w:ascii="宋体" w:hAnsi="宋体" w:cs="宋体"/>
              </w:rPr>
              <w:t>体现。</w:t>
            </w:r>
          </w:p>
          <w:p w14:paraId="732E8DF6">
            <w:pPr>
              <w:spacing w:after="0" w:line="432" w:lineRule="auto"/>
              <w:rPr>
                <w:rFonts w:hint="eastAsia" w:ascii="宋体" w:hAnsi="宋体"/>
                <w:sz w:val="24"/>
                <w:szCs w:val="28"/>
              </w:rPr>
            </w:pPr>
            <w:r>
              <w:rPr>
                <w:rFonts w:hint="eastAsia"/>
                <w:b/>
                <w:bCs/>
              </w:rPr>
              <w:t>（二）财务情况</w:t>
            </w:r>
          </w:p>
          <w:p w14:paraId="5C08FDC4">
            <w:pPr>
              <w:spacing w:after="0" w:line="432" w:lineRule="auto"/>
              <w:jc w:val="left"/>
              <w:rPr>
                <w:rFonts w:hint="eastAsia" w:ascii="宋体" w:hAnsi="宋体" w:cs="宋体"/>
              </w:rPr>
            </w:pPr>
            <w:r>
              <w:rPr>
                <w:rFonts w:ascii="宋体" w:hAnsi="宋体" w:cs="宋体"/>
              </w:rPr>
              <w:t>2026年一季度</w:t>
            </w:r>
            <w:r>
              <w:rPr>
                <w:rFonts w:hint="eastAsia" w:ascii="宋体" w:hAnsi="宋体" w:cs="宋体"/>
              </w:rPr>
              <w:t>，公司实现营业收入</w:t>
            </w:r>
            <w:r>
              <w:rPr>
                <w:rFonts w:ascii="宋体" w:hAnsi="宋体" w:cs="宋体"/>
              </w:rPr>
              <w:t xml:space="preserve"> 11.93 亿元，同比微增 0.28%，受北一采区转段、托管等影响，铁矿石采选板块业绩承压，但油气业务稳健</w:t>
            </w:r>
            <w:r>
              <w:rPr>
                <w:rFonts w:hint="eastAsia" w:ascii="宋体" w:hAnsi="宋体" w:cs="宋体"/>
              </w:rPr>
              <w:t>向好</w:t>
            </w:r>
            <w:r>
              <w:rPr>
                <w:rFonts w:ascii="宋体" w:hAnsi="宋体" w:cs="宋体"/>
              </w:rPr>
              <w:t>、锂资源产品销售效益释放</w:t>
            </w:r>
            <w:r>
              <w:rPr>
                <w:rFonts w:hint="eastAsia" w:ascii="宋体" w:hAnsi="宋体" w:cs="宋体"/>
              </w:rPr>
              <w:t>。公司在收入规模基本持平情况下，</w:t>
            </w:r>
            <w:r>
              <w:rPr>
                <w:rFonts w:ascii="宋体" w:hAnsi="宋体" w:cs="宋体"/>
              </w:rPr>
              <w:t>盈利跨越式增长，</w:t>
            </w:r>
            <w:r>
              <w:rPr>
                <w:rFonts w:hint="eastAsia" w:ascii="宋体" w:hAnsi="宋体" w:cs="宋体"/>
              </w:rPr>
              <w:t>实现</w:t>
            </w:r>
            <w:r>
              <w:rPr>
                <w:rFonts w:ascii="宋体" w:hAnsi="宋体" w:cs="宋体"/>
              </w:rPr>
              <w:t>归母净利润 2.01 亿元，同比增</w:t>
            </w:r>
            <w:r>
              <w:rPr>
                <w:rFonts w:hint="eastAsia" w:ascii="宋体" w:hAnsi="宋体" w:cs="宋体"/>
              </w:rPr>
              <w:t>长</w:t>
            </w:r>
            <w:r>
              <w:rPr>
                <w:rFonts w:ascii="宋体" w:hAnsi="宋体" w:cs="宋体"/>
              </w:rPr>
              <w:t xml:space="preserve"> 25.13%，扣非归母净利润 1.94 亿元，同比增 25.03%，盈利增速跑赢收入增速。</w:t>
            </w:r>
          </w:p>
          <w:p w14:paraId="5FFC3B84">
            <w:pPr>
              <w:spacing w:after="0" w:line="432" w:lineRule="auto"/>
              <w:jc w:val="left"/>
              <w:rPr>
                <w:rFonts w:hint="eastAsia" w:ascii="宋体" w:hAnsi="宋体" w:cs="宋体"/>
              </w:rPr>
            </w:pPr>
            <w:r>
              <w:rPr>
                <w:rFonts w:hint="eastAsia" w:ascii="宋体" w:hAnsi="宋体" w:cs="宋体"/>
              </w:rPr>
              <w:t>从环比情况来看，公司营业收入由</w:t>
            </w:r>
            <w:r>
              <w:rPr>
                <w:rFonts w:ascii="宋体" w:hAnsi="宋体" w:cs="宋体"/>
              </w:rPr>
              <w:t>2025年四季度 10.56 亿元提升至11.93亿元，环比增</w:t>
            </w:r>
            <w:r>
              <w:rPr>
                <w:rFonts w:hint="eastAsia" w:ascii="宋体" w:hAnsi="宋体" w:cs="宋体"/>
              </w:rPr>
              <w:t>长</w:t>
            </w:r>
            <w:r>
              <w:rPr>
                <w:rFonts w:ascii="宋体" w:hAnsi="宋体" w:cs="宋体"/>
              </w:rPr>
              <w:t xml:space="preserve"> 12.92%；归母净利润由 1.19 亿元增至 2.01 亿元，环比增幅 69.06%；扣非归母净利润由 1.15 亿元提升至 1.94 亿元，环比增幅 68.84%，业绩改善得益于锂盐产品销量提升与锂资源价格上行。整体一季度收入稳定，利润显著增长，盈利与经营质量提升。</w:t>
            </w:r>
          </w:p>
          <w:p w14:paraId="6A8425B2">
            <w:pPr>
              <w:spacing w:after="0" w:line="432" w:lineRule="auto"/>
              <w:jc w:val="left"/>
              <w:rPr>
                <w:b/>
                <w:bCs/>
              </w:rPr>
            </w:pPr>
            <w:r>
              <w:rPr>
                <w:rFonts w:hint="eastAsia"/>
                <w:b/>
                <w:bCs/>
              </w:rPr>
              <w:t>（三）</w:t>
            </w:r>
            <w:r>
              <w:rPr>
                <w:b/>
                <w:bCs/>
              </w:rPr>
              <w:t>经营情况</w:t>
            </w:r>
          </w:p>
          <w:p w14:paraId="6AA70955">
            <w:pPr>
              <w:spacing w:after="0" w:line="432" w:lineRule="auto"/>
              <w:jc w:val="left"/>
              <w:rPr>
                <w:rFonts w:hint="eastAsia" w:ascii="宋体" w:hAnsi="宋体"/>
                <w:szCs w:val="21"/>
              </w:rPr>
            </w:pPr>
            <w:r>
              <w:rPr>
                <w:b/>
                <w:bCs/>
                <w:szCs w:val="21"/>
              </w:rPr>
              <w:t>铁矿石业务：</w:t>
            </w:r>
            <w:r>
              <w:rPr>
                <w:rFonts w:ascii="宋体" w:hAnsi="宋体" w:cs="宋体"/>
                <w:szCs w:val="21"/>
              </w:rPr>
              <w:t>受北一采区转段、托管</w:t>
            </w:r>
            <w:r>
              <w:rPr>
                <w:rFonts w:hint="eastAsia" w:ascii="宋体" w:hAnsi="宋体" w:cs="宋体"/>
                <w:szCs w:val="21"/>
              </w:rPr>
              <w:t>等</w:t>
            </w:r>
            <w:r>
              <w:rPr>
                <w:rFonts w:ascii="宋体" w:hAnsi="宋体" w:cs="宋体"/>
                <w:szCs w:val="21"/>
              </w:rPr>
              <w:t>阶段性因素影响，一季度成品矿产量 42.94 万吨</w:t>
            </w:r>
            <w:r>
              <w:rPr>
                <w:rFonts w:hint="eastAsia" w:ascii="宋体" w:hAnsi="宋体" w:cs="宋体"/>
                <w:szCs w:val="21"/>
              </w:rPr>
              <w:t>，</w:t>
            </w:r>
            <w:r>
              <w:rPr>
                <w:rFonts w:ascii="宋体" w:hAnsi="宋体" w:cs="宋体"/>
                <w:szCs w:val="21"/>
              </w:rPr>
              <w:t>同比下降 34.22%，销量 39.86 万吨</w:t>
            </w:r>
            <w:r>
              <w:rPr>
                <w:rFonts w:hint="eastAsia" w:ascii="宋体" w:hAnsi="宋体" w:cs="宋体"/>
                <w:szCs w:val="21"/>
              </w:rPr>
              <w:t>，</w:t>
            </w:r>
            <w:r>
              <w:rPr>
                <w:rFonts w:ascii="宋体" w:hAnsi="宋体" w:cs="宋体"/>
                <w:szCs w:val="21"/>
              </w:rPr>
              <w:t>同比下降 36.56%。</w:t>
            </w:r>
            <w:r>
              <w:rPr>
                <w:rFonts w:hint="eastAsia" w:ascii="宋体" w:hAnsi="宋体" w:cs="宋体"/>
                <w:szCs w:val="21"/>
              </w:rPr>
              <w:t>公司</w:t>
            </w:r>
            <w:r>
              <w:rPr>
                <w:rFonts w:ascii="宋体" w:hAnsi="宋体" w:cs="宋体"/>
                <w:szCs w:val="21"/>
              </w:rPr>
              <w:t>后续将优化采选效率，推进低成本运营</w:t>
            </w:r>
            <w:r>
              <w:rPr>
                <w:rFonts w:hint="eastAsia" w:ascii="宋体" w:hAnsi="宋体" w:cs="宋体"/>
                <w:szCs w:val="21"/>
              </w:rPr>
              <w:t>，</w:t>
            </w:r>
            <w:r>
              <w:rPr>
                <w:rFonts w:ascii="宋体" w:hAnsi="宋体" w:cs="宋体"/>
                <w:szCs w:val="21"/>
              </w:rPr>
              <w:t>进一步巩固铁矿石业务的基本盘。</w:t>
            </w:r>
          </w:p>
          <w:p w14:paraId="251E02C2">
            <w:pPr>
              <w:spacing w:after="0" w:line="432" w:lineRule="auto"/>
              <w:rPr>
                <w:rFonts w:hint="eastAsia" w:ascii="宋体" w:hAnsi="宋体" w:cs="宋体"/>
                <w:szCs w:val="21"/>
              </w:rPr>
            </w:pPr>
            <w:r>
              <w:rPr>
                <w:b/>
                <w:bCs/>
                <w:szCs w:val="21"/>
              </w:rPr>
              <w:t>油气业务：</w:t>
            </w:r>
            <w:r>
              <w:rPr>
                <w:rFonts w:ascii="宋体" w:hAnsi="宋体" w:cs="宋体"/>
                <w:szCs w:val="21"/>
              </w:rPr>
              <w:t>一季度油气权益产量 318.65 万桶当量</w:t>
            </w:r>
            <w:r>
              <w:rPr>
                <w:rFonts w:hint="eastAsia" w:ascii="宋体" w:hAnsi="宋体" w:cs="宋体"/>
                <w:szCs w:val="21"/>
              </w:rPr>
              <w:t>，</w:t>
            </w:r>
            <w:r>
              <w:rPr>
                <w:rFonts w:ascii="宋体" w:hAnsi="宋体" w:cs="宋体"/>
                <w:szCs w:val="21"/>
              </w:rPr>
              <w:t>同比上升 15.78%</w:t>
            </w:r>
            <w:r>
              <w:rPr>
                <w:rFonts w:hint="eastAsia" w:ascii="宋体" w:hAnsi="宋体" w:cs="宋体"/>
                <w:szCs w:val="21"/>
              </w:rPr>
              <w:t>，</w:t>
            </w:r>
            <w:r>
              <w:rPr>
                <w:rFonts w:ascii="宋体" w:hAnsi="宋体" w:cs="宋体"/>
                <w:szCs w:val="21"/>
              </w:rPr>
              <w:t>净权益产量 193.00 万桶当量</w:t>
            </w:r>
            <w:r>
              <w:rPr>
                <w:rFonts w:hint="eastAsia" w:ascii="宋体" w:hAnsi="宋体" w:cs="宋体"/>
                <w:szCs w:val="21"/>
              </w:rPr>
              <w:t>，</w:t>
            </w:r>
            <w:r>
              <w:rPr>
                <w:rFonts w:ascii="宋体" w:hAnsi="宋体" w:cs="宋体"/>
                <w:szCs w:val="21"/>
              </w:rPr>
              <w:t>同比下降 2.08%</w:t>
            </w:r>
            <w:r>
              <w:rPr>
                <w:rFonts w:hint="eastAsia" w:ascii="宋体" w:hAnsi="宋体" w:cs="宋体"/>
                <w:szCs w:val="21"/>
              </w:rPr>
              <w:t>，其中，</w:t>
            </w:r>
            <w:r>
              <w:rPr>
                <w:rFonts w:ascii="宋体" w:hAnsi="宋体" w:cs="宋体"/>
                <w:szCs w:val="21"/>
              </w:rPr>
              <w:t>原油</w:t>
            </w:r>
            <w:r>
              <w:rPr>
                <w:rFonts w:hint="eastAsia" w:ascii="宋体" w:hAnsi="宋体" w:cs="宋体"/>
                <w:szCs w:val="21"/>
              </w:rPr>
              <w:t>69万桶当量，同比上升</w:t>
            </w:r>
            <w:r>
              <w:rPr>
                <w:rFonts w:ascii="宋体" w:hAnsi="宋体" w:cs="宋体"/>
                <w:szCs w:val="21"/>
              </w:rPr>
              <w:t>11.52%</w:t>
            </w:r>
            <w:r>
              <w:rPr>
                <w:rFonts w:hint="eastAsia" w:ascii="宋体" w:hAnsi="宋体" w:cs="宋体"/>
                <w:szCs w:val="21"/>
              </w:rPr>
              <w:t>，天然气</w:t>
            </w:r>
            <w:r>
              <w:rPr>
                <w:rFonts w:ascii="宋体" w:hAnsi="宋体" w:cs="宋体"/>
                <w:szCs w:val="21"/>
              </w:rPr>
              <w:t>124.00</w:t>
            </w:r>
            <w:r>
              <w:rPr>
                <w:rFonts w:hint="eastAsia" w:ascii="宋体" w:hAnsi="宋体" w:cs="宋体"/>
                <w:szCs w:val="21"/>
              </w:rPr>
              <w:t>万桶当量，同比下降</w:t>
            </w:r>
            <w:r>
              <w:rPr>
                <w:rFonts w:ascii="宋体" w:hAnsi="宋体" w:cs="宋体"/>
                <w:szCs w:val="21"/>
              </w:rPr>
              <w:t>8.30</w:t>
            </w:r>
            <w:r>
              <w:rPr>
                <w:rFonts w:hint="eastAsia" w:ascii="宋体" w:hAnsi="宋体" w:cs="宋体"/>
                <w:szCs w:val="21"/>
              </w:rPr>
              <w:t>%（受八角场气田合同分成比例下降影响）</w:t>
            </w:r>
            <w:r>
              <w:rPr>
                <w:rFonts w:ascii="宋体" w:hAnsi="宋体" w:cs="宋体"/>
                <w:szCs w:val="21"/>
              </w:rPr>
              <w:t>。</w:t>
            </w:r>
            <w:r>
              <w:rPr>
                <w:rFonts w:hint="eastAsia" w:ascii="宋体" w:hAnsi="宋体" w:cs="宋体"/>
                <w:szCs w:val="21"/>
              </w:rPr>
              <w:t>公司</w:t>
            </w:r>
            <w:r>
              <w:rPr>
                <w:rFonts w:ascii="宋体" w:hAnsi="宋体" w:cs="宋体"/>
                <w:szCs w:val="21"/>
              </w:rPr>
              <w:t>后续将推进重点项目建设及海外项目运营优化，保障油气产量稳定释放。</w:t>
            </w:r>
          </w:p>
          <w:p w14:paraId="0B5C9024">
            <w:pPr>
              <w:widowControl/>
              <w:shd w:val="clear" w:color="auto" w:fill="FFFFFF"/>
              <w:spacing w:after="0" w:line="432" w:lineRule="auto"/>
              <w:jc w:val="left"/>
              <w:rPr>
                <w:szCs w:val="21"/>
              </w:rPr>
            </w:pPr>
            <w:r>
              <w:rPr>
                <w:b/>
                <w:bCs/>
                <w:szCs w:val="21"/>
              </w:rPr>
              <w:t>锂资源业务：</w:t>
            </w:r>
            <w:r>
              <w:rPr>
                <w:szCs w:val="21"/>
              </w:rPr>
              <w:t>一季度锂精矿产量2.70万吨，氢氧化锂产量0.35万吨，销量0.23万吨。随着后续产能持续爬坡，锂业务将逐步贡献更多业绩增量，成为公司未来增长的重要引擎之一</w:t>
            </w:r>
            <w:r>
              <w:rPr>
                <w:rFonts w:hint="eastAsia"/>
                <w:szCs w:val="21"/>
              </w:rPr>
              <w:t>。</w:t>
            </w:r>
          </w:p>
          <w:p w14:paraId="79126960">
            <w:pPr>
              <w:spacing w:after="0" w:line="432" w:lineRule="auto"/>
              <w:jc w:val="left"/>
              <w:rPr>
                <w:b/>
                <w:bCs/>
              </w:rPr>
            </w:pPr>
            <w:r>
              <w:rPr>
                <w:rFonts w:hint="eastAsia"/>
                <w:b/>
                <w:bCs/>
              </w:rPr>
              <w:t>（四）未来展望</w:t>
            </w:r>
          </w:p>
          <w:p w14:paraId="52617FD6">
            <w:pPr>
              <w:widowControl/>
              <w:shd w:val="clear" w:color="auto" w:fill="FFFFFF"/>
              <w:spacing w:after="0" w:line="432" w:lineRule="auto"/>
              <w:jc w:val="left"/>
            </w:pPr>
            <w:r>
              <w:rPr>
                <w:rFonts w:hint="eastAsia"/>
              </w:rPr>
              <w:t>2026年，</w:t>
            </w:r>
            <w:r>
              <w:t>公司将继续聚焦大宗商品主业，围绕铁矿石、油气、锂资源三大核心赛道，持续提升运营效率，保障核心产能释放，同时加快锂业务产能爬坡，释放增长潜力，保障全年经营稳定性，实现公司长期稳健发展</w:t>
            </w:r>
            <w:r>
              <w:rPr>
                <w:rFonts w:hint="eastAsia"/>
              </w:rPr>
              <w:t>。</w:t>
            </w:r>
          </w:p>
          <w:p w14:paraId="0172073E">
            <w:pPr>
              <w:spacing w:line="276" w:lineRule="auto"/>
              <w:jc w:val="left"/>
            </w:pPr>
          </w:p>
          <w:p w14:paraId="0E8C887A">
            <w:pPr>
              <w:spacing w:line="360" w:lineRule="auto"/>
              <w:jc w:val="left"/>
              <w:rPr>
                <w:rFonts w:hint="eastAsia" w:ascii="宋体" w:hAnsi="宋体" w:cs="宋体"/>
                <w:b/>
                <w:bCs/>
              </w:rPr>
            </w:pPr>
            <w:r>
              <w:rPr>
                <w:rFonts w:hint="eastAsia" w:ascii="宋体" w:hAnsi="宋体" w:cs="宋体"/>
                <w:b/>
                <w:bCs/>
              </w:rPr>
              <w:t>二、交流的主要问题与回复：</w:t>
            </w:r>
          </w:p>
          <w:p w14:paraId="405C7794">
            <w:pPr>
              <w:pStyle w:val="28"/>
              <w:numPr>
                <w:ilvl w:val="0"/>
                <w:numId w:val="2"/>
              </w:numPr>
              <w:spacing w:line="360" w:lineRule="auto"/>
              <w:ind w:firstLineChars="0"/>
              <w:jc w:val="left"/>
              <w:rPr>
                <w:rFonts w:hint="eastAsia" w:ascii="宋体" w:hAnsi="宋体" w:cs="宋体"/>
              </w:rPr>
            </w:pPr>
            <w:r>
              <w:rPr>
                <w:rFonts w:ascii="宋体" w:hAnsi="宋体" w:cs="宋体"/>
                <w:b/>
                <w:bCs/>
              </w:rPr>
              <w:t>马里布谷尼锂矿一季度生产情况及二期进展和规划</w:t>
            </w:r>
            <w:r>
              <w:rPr>
                <w:rFonts w:hint="eastAsia" w:ascii="宋体" w:hAnsi="宋体" w:cs="宋体"/>
                <w:b/>
                <w:bCs/>
                <w:lang w:val="en-US" w:eastAsia="zh-CN"/>
              </w:rPr>
              <w:t>如何？</w:t>
            </w:r>
          </w:p>
          <w:p w14:paraId="36644424">
            <w:pPr>
              <w:spacing w:line="360" w:lineRule="auto"/>
              <w:ind w:firstLine="420" w:firstLineChars="200"/>
              <w:jc w:val="left"/>
              <w:rPr>
                <w:rFonts w:hint="eastAsia" w:ascii="宋体" w:hAnsi="宋体" w:cs="宋体"/>
              </w:rPr>
            </w:pPr>
            <w:r>
              <w:rPr>
                <w:rFonts w:hint="eastAsia" w:ascii="宋体" w:hAnsi="宋体" w:cs="宋体"/>
              </w:rPr>
              <w:t>一季度，布谷尼锂矿的锂精矿产量为2.7万吨，全年锂精矿产量目标约12万吨，序时进度正常。公司已启动布谷尼锂矿二期可研工作，正在推进矿块模型、征地测量及环评报告更新工作，目标是争取今年年底前完成可研及相关合规手续办理工作并于2027年初动工。正常情况下建设期约一年，有望在2027年底或2028年初投产。根据现有可研方案，二期锂精矿产能规划可达15-30万吨/年</w:t>
            </w:r>
            <w:r>
              <w:rPr>
                <w:rFonts w:ascii="宋体" w:hAnsi="宋体" w:cs="宋体"/>
              </w:rPr>
              <w:t>。</w:t>
            </w:r>
          </w:p>
          <w:p w14:paraId="3F96F34B">
            <w:pPr>
              <w:pStyle w:val="14"/>
              <w:numPr>
                <w:ilvl w:val="0"/>
                <w:numId w:val="2"/>
              </w:numPr>
              <w:spacing w:line="360" w:lineRule="auto"/>
              <w:ind w:firstLineChars="0"/>
              <w:jc w:val="left"/>
              <w:rPr>
                <w:rFonts w:hint="eastAsia" w:ascii="宋体" w:hAnsi="宋体" w:cs="宋体"/>
                <w:b/>
                <w:bCs/>
              </w:rPr>
            </w:pPr>
            <w:r>
              <w:rPr>
                <w:rFonts w:ascii="宋体" w:hAnsi="宋体" w:cs="宋体"/>
                <w:b/>
                <w:bCs/>
              </w:rPr>
              <w:t>马里近期局势对公司的经营规划是否有影响？</w:t>
            </w:r>
          </w:p>
          <w:p w14:paraId="3CB912CF">
            <w:pPr>
              <w:spacing w:line="360" w:lineRule="auto"/>
              <w:ind w:firstLine="420" w:firstLineChars="200"/>
              <w:jc w:val="left"/>
              <w:rPr>
                <w:rFonts w:hint="eastAsia" w:ascii="宋体" w:hAnsi="宋体" w:cs="宋体"/>
              </w:rPr>
            </w:pPr>
            <w:r>
              <w:rPr>
                <w:rFonts w:hint="eastAsia" w:ascii="宋体" w:hAnsi="宋体" w:cs="宋体"/>
              </w:rPr>
              <w:t>公司已关注到马里近期的安全局势变化。根据从现场反馈的最新情况，目前公司正持续将锂精矿运输至港口，为向海南进行的第四批发运做准备，运输暂未受到道路封堵的影响。现阶段，马里局势尚未对公司布谷尼锂矿生产运营及锂精矿运输带来实质性影响。</w:t>
            </w:r>
          </w:p>
          <w:p w14:paraId="3065D7D7">
            <w:pPr>
              <w:spacing w:line="360" w:lineRule="auto"/>
              <w:ind w:firstLine="420" w:firstLineChars="200"/>
              <w:jc w:val="left"/>
              <w:rPr>
                <w:rFonts w:hint="eastAsia" w:ascii="宋体" w:hAnsi="宋体" w:cs="宋体"/>
              </w:rPr>
            </w:pPr>
            <w:r>
              <w:rPr>
                <w:rFonts w:hint="eastAsia" w:ascii="宋体" w:hAnsi="宋体" w:cs="宋体"/>
              </w:rPr>
              <w:t>公司将持续与当地主管部门、马里政府及中国驻马里大使馆保持密切联系，跟踪当地局势及外运通道情况，动态评估潜在风险。同时，强化矿区安保、加强应急响应措施，始终将员工人身安全放在首位</w:t>
            </w:r>
            <w:r>
              <w:rPr>
                <w:rFonts w:ascii="宋体" w:hAnsi="宋体" w:cs="宋体"/>
              </w:rPr>
              <w:t>。</w:t>
            </w:r>
          </w:p>
          <w:p w14:paraId="4E162334">
            <w:pPr>
              <w:pStyle w:val="14"/>
              <w:numPr>
                <w:ilvl w:val="0"/>
                <w:numId w:val="2"/>
              </w:numPr>
              <w:spacing w:line="360" w:lineRule="auto"/>
              <w:ind w:firstLineChars="0"/>
              <w:jc w:val="left"/>
              <w:rPr>
                <w:rFonts w:hint="eastAsia" w:ascii="宋体" w:hAnsi="宋体" w:cs="宋体"/>
                <w:b/>
                <w:bCs/>
              </w:rPr>
            </w:pPr>
            <w:r>
              <w:rPr>
                <w:rFonts w:ascii="宋体" w:hAnsi="宋体" w:cs="宋体"/>
                <w:b/>
                <w:bCs/>
              </w:rPr>
              <w:t>公司2026-2027年锂盐产量的具体目标是多少？对远期锂盐总产能的规划是怎样的？</w:t>
            </w:r>
          </w:p>
          <w:p w14:paraId="42516266">
            <w:pPr>
              <w:spacing w:line="360" w:lineRule="auto"/>
              <w:ind w:firstLine="420" w:firstLineChars="200"/>
              <w:jc w:val="left"/>
              <w:rPr>
                <w:rFonts w:hint="eastAsia" w:ascii="宋体" w:hAnsi="宋体" w:cs="宋体"/>
              </w:rPr>
            </w:pPr>
            <w:r>
              <w:rPr>
                <w:rFonts w:hint="eastAsia" w:ascii="宋体" w:hAnsi="宋体" w:cs="宋体"/>
              </w:rPr>
              <w:t>今年锂盐产量目标为1.6万吨（氢氧化锂或碳酸锂），明年达产后锂盐产量目标为2万吨，最高可至2.2万吨锂盐产能。远期来看，上游马里布谷尼锂矿二期投产后预计可支撑下游锂盐加工端约3万吨扩产规划，公司锂盐总产能有望进一步扩展至5万吨/年。</w:t>
            </w:r>
          </w:p>
          <w:p w14:paraId="4738BB18">
            <w:pPr>
              <w:pStyle w:val="14"/>
              <w:numPr>
                <w:ilvl w:val="0"/>
                <w:numId w:val="2"/>
              </w:numPr>
              <w:spacing w:line="360" w:lineRule="auto"/>
              <w:ind w:firstLineChars="0"/>
              <w:jc w:val="left"/>
              <w:rPr>
                <w:rFonts w:hint="eastAsia" w:ascii="宋体" w:hAnsi="宋体" w:cs="宋体"/>
                <w:b/>
                <w:bCs/>
              </w:rPr>
            </w:pPr>
            <w:r>
              <w:rPr>
                <w:rFonts w:hint="eastAsia" w:ascii="宋体" w:hAnsi="宋体" w:cs="宋体"/>
                <w:b/>
                <w:bCs/>
              </w:rPr>
              <w:t>目前锂盐一体化成本大概是多少？</w:t>
            </w:r>
          </w:p>
          <w:p w14:paraId="666E71F7">
            <w:pPr>
              <w:spacing w:line="360" w:lineRule="auto"/>
              <w:ind w:firstLine="420" w:firstLineChars="200"/>
              <w:jc w:val="left"/>
              <w:rPr>
                <w:rFonts w:hint="eastAsia" w:ascii="宋体" w:hAnsi="宋体" w:cs="宋体"/>
              </w:rPr>
            </w:pPr>
            <w:r>
              <w:rPr>
                <w:rFonts w:hint="eastAsia" w:ascii="宋体" w:hAnsi="宋体" w:cs="宋体"/>
              </w:rPr>
              <w:t>当前氢氧化锂一体化全成本约8万元/吨（不考虑上下游公司独立核算因素），其中锂精矿成本占比70%-80%，加工成本超过2万元/吨。随着产能爬坡和产线不断调试优化，公司有信心将加工成本控制在2万元/吨以内。</w:t>
            </w:r>
          </w:p>
          <w:p w14:paraId="3617004D">
            <w:pPr>
              <w:pStyle w:val="14"/>
              <w:numPr>
                <w:ilvl w:val="0"/>
                <w:numId w:val="2"/>
              </w:numPr>
              <w:spacing w:line="360" w:lineRule="auto"/>
              <w:ind w:firstLineChars="0"/>
              <w:jc w:val="left"/>
              <w:rPr>
                <w:rFonts w:hint="eastAsia" w:ascii="宋体" w:hAnsi="宋体" w:cs="宋体"/>
                <w:b/>
                <w:bCs/>
              </w:rPr>
            </w:pPr>
            <w:r>
              <w:rPr>
                <w:rFonts w:hint="eastAsia" w:ascii="宋体" w:hAnsi="宋体" w:cs="宋体"/>
                <w:b/>
                <w:bCs/>
              </w:rPr>
              <w:t>公司一季报存货大幅增加的原因是什么？</w:t>
            </w:r>
          </w:p>
          <w:p w14:paraId="2B734F35">
            <w:pPr>
              <w:spacing w:line="360" w:lineRule="auto"/>
              <w:ind w:firstLine="420" w:firstLineChars="200"/>
              <w:jc w:val="left"/>
              <w:rPr>
                <w:rFonts w:hint="eastAsia" w:ascii="宋体" w:hAnsi="宋体" w:cs="宋体"/>
              </w:rPr>
            </w:pPr>
            <w:r>
              <w:rPr>
                <w:rFonts w:hint="eastAsia" w:ascii="宋体" w:hAnsi="宋体" w:cs="宋体"/>
              </w:rPr>
              <w:t>公司一季度末存货较去年末增长56.45%，主要来自锂资源板块，包括锂精矿和氢氧化锂产成品存货约2.5亿元；另外，大宗贸易板块贸易矿存货约1.6亿元。</w:t>
            </w:r>
          </w:p>
        </w:tc>
      </w:tr>
      <w:tr w14:paraId="49EA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Borders>
              <w:top w:val="single" w:color="auto" w:sz="4" w:space="0"/>
              <w:left w:val="single" w:color="auto" w:sz="4" w:space="0"/>
              <w:bottom w:val="single" w:color="auto" w:sz="4" w:space="0"/>
              <w:right w:val="single" w:color="auto" w:sz="4" w:space="0"/>
            </w:tcBorders>
            <w:vAlign w:val="center"/>
          </w:tcPr>
          <w:p w14:paraId="36AABB41">
            <w:pPr>
              <w:spacing w:before="93" w:beforeLines="30" w:after="93" w:afterLines="30" w:line="380" w:lineRule="exact"/>
              <w:jc w:val="center"/>
              <w:rPr>
                <w:rFonts w:hint="eastAsia" w:ascii="宋体" w:hAnsi="宋体"/>
                <w:bCs/>
                <w:iCs/>
                <w:color w:val="000000"/>
                <w:sz w:val="24"/>
              </w:rPr>
            </w:pPr>
            <w:r>
              <w:rPr>
                <w:rFonts w:hint="eastAsia" w:ascii="宋体" w:hAnsi="宋体"/>
                <w:bCs/>
                <w:iCs/>
                <w:color w:val="000000"/>
                <w:sz w:val="24"/>
              </w:rPr>
              <w:t>附件清单（如有）</w:t>
            </w:r>
          </w:p>
        </w:tc>
        <w:tc>
          <w:tcPr>
            <w:tcW w:w="4337" w:type="pct"/>
            <w:tcBorders>
              <w:top w:val="single" w:color="auto" w:sz="4" w:space="0"/>
              <w:left w:val="single" w:color="auto" w:sz="4" w:space="0"/>
              <w:bottom w:val="single" w:color="auto" w:sz="4" w:space="0"/>
              <w:right w:val="single" w:color="auto" w:sz="4" w:space="0"/>
            </w:tcBorders>
            <w:vAlign w:val="center"/>
          </w:tcPr>
          <w:p w14:paraId="4EDE86E7">
            <w:pPr>
              <w:spacing w:before="93" w:beforeLines="30" w:after="93" w:afterLines="30" w:line="360" w:lineRule="auto"/>
              <w:rPr>
                <w:rFonts w:hint="eastAsia" w:ascii="宋体" w:hAnsi="宋体"/>
                <w:bCs/>
                <w:iCs/>
                <w:color w:val="000000"/>
                <w:sz w:val="24"/>
              </w:rPr>
            </w:pPr>
            <w:r>
              <w:rPr>
                <w:rFonts w:hint="eastAsia"/>
                <w:sz w:val="24"/>
              </w:rPr>
              <w:t>无</w:t>
            </w:r>
          </w:p>
        </w:tc>
      </w:tr>
      <w:tr w14:paraId="10E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Borders>
              <w:top w:val="single" w:color="auto" w:sz="4" w:space="0"/>
              <w:left w:val="single" w:color="auto" w:sz="4" w:space="0"/>
              <w:bottom w:val="single" w:color="auto" w:sz="4" w:space="0"/>
              <w:right w:val="single" w:color="auto" w:sz="4" w:space="0"/>
            </w:tcBorders>
            <w:vAlign w:val="center"/>
          </w:tcPr>
          <w:p w14:paraId="3974B598">
            <w:pPr>
              <w:spacing w:before="93" w:beforeLines="30" w:after="93" w:afterLines="30" w:line="380" w:lineRule="exact"/>
              <w:jc w:val="center"/>
              <w:rPr>
                <w:rFonts w:hint="eastAsia" w:ascii="宋体" w:hAnsi="宋体"/>
                <w:bCs/>
                <w:iCs/>
                <w:sz w:val="24"/>
              </w:rPr>
            </w:pPr>
            <w:bookmarkStart w:id="0" w:name="_GoBack" w:colFirst="0" w:colLast="1"/>
            <w:r>
              <w:rPr>
                <w:rFonts w:hint="eastAsia" w:ascii="宋体" w:hAnsi="宋体"/>
                <w:bCs/>
                <w:iCs/>
                <w:sz w:val="24"/>
              </w:rPr>
              <w:t>填报日期</w:t>
            </w:r>
          </w:p>
        </w:tc>
        <w:tc>
          <w:tcPr>
            <w:tcW w:w="4337" w:type="pct"/>
            <w:tcBorders>
              <w:top w:val="single" w:color="auto" w:sz="4" w:space="0"/>
              <w:left w:val="single" w:color="auto" w:sz="4" w:space="0"/>
              <w:bottom w:val="single" w:color="auto" w:sz="4" w:space="0"/>
              <w:right w:val="single" w:color="auto" w:sz="4" w:space="0"/>
            </w:tcBorders>
            <w:vAlign w:val="center"/>
          </w:tcPr>
          <w:p w14:paraId="4D675984">
            <w:pPr>
              <w:spacing w:before="93" w:beforeLines="30" w:after="93" w:afterLines="30" w:line="360" w:lineRule="auto"/>
              <w:rPr>
                <w:rFonts w:hint="eastAsia" w:ascii="宋体" w:hAnsi="宋体"/>
                <w:bCs/>
                <w:iCs/>
                <w:sz w:val="24"/>
              </w:rPr>
            </w:pPr>
            <w:r>
              <w:rPr>
                <w:rFonts w:hint="eastAsia" w:ascii="宋体" w:hAnsi="宋体"/>
                <w:bCs/>
                <w:iCs/>
                <w:sz w:val="24"/>
              </w:rPr>
              <w:t>20</w:t>
            </w:r>
            <w:r>
              <w:rPr>
                <w:rFonts w:ascii="宋体" w:hAnsi="宋体"/>
                <w:bCs/>
                <w:iCs/>
                <w:sz w:val="24"/>
              </w:rPr>
              <w:t>2</w:t>
            </w:r>
            <w:r>
              <w:rPr>
                <w:rFonts w:hint="eastAsia" w:ascii="宋体" w:hAnsi="宋体"/>
                <w:bCs/>
                <w:iCs/>
                <w:sz w:val="24"/>
              </w:rPr>
              <w:t>6年</w:t>
            </w:r>
            <w:r>
              <w:rPr>
                <w:rFonts w:hint="eastAsia" w:ascii="宋体" w:hAnsi="宋体"/>
                <w:bCs/>
                <w:iCs/>
                <w:sz w:val="24"/>
                <w:lang w:val="en-US" w:eastAsia="zh-CN"/>
              </w:rPr>
              <w:t>5</w:t>
            </w:r>
            <w:r>
              <w:rPr>
                <w:rFonts w:hint="eastAsia" w:ascii="宋体" w:hAnsi="宋体"/>
                <w:bCs/>
                <w:iCs/>
                <w:sz w:val="24"/>
              </w:rPr>
              <w:t>月</w:t>
            </w:r>
            <w:r>
              <w:rPr>
                <w:rFonts w:hint="eastAsia" w:ascii="宋体" w:hAnsi="宋体"/>
                <w:bCs/>
                <w:iCs/>
                <w:sz w:val="24"/>
                <w:lang w:val="en-US" w:eastAsia="zh-CN"/>
              </w:rPr>
              <w:t>6</w:t>
            </w:r>
            <w:r>
              <w:rPr>
                <w:rFonts w:hint="eastAsia" w:ascii="宋体" w:hAnsi="宋体"/>
                <w:bCs/>
                <w:iCs/>
                <w:sz w:val="24"/>
              </w:rPr>
              <w:t>日</w:t>
            </w:r>
          </w:p>
        </w:tc>
      </w:tr>
      <w:bookmarkEnd w:id="0"/>
    </w:tbl>
    <w:p w14:paraId="483B761E">
      <w:pPr>
        <w:rPr>
          <w:rFonts w:hint="eastAsia" w:asciiTheme="majorEastAsia" w:hAnsiTheme="majorEastAsia" w:eastAsiaTheme="majorEastAsia"/>
          <w:sz w:val="24"/>
        </w:rPr>
      </w:pPr>
    </w:p>
    <w:sectPr>
      <w:headerReference r:id="rId5" w:type="default"/>
      <w:pgSz w:w="11906" w:h="16838"/>
      <w:pgMar w:top="1304" w:right="1797" w:bottom="1304" w:left="1797" w:header="284"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84B8">
    <w:pPr>
      <w:pStyle w:val="5"/>
      <w:pBdr>
        <w:bottom w:val="single" w:color="auto" w:sz="4" w:space="1"/>
      </w:pBdr>
      <w:jc w:val="both"/>
    </w:pPr>
    <w:r>
      <w:rPr>
        <w:rFonts w:hint="eastAsia"/>
      </w:rPr>
      <w:t xml:space="preserve">  </w:t>
    </w:r>
  </w:p>
  <w:p w14:paraId="0DF25F56">
    <w:pPr>
      <w:pStyle w:val="5"/>
      <w:pBdr>
        <w:bottom w:val="single" w:color="auto" w:sz="4" w:space="1"/>
      </w:pBdr>
      <w:jc w:val="both"/>
    </w:pPr>
  </w:p>
  <w:p w14:paraId="26402D93">
    <w:pPr>
      <w:pStyle w:val="5"/>
      <w:pBdr>
        <w:bottom w:val="single" w:color="auto" w:sz="4" w:space="1"/>
      </w:pBdr>
      <w:jc w:val="both"/>
    </w:pPr>
  </w:p>
  <w:p w14:paraId="0721373F">
    <w:pPr>
      <w:pStyle w:val="5"/>
      <w:pBdr>
        <w:bottom w:val="single" w:color="auto" w:sz="4" w:space="1"/>
      </w:pBdr>
      <w:jc w:val="left"/>
    </w:pPr>
  </w:p>
  <w:p w14:paraId="2051335F">
    <w:pPr>
      <w:pStyle w:val="5"/>
      <w:pBdr>
        <w:bottom w:val="single" w:color="auto" w:sz="4" w:space="1"/>
      </w:pBdr>
      <w:jc w:val="left"/>
      <w:rPr>
        <w:sz w:val="21"/>
        <w:szCs w:val="21"/>
      </w:rPr>
    </w:pPr>
    <w:r>
      <w:rPr>
        <w:rFonts w:hint="eastAsia"/>
        <w:sz w:val="21"/>
        <w:szCs w:val="21"/>
      </w:rPr>
      <w:t>证券代码：60</w:t>
    </w:r>
    <w:r>
      <w:rPr>
        <w:sz w:val="21"/>
        <w:szCs w:val="21"/>
      </w:rPr>
      <w:t>1969</w:t>
    </w:r>
    <w:r>
      <w:rPr>
        <w:rFonts w:hint="eastAsia"/>
        <w:sz w:val="21"/>
        <w:szCs w:val="21"/>
      </w:rPr>
      <w:t xml:space="preserve">     </w:t>
    </w:r>
    <w:r>
      <w:rPr>
        <w:sz w:val="21"/>
        <w:szCs w:val="21"/>
      </w:rPr>
      <w:t xml:space="preserve">                                      </w:t>
    </w:r>
    <w:r>
      <w:rPr>
        <w:rFonts w:hint="eastAsia"/>
        <w:sz w:val="21"/>
        <w:szCs w:val="21"/>
      </w:rPr>
      <w:t xml:space="preserve"> 证券简称：海南矿业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83BDC"/>
    <w:multiLevelType w:val="multilevel"/>
    <w:tmpl w:val="16683BDC"/>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1E4615"/>
    <w:multiLevelType w:val="multilevel"/>
    <w:tmpl w:val="1D1E461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1F"/>
    <w:rsid w:val="0014000B"/>
    <w:rsid w:val="00155C61"/>
    <w:rsid w:val="0017670C"/>
    <w:rsid w:val="00207584"/>
    <w:rsid w:val="002906AD"/>
    <w:rsid w:val="002A1A68"/>
    <w:rsid w:val="002C0F02"/>
    <w:rsid w:val="002D444C"/>
    <w:rsid w:val="00414CFB"/>
    <w:rsid w:val="004975EA"/>
    <w:rsid w:val="00516CA1"/>
    <w:rsid w:val="005352D0"/>
    <w:rsid w:val="00540BA8"/>
    <w:rsid w:val="00556943"/>
    <w:rsid w:val="005853C0"/>
    <w:rsid w:val="005E5BA3"/>
    <w:rsid w:val="00620B28"/>
    <w:rsid w:val="00646351"/>
    <w:rsid w:val="006805D2"/>
    <w:rsid w:val="006A1381"/>
    <w:rsid w:val="006B7634"/>
    <w:rsid w:val="0071178C"/>
    <w:rsid w:val="00714079"/>
    <w:rsid w:val="00714575"/>
    <w:rsid w:val="0073631D"/>
    <w:rsid w:val="007431F8"/>
    <w:rsid w:val="00756669"/>
    <w:rsid w:val="00763B6C"/>
    <w:rsid w:val="00773C72"/>
    <w:rsid w:val="00830488"/>
    <w:rsid w:val="00830D67"/>
    <w:rsid w:val="00864351"/>
    <w:rsid w:val="008B231A"/>
    <w:rsid w:val="008C102E"/>
    <w:rsid w:val="00966020"/>
    <w:rsid w:val="0099221F"/>
    <w:rsid w:val="009C5B99"/>
    <w:rsid w:val="009E7E59"/>
    <w:rsid w:val="00A2138F"/>
    <w:rsid w:val="00A92F8B"/>
    <w:rsid w:val="00B67F83"/>
    <w:rsid w:val="00C14C33"/>
    <w:rsid w:val="00C2092A"/>
    <w:rsid w:val="00CC6564"/>
    <w:rsid w:val="00D86417"/>
    <w:rsid w:val="00DD1BB9"/>
    <w:rsid w:val="00EB3025"/>
    <w:rsid w:val="00EE18A8"/>
    <w:rsid w:val="00F22D98"/>
    <w:rsid w:val="00F6086B"/>
    <w:rsid w:val="00FD5BB5"/>
    <w:rsid w:val="025D00D3"/>
    <w:rsid w:val="17C00F89"/>
    <w:rsid w:val="3E7F4A94"/>
    <w:rsid w:val="528F3D22"/>
    <w:rsid w:val="6F4574EF"/>
    <w:rsid w:val="7DFD63E1"/>
    <w:rsid w:val="7EFF9506"/>
    <w:rsid w:val="7FFBD272"/>
    <w:rsid w:val="7FFF1159"/>
    <w:rsid w:val="7FFF5799"/>
    <w:rsid w:val="FFDFD2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Emphasis"/>
    <w:basedOn w:val="8"/>
    <w:qFormat/>
    <w:uiPriority w:val="20"/>
    <w:rPr>
      <w:color w:val="CC0000"/>
    </w:rPr>
  </w:style>
  <w:style w:type="character" w:styleId="10">
    <w:name w:val="Hyperlink"/>
    <w:basedOn w:val="8"/>
    <w:unhideWhenUsed/>
    <w:qFormat/>
    <w:uiPriority w:val="0"/>
    <w:rPr>
      <w:color w:val="0000FF" w:themeColor="hyperlink"/>
      <w:u w:val="single"/>
      <w14:textFill>
        <w14:solidFill>
          <w14:schemeClr w14:val="hlink"/>
        </w14:solidFill>
      </w14:textFill>
    </w:rPr>
  </w:style>
  <w:style w:type="character" w:styleId="11">
    <w:name w:val="annotation reference"/>
    <w:basedOn w:val="8"/>
    <w:qFormat/>
    <w:uiPriority w:val="99"/>
    <w:rPr>
      <w:sz w:val="21"/>
      <w:szCs w:val="21"/>
    </w:rPr>
  </w:style>
  <w:style w:type="character" w:customStyle="1" w:styleId="12">
    <w:name w:val="页眉 字符"/>
    <w:basedOn w:val="8"/>
    <w:link w:val="5"/>
    <w:qFormat/>
    <w:uiPriority w:val="0"/>
    <w:rPr>
      <w:rFonts w:eastAsia="宋体"/>
      <w:kern w:val="2"/>
      <w:sz w:val="18"/>
      <w:szCs w:val="18"/>
      <w:lang w:val="en-US" w:eastAsia="zh-CN" w:bidi="ar-SA"/>
    </w:rPr>
  </w:style>
  <w:style w:type="character" w:customStyle="1" w:styleId="13">
    <w:name w:val="批注框文本 字符"/>
    <w:basedOn w:val="8"/>
    <w:link w:val="3"/>
    <w:qFormat/>
    <w:uiPriority w:val="0"/>
    <w:rPr>
      <w:kern w:val="2"/>
      <w:sz w:val="18"/>
      <w:szCs w:val="18"/>
    </w:rPr>
  </w:style>
  <w:style w:type="paragraph" w:customStyle="1" w:styleId="14">
    <w:name w:val="列表段落1"/>
    <w:basedOn w:val="1"/>
    <w:qFormat/>
    <w:uiPriority w:val="34"/>
    <w:pPr>
      <w:ind w:firstLine="420" w:firstLineChars="200"/>
    </w:pPr>
  </w:style>
  <w:style w:type="paragraph" w:customStyle="1" w:styleId="15">
    <w:name w:val="Default"/>
    <w:qFormat/>
    <w:uiPriority w:val="0"/>
    <w:pPr>
      <w:widowControl w:val="0"/>
      <w:autoSpaceDE w:val="0"/>
      <w:autoSpaceDN w:val="0"/>
      <w:adjustRightInd w:val="0"/>
      <w:spacing w:after="160" w:line="278" w:lineRule="auto"/>
    </w:pPr>
    <w:rPr>
      <w:rFonts w:ascii="新宋体" w:hAnsi="Times New Roman" w:eastAsia="新宋体" w:cs="新宋体"/>
      <w:color w:val="000000"/>
      <w:sz w:val="24"/>
      <w:szCs w:val="24"/>
      <w:lang w:val="en-US" w:eastAsia="zh-CN" w:bidi="ar-SA"/>
    </w:rPr>
  </w:style>
  <w:style w:type="character" w:customStyle="1" w:styleId="16">
    <w:name w:val="批注文字 字符"/>
    <w:basedOn w:val="8"/>
    <w:link w:val="2"/>
    <w:qFormat/>
    <w:uiPriority w:val="99"/>
    <w:rPr>
      <w:kern w:val="2"/>
      <w:sz w:val="21"/>
      <w:szCs w:val="24"/>
    </w:rPr>
  </w:style>
  <w:style w:type="character" w:customStyle="1" w:styleId="17">
    <w:name w:val="批注主题 字符"/>
    <w:basedOn w:val="16"/>
    <w:link w:val="6"/>
    <w:qFormat/>
    <w:uiPriority w:val="0"/>
    <w:rPr>
      <w:b/>
      <w:bCs/>
      <w:kern w:val="2"/>
      <w:sz w:val="21"/>
      <w:szCs w:val="24"/>
    </w:rPr>
  </w:style>
  <w:style w:type="paragraph" w:customStyle="1" w:styleId="18">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9">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0">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2">
    <w:name w:val="修订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
    <w:name w:val="修订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5">
    <w:name w:val="未处理的提及1"/>
    <w:basedOn w:val="8"/>
    <w:unhideWhenUsed/>
    <w:qFormat/>
    <w:uiPriority w:val="99"/>
    <w:rPr>
      <w:color w:val="605E5C"/>
      <w:shd w:val="clear" w:color="auto" w:fill="E1DFDD"/>
    </w:rPr>
  </w:style>
  <w:style w:type="paragraph" w:customStyle="1" w:styleId="26">
    <w:name w:val="修订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7">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
    <w:name w:val="List Paragraph"/>
    <w:basedOn w:val="1"/>
    <w:unhideWhenUsed/>
    <w:qFormat/>
    <w:uiPriority w:val="99"/>
    <w:pPr>
      <w:ind w:firstLine="420" w:firstLineChars="200"/>
    </w:pPr>
  </w:style>
  <w:style w:type="paragraph" w:customStyle="1" w:styleId="29">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cee</Company>
  <Pages>4</Pages>
  <Words>1921</Words>
  <Characters>2124</Characters>
  <Lines>71</Lines>
  <Paragraphs>60</Paragraphs>
  <TotalTime>181</TotalTime>
  <ScaleCrop>false</ScaleCrop>
  <LinksUpToDate>false</LinksUpToDate>
  <CharactersWithSpaces>2332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2026-04-30T06:19:00Z</dcterms:created>
  <dc:creator>cee</dc:creator>
  <cp:lastModifiedBy>咩咩羊</cp:lastModifiedBy>
  <cp:lastPrinted>2022-06-15T05:50:00Z</cp:lastPrinted>
  <dcterms:modified xsi:type="dcterms:W3CDTF">2026-05-05T12:32:29Z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C6DCD4B182604A5D9CD6FAE594DFC1BC_12</vt:lpwstr>
  </property>
  <property fmtid="{D5CDD505-2E9C-101B-9397-08002B2CF9AE}" pid="4" name="KSOTemplateDocerSaveRecord">
    <vt:lpwstr>eyJoZGlkIjoiMmQ5ZDU4NjdkMzFmNDNlYjFhZjAyNmRmNWYwMzNlZDEiLCJ1c2VySWQiOiIyNTc2NjE1NTIifQ==</vt:lpwstr>
  </property>
</Properties>
</file>