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74AD7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hint="eastAsia" w:ascii="宋体" w:hAnsi="宋体"/>
          <w:b/>
          <w:iCs/>
          <w:szCs w:val="21"/>
        </w:rPr>
        <w:t>威胜信息</w:t>
      </w:r>
    </w:p>
    <w:p w14:paraId="247EF00D">
      <w:pPr>
        <w:spacing w:before="468" w:beforeLines="150" w:after="156" w:afterLines="50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hint="eastAsia" w:ascii="宋体" w:hAnsi="宋体"/>
          <w:b/>
          <w:bCs/>
          <w:iCs/>
          <w:sz w:val="32"/>
          <w:szCs w:val="32"/>
        </w:rPr>
        <w:t>威胜信息技术股份有限公司</w:t>
      </w:r>
    </w:p>
    <w:p w14:paraId="34CBE350">
      <w:pPr>
        <w:spacing w:before="156" w:beforeLines="50" w:after="468" w:afterLines="150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</w:t>
      </w:r>
      <w:r>
        <w:rPr>
          <w:rFonts w:hint="eastAsia" w:ascii="宋体" w:hAnsi="宋体"/>
          <w:b/>
          <w:bCs/>
          <w:iCs/>
          <w:sz w:val="32"/>
          <w:szCs w:val="32"/>
        </w:rPr>
        <w:t>6年</w:t>
      </w:r>
      <w:r>
        <w:rPr>
          <w:rFonts w:hint="eastAsia" w:ascii="宋体" w:hAnsi="宋体"/>
          <w:b/>
          <w:bCs/>
          <w:iCs/>
          <w:sz w:val="32"/>
          <w:szCs w:val="32"/>
          <w:lang w:val="en-US" w:eastAsia="zh-CN"/>
        </w:rPr>
        <w:t>4月29日投资者</w:t>
      </w:r>
      <w:bookmarkStart w:id="0" w:name="_GoBack"/>
      <w:bookmarkEnd w:id="0"/>
      <w:r>
        <w:rPr>
          <w:rFonts w:hint="eastAsia" w:ascii="宋体" w:hAnsi="宋体"/>
          <w:b/>
          <w:bCs/>
          <w:iCs/>
          <w:sz w:val="32"/>
          <w:szCs w:val="32"/>
        </w:rPr>
        <w:t>交流会</w:t>
      </w:r>
      <w:r>
        <w:rPr>
          <w:rFonts w:ascii="宋体" w:hAnsi="宋体"/>
          <w:b/>
          <w:bCs/>
          <w:iCs/>
          <w:sz w:val="32"/>
          <w:szCs w:val="32"/>
        </w:rPr>
        <w:t>会议记录</w:t>
      </w:r>
    </w:p>
    <w:p w14:paraId="0CDC3D92">
      <w:pPr>
        <w:spacing w:line="4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威胜信息技术股份有限公司（以下简称“公司”）2</w:t>
      </w:r>
      <w:r>
        <w:rPr>
          <w:rFonts w:ascii="宋体" w:hAnsi="宋体"/>
          <w:sz w:val="24"/>
        </w:rPr>
        <w:t>02</w:t>
      </w:r>
      <w:r>
        <w:rPr>
          <w:rFonts w:hint="eastAsia" w:ascii="宋体" w:hAnsi="宋体"/>
          <w:sz w:val="24"/>
        </w:rPr>
        <w:t>6年4月29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>交流情况如下：</w:t>
      </w:r>
    </w:p>
    <w:p w14:paraId="7832C4C8">
      <w:pPr>
        <w:pStyle w:val="21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参会人员</w:t>
      </w:r>
    </w:p>
    <w:p w14:paraId="4EB41614">
      <w:pPr>
        <w:pStyle w:val="9"/>
        <w:spacing w:line="4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董事长：李鸿女士</w:t>
      </w:r>
    </w:p>
    <w:p w14:paraId="76F352B7">
      <w:pPr>
        <w:pStyle w:val="9"/>
        <w:spacing w:line="4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数字电网事业群总经理：马亮先生</w:t>
      </w:r>
    </w:p>
    <w:p w14:paraId="6FB9284B">
      <w:pPr>
        <w:pStyle w:val="9"/>
        <w:spacing w:line="4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通信及芯片事业群总经理：肖林松先生</w:t>
      </w:r>
    </w:p>
    <w:p w14:paraId="4E642437">
      <w:pPr>
        <w:pStyle w:val="9"/>
        <w:spacing w:line="4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董事会秘书兼财务总监：钟喜玉女士</w:t>
      </w:r>
    </w:p>
    <w:p w14:paraId="72CE27D8">
      <w:pPr>
        <w:pStyle w:val="9"/>
        <w:spacing w:line="4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战略投资总监：吴浩先生</w:t>
      </w:r>
    </w:p>
    <w:p w14:paraId="69DB8FD0">
      <w:pPr>
        <w:pStyle w:val="9"/>
        <w:spacing w:line="420" w:lineRule="exact"/>
        <w:ind w:firstLine="480" w:firstLineChars="200"/>
        <w:rPr>
          <w:rFonts w:hAnsi="宋体"/>
          <w:sz w:val="24"/>
        </w:rPr>
      </w:pPr>
    </w:p>
    <w:p w14:paraId="272912A1">
      <w:pPr>
        <w:pStyle w:val="9"/>
        <w:spacing w:line="4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机构参会：</w:t>
      </w:r>
    </w:p>
    <w:p w14:paraId="01AAFF83">
      <w:pPr>
        <w:pStyle w:val="9"/>
        <w:spacing w:line="420" w:lineRule="exact"/>
        <w:ind w:firstLine="480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华商基金、银华基金、华夏基金、永安财险、中银基金、招商信诺、创金合信、英大</w:t>
      </w:r>
      <w:r>
        <w:rPr>
          <w:rFonts w:hint="eastAsia" w:hAnsi="宋体" w:cs="宋体"/>
          <w:sz w:val="24"/>
        </w:rPr>
        <w:t>资管</w:t>
      </w:r>
      <w:r>
        <w:rPr>
          <w:rFonts w:hAnsi="宋体" w:cs="宋体"/>
          <w:sz w:val="24"/>
        </w:rPr>
        <w:t>、博时基金、上海信托、申万菱信</w:t>
      </w:r>
      <w:r>
        <w:rPr>
          <w:rFonts w:hint="eastAsia" w:hAnsi="宋体" w:cs="宋体"/>
          <w:sz w:val="24"/>
        </w:rPr>
        <w:t>、</w:t>
      </w:r>
      <w:r>
        <w:rPr>
          <w:rFonts w:hAnsi="宋体" w:cs="宋体"/>
          <w:sz w:val="24"/>
        </w:rPr>
        <w:t>海富通基金</w:t>
      </w:r>
      <w:r>
        <w:rPr>
          <w:rFonts w:hint="eastAsia" w:hAnsi="宋体" w:cs="宋体"/>
          <w:sz w:val="24"/>
        </w:rPr>
        <w:t>、</w:t>
      </w:r>
      <w:r>
        <w:rPr>
          <w:rFonts w:hAnsi="宋体" w:cs="宋体"/>
          <w:sz w:val="24"/>
        </w:rPr>
        <w:t>汇丰晋信</w:t>
      </w:r>
      <w:r>
        <w:rPr>
          <w:rFonts w:hint="eastAsia" w:hAnsi="宋体" w:cs="宋体"/>
          <w:sz w:val="24"/>
        </w:rPr>
        <w:t>、</w:t>
      </w:r>
      <w:r>
        <w:rPr>
          <w:rFonts w:hAnsi="宋体" w:cs="宋体"/>
          <w:sz w:val="24"/>
        </w:rPr>
        <w:t>中信里昂、WHITE</w:t>
      </w:r>
      <w:r>
        <w:rPr>
          <w:rFonts w:hint="eastAsia" w:hAnsi="宋体" w:cs="宋体"/>
          <w:sz w:val="24"/>
        </w:rPr>
        <w:t xml:space="preserve"> capital</w:t>
      </w:r>
      <w:r>
        <w:rPr>
          <w:rFonts w:hAnsi="宋体" w:cs="宋体"/>
          <w:sz w:val="24"/>
        </w:rPr>
        <w:t>、香港奕图、Bright</w:t>
      </w:r>
      <w:r>
        <w:rPr>
          <w:rFonts w:hint="eastAsia" w:hAnsi="宋体" w:cs="宋体"/>
          <w:sz w:val="24"/>
        </w:rPr>
        <w:t xml:space="preserve"> </w:t>
      </w:r>
      <w:r>
        <w:rPr>
          <w:rFonts w:hAnsi="宋体" w:cs="宋体"/>
          <w:sz w:val="24"/>
        </w:rPr>
        <w:t>future、花旗香港、奕图资本、银河基金、高信百诺、海宸投资、誉辉资本、睿远基金</w:t>
      </w:r>
      <w:r>
        <w:rPr>
          <w:rFonts w:hint="eastAsia" w:hAnsi="宋体" w:cs="宋体"/>
          <w:sz w:val="24"/>
        </w:rPr>
        <w:t>、</w:t>
      </w:r>
      <w:r>
        <w:rPr>
          <w:rFonts w:hAnsi="宋体" w:cs="宋体"/>
          <w:sz w:val="24"/>
        </w:rPr>
        <w:t>开思投资、勤远私募</w:t>
      </w:r>
      <w:r>
        <w:rPr>
          <w:rFonts w:hint="eastAsia" w:hAnsi="宋体" w:cs="宋体"/>
          <w:sz w:val="24"/>
        </w:rPr>
        <w:t>、</w:t>
      </w:r>
      <w:r>
        <w:rPr>
          <w:rFonts w:hAnsi="宋体" w:cs="宋体"/>
          <w:sz w:val="24"/>
        </w:rPr>
        <w:t>万泰华瑞</w:t>
      </w:r>
      <w:r>
        <w:rPr>
          <w:rFonts w:hint="eastAsia" w:hAnsi="宋体" w:cs="宋体"/>
          <w:sz w:val="24"/>
        </w:rPr>
        <w:t>、</w:t>
      </w:r>
      <w:r>
        <w:rPr>
          <w:rFonts w:hAnsi="宋体" w:cs="宋体"/>
          <w:sz w:val="24"/>
        </w:rPr>
        <w:t>森锦投资、仁桥资产、国盛证券、天风证券、中金公司、国泰海通、国联民生、太平洋证、西部证券、广发证券、东方财富、中信证券、开源证券、长江证券、平安证券、招商证券、甬兴证券、浙商证券、中信建投、华泰证券、财信证券、银河证券、申万宏源</w:t>
      </w:r>
      <w:r>
        <w:rPr>
          <w:rFonts w:hint="eastAsia" w:hAnsi="宋体" w:cs="宋体"/>
          <w:sz w:val="24"/>
        </w:rPr>
        <w:t>、</w:t>
      </w:r>
      <w:r>
        <w:rPr>
          <w:rFonts w:hAnsi="宋体" w:cs="宋体"/>
          <w:sz w:val="24"/>
        </w:rPr>
        <w:t>华福证券、瑞银</w:t>
      </w:r>
      <w:r>
        <w:rPr>
          <w:rFonts w:hint="eastAsia" w:hAnsi="宋体" w:cs="宋体"/>
          <w:sz w:val="24"/>
        </w:rPr>
        <w:t>证券</w:t>
      </w:r>
      <w:r>
        <w:rPr>
          <w:rFonts w:hAnsi="宋体" w:cs="宋体"/>
          <w:sz w:val="24"/>
        </w:rPr>
        <w:t>、摩根大通、摩根士丹利、富瑞证券</w:t>
      </w:r>
    </w:p>
    <w:p w14:paraId="0F7EA689">
      <w:pPr>
        <w:pStyle w:val="9"/>
        <w:spacing w:line="420" w:lineRule="exact"/>
        <w:rPr>
          <w:rFonts w:hAnsi="宋体" w:cs="宋体"/>
          <w:sz w:val="24"/>
        </w:rPr>
      </w:pPr>
    </w:p>
    <w:p w14:paraId="2F4534A8">
      <w:pPr>
        <w:pStyle w:val="9"/>
        <w:spacing w:line="420" w:lineRule="exac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</w:rPr>
        <w:t>2026</w:t>
      </w:r>
      <w:r>
        <w:rPr>
          <w:rFonts w:asciiTheme="minorEastAsia" w:hAnsiTheme="minorEastAsia" w:eastAsiaTheme="minorEastAsia"/>
          <w:b/>
          <w:bCs/>
          <w:sz w:val="24"/>
        </w:rPr>
        <w:t>年</w:t>
      </w:r>
      <w:r>
        <w:rPr>
          <w:rFonts w:hint="eastAsia" w:asciiTheme="minorEastAsia" w:hAnsiTheme="minorEastAsia" w:eastAsiaTheme="minorEastAsia"/>
          <w:b/>
          <w:bCs/>
          <w:sz w:val="24"/>
        </w:rPr>
        <w:t>一季报主要业务情况介绍</w:t>
      </w:r>
    </w:p>
    <w:p w14:paraId="133E2CB8">
      <w:pPr>
        <w:spacing w:line="42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ascii="宋体" w:hAnsi="宋体"/>
          <w:sz w:val="24"/>
        </w:rPr>
        <w:t>收入与结构：2026年Q1实现营收5.32亿元。其中国内收入4.1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亿元，占比78</w:t>
      </w:r>
      <w:r>
        <w:rPr>
          <w:rFonts w:hint="eastAsia" w:ascii="宋体" w:hAnsi="宋体"/>
          <w:sz w:val="24"/>
        </w:rPr>
        <w:t>.2</w:t>
      </w:r>
      <w:r>
        <w:rPr>
          <w:rFonts w:ascii="宋体" w:hAnsi="宋体"/>
          <w:sz w:val="24"/>
        </w:rPr>
        <w:t>%；境外收入1.15亿元，同比增长18.8%，占比2</w:t>
      </w:r>
      <w:r>
        <w:rPr>
          <w:rFonts w:hint="eastAsia" w:ascii="宋体" w:hAnsi="宋体"/>
          <w:sz w:val="24"/>
        </w:rPr>
        <w:t>1.8</w:t>
      </w:r>
      <w:r>
        <w:rPr>
          <w:rFonts w:ascii="宋体" w:hAnsi="宋体"/>
          <w:sz w:val="24"/>
        </w:rPr>
        <w:t xml:space="preserve">%。 </w:t>
      </w:r>
      <w:r>
        <w:rPr>
          <w:rFonts w:ascii="宋体" w:hAnsi="宋体"/>
          <w:sz w:val="24"/>
        </w:rPr>
        <w:cr/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盈利与研发：归母净利润1.48亿元，同比增长6</w:t>
      </w:r>
      <w:r>
        <w:rPr>
          <w:rFonts w:hint="eastAsia" w:ascii="宋体" w:hAnsi="宋体"/>
          <w:sz w:val="24"/>
        </w:rPr>
        <w:t>.4</w:t>
      </w:r>
      <w:r>
        <w:rPr>
          <w:rFonts w:ascii="宋体" w:hAnsi="宋体"/>
          <w:sz w:val="24"/>
        </w:rPr>
        <w:t>%。研发投入占收入比重达9.8%，同比</w:t>
      </w:r>
      <w:r>
        <w:rPr>
          <w:rFonts w:hint="eastAsia" w:ascii="宋体" w:hAnsi="宋体"/>
          <w:sz w:val="24"/>
        </w:rPr>
        <w:t>提升</w:t>
      </w:r>
      <w:r>
        <w:rPr>
          <w:rFonts w:ascii="宋体" w:hAnsi="宋体"/>
          <w:sz w:val="24"/>
        </w:rPr>
        <w:t>5.7%。</w:t>
      </w:r>
      <w:r>
        <w:rPr>
          <w:rFonts w:ascii="宋体" w:hAnsi="宋体"/>
          <w:sz w:val="24"/>
        </w:rPr>
        <w:cr/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在手订单与股东回报：截至3月末，公司在手订单达39.7亿元。公司已完成2025年年度派息，自上市以来已累计派发现金红利12.27亿元，累计回购4.49亿元分红及回购金额合计16.76亿元为公司IPO募集资金净额的2.7倍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并计划自2025年起未来五年维持40%的基准分红率。</w:t>
      </w:r>
      <w:r>
        <w:rPr>
          <w:rFonts w:ascii="宋体" w:hAnsi="宋体"/>
          <w:sz w:val="24"/>
        </w:rPr>
        <w:cr/>
      </w:r>
    </w:p>
    <w:p w14:paraId="5346586C">
      <w:pPr>
        <w:spacing w:line="420" w:lineRule="exact"/>
        <w:ind w:left="-11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三、投资者问答</w:t>
      </w:r>
      <w:r>
        <w:rPr>
          <w:rFonts w:asciiTheme="minorEastAsia" w:hAnsiTheme="minorEastAsia" w:eastAsiaTheme="minorEastAsia"/>
          <w:bCs/>
          <w:sz w:val="24"/>
        </w:rPr>
        <w:t xml:space="preserve"> </w:t>
      </w:r>
    </w:p>
    <w:p w14:paraId="74163B37">
      <w:pPr>
        <w:spacing w:line="420" w:lineRule="exact"/>
        <w:ind w:left="-11"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Q:</w:t>
      </w:r>
      <w:r>
        <w:rPr>
          <w:rFonts w:asciiTheme="minorEastAsia" w:hAnsiTheme="minorEastAsia" w:eastAsiaTheme="minorEastAsia"/>
          <w:b/>
          <w:sz w:val="24"/>
        </w:rPr>
        <w:t xml:space="preserve">请问公司 2026 年第一季度整体经营情况如何？ </w:t>
      </w:r>
    </w:p>
    <w:p w14:paraId="13EA97E8">
      <w:pPr>
        <w:spacing w:line="420" w:lineRule="exact"/>
        <w:ind w:left="-11"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：2026 年是国家 “十五五” 规划开局之年，</w:t>
      </w:r>
      <w:r>
        <w:rPr>
          <w:rFonts w:hint="eastAsia" w:asciiTheme="minorEastAsia" w:hAnsiTheme="minorEastAsia" w:eastAsiaTheme="minorEastAsia"/>
          <w:bCs/>
          <w:sz w:val="24"/>
        </w:rPr>
        <w:t>也是公司“六五规划”的第一年。</w:t>
      </w:r>
      <w:r>
        <w:rPr>
          <w:rFonts w:asciiTheme="minorEastAsia" w:hAnsiTheme="minorEastAsia" w:eastAsiaTheme="minorEastAsia"/>
          <w:bCs/>
          <w:sz w:val="24"/>
        </w:rPr>
        <w:t>公司一季度经营质量持续提升。报告期内，公司实现营业收入 5.32 亿元；实现归母净利润 1.48 亿元，同比增长 6.4%，盈利能力保持较强韧性。截至一季度末，公司总资产达 58.56 亿元，在手订单达 39.71 亿元，充足的订单储备为全年高质量增长奠定了坚实基础。</w:t>
      </w:r>
    </w:p>
    <w:p w14:paraId="16A450FA">
      <w:pPr>
        <w:spacing w:line="420" w:lineRule="exact"/>
        <w:ind w:left="-11"/>
        <w:rPr>
          <w:rFonts w:asciiTheme="minorEastAsia" w:hAnsiTheme="minorEastAsia" w:eastAsiaTheme="minorEastAsia"/>
          <w:bCs/>
          <w:sz w:val="24"/>
        </w:rPr>
      </w:pPr>
    </w:p>
    <w:p w14:paraId="29D25A8D">
      <w:pPr>
        <w:spacing w:line="420" w:lineRule="exact"/>
        <w:ind w:left="-11"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Q:</w:t>
      </w:r>
      <w:r>
        <w:rPr>
          <w:rFonts w:asciiTheme="minorEastAsia" w:hAnsiTheme="minorEastAsia" w:eastAsiaTheme="minorEastAsia"/>
          <w:b/>
          <w:sz w:val="24"/>
        </w:rPr>
        <w:t>一季度公司境内外业务收入结构有何变化？</w:t>
      </w:r>
    </w:p>
    <w:p w14:paraId="05E8A0B4">
      <w:pPr>
        <w:spacing w:line="420" w:lineRule="exact"/>
        <w:ind w:left="-11"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：一季度公司境内外业务协同发力，收入结构持续优化。境内业务实现收入 4.13 亿元，占主营业务收入的 78.2%；境外业务增长提速，实现收入 1.15 亿元，占主营业务收入的比例提升至 21.8%，同比增长 18.8%，已成为公司重要的增长极。</w:t>
      </w:r>
    </w:p>
    <w:p w14:paraId="1581B74D">
      <w:pPr>
        <w:spacing w:line="420" w:lineRule="exact"/>
        <w:ind w:left="-11"/>
        <w:rPr>
          <w:rFonts w:asciiTheme="minorEastAsia" w:hAnsiTheme="minorEastAsia" w:eastAsiaTheme="minorEastAsia"/>
          <w:bCs/>
          <w:sz w:val="24"/>
        </w:rPr>
      </w:pPr>
    </w:p>
    <w:p w14:paraId="4C7CD588">
      <w:pPr>
        <w:spacing w:line="420" w:lineRule="exact"/>
        <w:ind w:left="-11"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Q:</w:t>
      </w:r>
      <w:r>
        <w:rPr>
          <w:rFonts w:asciiTheme="minorEastAsia" w:hAnsiTheme="minorEastAsia" w:eastAsiaTheme="minorEastAsia"/>
          <w:b/>
          <w:sz w:val="24"/>
        </w:rPr>
        <w:t>“十五五” 期间电网投资规模大幅提升，对公司智能电网主业有何影响？公司有哪些核心布局？</w:t>
      </w:r>
    </w:p>
    <w:p w14:paraId="540E5CB5">
      <w:pPr>
        <w:widowControl/>
        <w:wordWrap w:val="0"/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：“十五五” 期间</w:t>
      </w:r>
      <w:r>
        <w:rPr>
          <w:rFonts w:hint="eastAsia" w:asciiTheme="minorEastAsia" w:hAnsiTheme="minorEastAsia" w:eastAsiaTheme="minorEastAsia"/>
          <w:bCs/>
          <w:sz w:val="24"/>
        </w:rPr>
        <w:t>，</w:t>
      </w:r>
      <w:r>
        <w:rPr>
          <w:rFonts w:hint="eastAsia" w:asciiTheme="minorEastAsia" w:hAnsiTheme="minorEastAsia" w:eastAsiaTheme="minorEastAsia"/>
          <w:sz w:val="24"/>
        </w:rPr>
        <w:t>两大电网公司合计规划投资规模约5万亿元，其中配网投资占比约40%-45%、数字化投资占比约10%-15%，配网建设与电网数字化智能化改造将成为行业核心增长方向</w:t>
      </w:r>
      <w:r>
        <w:rPr>
          <w:rFonts w:asciiTheme="minorEastAsia" w:hAnsiTheme="minorEastAsia" w:eastAsiaTheme="minorEastAsia"/>
          <w:bCs/>
          <w:sz w:val="24"/>
        </w:rPr>
        <w:t>。</w:t>
      </w:r>
      <w:r>
        <w:rPr>
          <w:rFonts w:hint="eastAsia" w:ascii="宋体" w:hAnsi="宋体"/>
          <w:sz w:val="24"/>
        </w:rPr>
        <w:t>围绕台区自洽、配微协同、微电网规模化建设三大核心场景，行业将催生万亿级的配用电侧智能化改造市场，其中非电表类末端设备节点及配套通信模块、芯片需求，将成为公司重点布局的增长赛道。</w:t>
      </w:r>
    </w:p>
    <w:p w14:paraId="46075C27">
      <w:pPr>
        <w:widowControl/>
        <w:wordWrap w:val="0"/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从市场规模来看，国家电网2030年其系统接入终端设备规模将达到约20亿只；南方电网白皮书提到，当前单配电台区规划的非电表类设备节点达245个，其全域约115万个台区，仅非电表设备就将带来2.8亿个新增节点，对应市场规模超1000亿元。放眼全国两大电网市场，“十五五”配网数智化改造将催生亿级的非电表末端设备节点，以及与之配套的海量通信模块、芯片需求。</w:t>
      </w:r>
    </w:p>
    <w:p w14:paraId="23671A30">
      <w:pPr>
        <w:widowControl/>
        <w:wordWrap w:val="0"/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公司核心产品智能融合终端，是配用电台区实现自治管控的“智能大脑”：向下可通过各类感知层设备单元，实现对末端全量设备的接入、监测与精准管控；向上可全面支撑台区自洽策略执行、配微协同调度、微电网稳定运行的核心需求，目前国网、南网集采公司智能终端与通信模块中标领先，电力物联网头部地位稳固，将全面承接非电表通讯节点及配套通信的市场机遇：</w:t>
      </w:r>
    </w:p>
    <w:p w14:paraId="55F97858">
      <w:pPr>
        <w:spacing w:line="420" w:lineRule="exact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同时公司的</w:t>
      </w:r>
      <w:r>
        <w:rPr>
          <w:rFonts w:asciiTheme="minorEastAsia" w:hAnsiTheme="minorEastAsia" w:eastAsiaTheme="minorEastAsia"/>
          <w:bCs/>
          <w:sz w:val="24"/>
        </w:rPr>
        <w:t>台区智能解决方案聚焦三相不平衡治理、低电压治理、新能源消纳、负荷控制等刚需场景，将充分受益近千万台区改造红利；输电线路在线监测业务面向全国 500 万座以上铁塔</w:t>
      </w:r>
      <w:r>
        <w:rPr>
          <w:rFonts w:hint="eastAsia" w:asciiTheme="minorEastAsia" w:hAnsiTheme="minorEastAsia" w:eastAsiaTheme="minorEastAsia"/>
          <w:bCs/>
          <w:sz w:val="24"/>
        </w:rPr>
        <w:t>需完成80%以上的智能覆盖，服务全国约260万公里线路电力输送</w:t>
      </w:r>
      <w:r>
        <w:rPr>
          <w:rFonts w:asciiTheme="minorEastAsia" w:hAnsiTheme="minorEastAsia" w:eastAsiaTheme="minorEastAsia"/>
          <w:bCs/>
          <w:sz w:val="24"/>
        </w:rPr>
        <w:t>，</w:t>
      </w:r>
      <w:r>
        <w:rPr>
          <w:rFonts w:hint="eastAsia" w:asciiTheme="minorEastAsia" w:hAnsiTheme="minorEastAsia" w:eastAsiaTheme="minorEastAsia"/>
          <w:bCs/>
          <w:sz w:val="24"/>
        </w:rPr>
        <w:t>公司</w:t>
      </w:r>
      <w:r>
        <w:rPr>
          <w:rFonts w:asciiTheme="minorEastAsia" w:hAnsiTheme="minorEastAsia" w:eastAsiaTheme="minorEastAsia"/>
          <w:bCs/>
          <w:sz w:val="24"/>
        </w:rPr>
        <w:t>在故障定位、图像视频、气象感知等领域持续实现</w:t>
      </w:r>
      <w:r>
        <w:rPr>
          <w:rFonts w:hint="eastAsia" w:asciiTheme="minorEastAsia" w:hAnsiTheme="minorEastAsia" w:eastAsiaTheme="minorEastAsia"/>
          <w:bCs/>
          <w:sz w:val="24"/>
        </w:rPr>
        <w:t>市场</w:t>
      </w:r>
      <w:r>
        <w:rPr>
          <w:rFonts w:asciiTheme="minorEastAsia" w:hAnsiTheme="minorEastAsia" w:eastAsiaTheme="minorEastAsia"/>
          <w:bCs/>
          <w:sz w:val="24"/>
        </w:rPr>
        <w:t>突破。</w:t>
      </w:r>
    </w:p>
    <w:p w14:paraId="109E9DB1">
      <w:pPr>
        <w:spacing w:line="420" w:lineRule="exact"/>
        <w:ind w:left="360"/>
        <w:rPr>
          <w:rFonts w:asciiTheme="minorEastAsia" w:hAnsiTheme="minorEastAsia" w:eastAsiaTheme="minorEastAsia"/>
          <w:bCs/>
          <w:sz w:val="24"/>
        </w:rPr>
      </w:pPr>
    </w:p>
    <w:p w14:paraId="5E8AAE8B">
      <w:pPr>
        <w:spacing w:line="420" w:lineRule="exact"/>
        <w:ind w:left="-11"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Q:</w:t>
      </w:r>
      <w:r>
        <w:rPr>
          <w:rFonts w:asciiTheme="minorEastAsia" w:hAnsiTheme="minorEastAsia" w:eastAsiaTheme="minorEastAsia"/>
          <w:b/>
          <w:sz w:val="24"/>
        </w:rPr>
        <w:t>公司在电力芯片领域的研发进展及市场表现如何？</w:t>
      </w:r>
    </w:p>
    <w:p w14:paraId="6956BCD0">
      <w:pPr>
        <w:spacing w:line="420" w:lineRule="exact"/>
        <w:ind w:left="-11"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</w:t>
      </w:r>
      <w:r>
        <w:rPr>
          <w:rFonts w:hint="eastAsia" w:asciiTheme="minorEastAsia" w:hAnsiTheme="minorEastAsia" w:eastAsiaTheme="minorEastAsia"/>
          <w:bCs/>
          <w:sz w:val="24"/>
        </w:rPr>
        <w:t>公司</w:t>
      </w:r>
      <w:r>
        <w:rPr>
          <w:rFonts w:asciiTheme="minorEastAsia" w:hAnsiTheme="minorEastAsia" w:eastAsiaTheme="minorEastAsia"/>
          <w:bCs/>
          <w:sz w:val="24"/>
        </w:rPr>
        <w:t>自研</w:t>
      </w:r>
      <w:r>
        <w:rPr>
          <w:rFonts w:hint="eastAsia" w:asciiTheme="minorEastAsia" w:hAnsiTheme="minorEastAsia" w:eastAsiaTheme="minorEastAsia"/>
          <w:bCs/>
          <w:sz w:val="24"/>
        </w:rPr>
        <w:t>芯片已成为</w:t>
      </w:r>
      <w:r>
        <w:rPr>
          <w:rFonts w:asciiTheme="minorEastAsia" w:hAnsiTheme="minorEastAsia" w:eastAsiaTheme="minorEastAsia"/>
          <w:bCs/>
          <w:sz w:val="24"/>
        </w:rPr>
        <w:t>核心技术壁垒之一。一季度，公司新一代电力载波芯片系列已完成流片</w:t>
      </w:r>
      <w:r>
        <w:rPr>
          <w:rFonts w:hint="eastAsia" w:asciiTheme="minorEastAsia" w:hAnsiTheme="minorEastAsia" w:eastAsiaTheme="minorEastAsia"/>
          <w:bCs/>
          <w:sz w:val="24"/>
        </w:rPr>
        <w:t>并开展</w:t>
      </w:r>
      <w:r>
        <w:rPr>
          <w:rFonts w:asciiTheme="minorEastAsia" w:hAnsiTheme="minorEastAsia" w:eastAsiaTheme="minorEastAsia"/>
          <w:bCs/>
          <w:sz w:val="24"/>
        </w:rPr>
        <w:t>现场试点，精准匹配南方电网2026 年新一代双模通信模块招标节奏。同时，公司通感芯片持续支撑配网透明化建设，面向数亿级终端节点构建配电网 “最后一公里” 感知能力，满足新型电力系统</w:t>
      </w:r>
      <w:r>
        <w:rPr>
          <w:rFonts w:hint="eastAsia" w:asciiTheme="minorEastAsia" w:hAnsiTheme="minorEastAsia" w:eastAsiaTheme="minorEastAsia"/>
          <w:bCs/>
          <w:sz w:val="24"/>
        </w:rPr>
        <w:t>数智化</w:t>
      </w:r>
      <w:r>
        <w:rPr>
          <w:rFonts w:asciiTheme="minorEastAsia" w:hAnsiTheme="minorEastAsia" w:eastAsiaTheme="minorEastAsia"/>
          <w:bCs/>
          <w:sz w:val="24"/>
        </w:rPr>
        <w:t>建设需求。</w:t>
      </w:r>
    </w:p>
    <w:p w14:paraId="34EA5BB2">
      <w:pPr>
        <w:spacing w:line="420" w:lineRule="exact"/>
        <w:ind w:left="-11"/>
        <w:rPr>
          <w:rFonts w:asciiTheme="minorEastAsia" w:hAnsiTheme="minorEastAsia" w:eastAsiaTheme="minorEastAsia"/>
          <w:bCs/>
          <w:sz w:val="24"/>
        </w:rPr>
      </w:pPr>
    </w:p>
    <w:p w14:paraId="51352D4B">
      <w:pPr>
        <w:spacing w:line="420" w:lineRule="exact"/>
        <w:ind w:left="-11" w:firstLine="482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Q:</w:t>
      </w:r>
      <w:r>
        <w:rPr>
          <w:rFonts w:asciiTheme="minorEastAsia" w:hAnsiTheme="minorEastAsia" w:eastAsiaTheme="minorEastAsia"/>
          <w:b/>
          <w:bCs/>
          <w:sz w:val="24"/>
        </w:rPr>
        <w:t>公司在 AI + 电力领域有哪些具体布局及应用场景？相关产品何时能实现业绩上量？</w:t>
      </w:r>
    </w:p>
    <w:p w14:paraId="722AF762">
      <w:pPr>
        <w:spacing w:line="420" w:lineRule="exact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：公司将 AI 边缘计算能力深度融入电力、水务的终端产品和系统解决方案中，以此提升技术壁垒和产品竞争力。应用场景方面，已在电网在线监测（输电线路故障定位、覆冰 / 山火 / 雷击图像视频分析等）和台区治理（电压越限、电能质量分析、光伏反送高电压治理等综合方案）中落地 AI 技术，并已产生实际业绩回报。产品规划方面，计划 2026 年内推出 AI 模块和 AI 盒子，为电力设备供应商及电网监测管理场景提供插拔式智能解决方案。2026 年一季度，公司台区治理和在线监测方向已实现较大增长，预计后续三个季度将继续保持快速增长态势。</w:t>
      </w:r>
    </w:p>
    <w:p w14:paraId="15ECE86A">
      <w:pPr>
        <w:spacing w:line="420" w:lineRule="exact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06CBB66D">
      <w:pPr>
        <w:spacing w:line="420" w:lineRule="exact"/>
        <w:ind w:left="-11"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Q:</w:t>
      </w:r>
      <w:r>
        <w:rPr>
          <w:rFonts w:asciiTheme="minorEastAsia" w:hAnsiTheme="minorEastAsia" w:eastAsiaTheme="minorEastAsia"/>
          <w:b/>
          <w:sz w:val="24"/>
        </w:rPr>
        <w:t>一季度公司海外业务实现较快增长，主要布局哪些区域？采取了怎样的发展策略？</w:t>
      </w:r>
    </w:p>
    <w:p w14:paraId="502233BC">
      <w:pPr>
        <w:spacing w:line="420" w:lineRule="exact"/>
        <w:ind w:left="-11"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A</w:t>
      </w:r>
      <w:r>
        <w:rPr>
          <w:rFonts w:asciiTheme="minorEastAsia" w:hAnsiTheme="minorEastAsia" w:eastAsiaTheme="minorEastAsia"/>
          <w:bCs/>
          <w:sz w:val="24"/>
        </w:rPr>
        <w:t>：一季度公司海外业务进入成果释放期，在中东、东南亚、南非等重点市场实现规模化突破。公司坚持 “本地产能、本地认证、本地团队、本地服务” 的本土化打法，针对不同区域市场精准布局：</w:t>
      </w:r>
    </w:p>
    <w:p w14:paraId="4B279FB8">
      <w:pPr>
        <w:spacing w:line="420" w:lineRule="exact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asciiTheme="minorEastAsia" w:hAnsiTheme="minorEastAsia" w:eastAsiaTheme="minorEastAsia"/>
          <w:bCs/>
          <w:sz w:val="24"/>
        </w:rPr>
        <w:t>东南亚市场：以印尼为支点，聚焦电网、水务 AMI机会；</w:t>
      </w:r>
    </w:p>
    <w:p w14:paraId="4A272950">
      <w:pPr>
        <w:spacing w:line="420" w:lineRule="exact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asciiTheme="minorEastAsia" w:hAnsiTheme="minorEastAsia" w:eastAsiaTheme="minorEastAsia"/>
          <w:bCs/>
          <w:sz w:val="24"/>
        </w:rPr>
        <w:t>中东、南非市场：重点打造能源、水务、算力一体化解决方案；</w:t>
      </w:r>
    </w:p>
    <w:p w14:paraId="5B68C93D">
      <w:pPr>
        <w:spacing w:line="420" w:lineRule="exact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asciiTheme="minorEastAsia" w:hAnsiTheme="minorEastAsia" w:eastAsiaTheme="minorEastAsia"/>
          <w:bCs/>
          <w:sz w:val="24"/>
        </w:rPr>
        <w:t>欧美市场：围绕高端认证、低碳能效和算力终端布局，推动高价值业务突破。</w:t>
      </w:r>
    </w:p>
    <w:p w14:paraId="27B3D910">
      <w:pPr>
        <w:spacing w:line="420" w:lineRule="exact"/>
        <w:rPr>
          <w:rFonts w:asciiTheme="minorEastAsia" w:hAnsiTheme="minorEastAsia" w:eastAsiaTheme="minorEastAsia"/>
          <w:bCs/>
          <w:sz w:val="24"/>
        </w:rPr>
      </w:pPr>
    </w:p>
    <w:p w14:paraId="43D8D515">
      <w:pPr>
        <w:spacing w:line="42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Q</w:t>
      </w:r>
      <w:r>
        <w:rPr>
          <w:rFonts w:ascii="宋体" w:hAnsi="宋体"/>
          <w:b/>
          <w:bCs/>
          <w:sz w:val="24"/>
        </w:rPr>
        <w:t>：威胜信息2026年的发展战略布局主要是什么？</w:t>
      </w:r>
    </w:p>
    <w:p w14:paraId="707359A6"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</w:t>
      </w:r>
      <w:r>
        <w:rPr>
          <w:rFonts w:ascii="宋体" w:hAnsi="宋体"/>
          <w:sz w:val="24"/>
        </w:rPr>
        <w:t>：2026年是国家“十五五”开局、公司“六五”规划启动的关键一年，威胜信息明确了“全球能源数字化服务商”的定位，围绕“物联网+芯片+人工智能”的核心竞争力，紧扣电网升级、算电融合、全球化拓展三大机遇，重点从三个方面推进战略布局，具体如下：</w:t>
      </w:r>
    </w:p>
    <w:p w14:paraId="1443190A"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一是稳住国内基本盘，借助万亿级投资机遇巩固龙头优势。公司深度对接国网、南网的投资需求，全面覆盖三大核心场景：智能电网领域，聚焦配网智能化、数字化、新能源并网与消纳，以及新型电力系统全场景建设；智慧城市领域，主打配微协同、综合能源、绿电解决方案，还有产业AI+数智化数据中心相关服务；智慧园区领域，重点推进零碳园区建设、碳监测与碳足迹管理、虚拟电厂落地，以及能效管理和综合能源服务。</w:t>
      </w:r>
    </w:p>
    <w:p w14:paraId="6D243F1D"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是打造国际增长极，通过本地化深耕实现全球化高质量发展。以印尼、沙特为核心支点，坚持“本地产能、本地认证、本地团队、本地服务”的本土化策略，分区域精准布局：东南亚地区，重点布局电网、算力中心和水务AMI业务；中东、南非地区，推进能源、水务与算力一体化发展；欧美地区，全力突破高端认证，聚焦低碳能效与算力终端领域。</w:t>
      </w:r>
    </w:p>
    <w:p w14:paraId="22963B5D">
      <w:p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三是强化核心业务群协同，构筑稳定增长梯队。重点打造四大协同板块：全域智能电网板块，持续巩固龙头地位，实现业务规模和利润双增长；通感智算芯片板块，不断推出融合SoC芯片，强化底层技术壁垒；AI与算电融合板块，以电网AI稳固基本盘，同时借助AIDC业务打开新的发展空间，实现双轮驱动；数字化板块，重点布局数字电网、数智城市两大核心数字化赛道，挖掘新的增长潜力。</w:t>
      </w:r>
    </w:p>
    <w:p w14:paraId="0465A835">
      <w:pPr>
        <w:spacing w:line="420" w:lineRule="exact"/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E3D40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336" w:hanging="420"/>
      </w:pPr>
    </w:lvl>
    <w:lvl w:ilvl="2" w:tentative="0">
      <w:start w:val="1"/>
      <w:numFmt w:val="lowerRoman"/>
      <w:lvlText w:val="%3."/>
      <w:lvlJc w:val="right"/>
      <w:pPr>
        <w:ind w:left="1756" w:hanging="420"/>
      </w:pPr>
    </w:lvl>
    <w:lvl w:ilvl="3" w:tentative="0">
      <w:start w:val="1"/>
      <w:numFmt w:val="decimal"/>
      <w:lvlText w:val="%4."/>
      <w:lvlJc w:val="left"/>
      <w:pPr>
        <w:ind w:left="2176" w:hanging="420"/>
      </w:pPr>
    </w:lvl>
    <w:lvl w:ilvl="4" w:tentative="0">
      <w:start w:val="1"/>
      <w:numFmt w:val="lowerLetter"/>
      <w:lvlText w:val="%5)"/>
      <w:lvlJc w:val="left"/>
      <w:pPr>
        <w:ind w:left="2596" w:hanging="420"/>
      </w:pPr>
    </w:lvl>
    <w:lvl w:ilvl="5" w:tentative="0">
      <w:start w:val="1"/>
      <w:numFmt w:val="lowerRoman"/>
      <w:lvlText w:val="%6."/>
      <w:lvlJc w:val="right"/>
      <w:pPr>
        <w:ind w:left="3016" w:hanging="420"/>
      </w:pPr>
    </w:lvl>
    <w:lvl w:ilvl="6" w:tentative="0">
      <w:start w:val="1"/>
      <w:numFmt w:val="decimal"/>
      <w:lvlText w:val="%7."/>
      <w:lvlJc w:val="left"/>
      <w:pPr>
        <w:ind w:left="3436" w:hanging="420"/>
      </w:pPr>
    </w:lvl>
    <w:lvl w:ilvl="7" w:tentative="0">
      <w:start w:val="1"/>
      <w:numFmt w:val="lowerLetter"/>
      <w:lvlText w:val="%8)"/>
      <w:lvlJc w:val="left"/>
      <w:pPr>
        <w:ind w:left="3856" w:hanging="420"/>
      </w:pPr>
    </w:lvl>
    <w:lvl w:ilvl="8" w:tentative="0">
      <w:start w:val="1"/>
      <w:numFmt w:val="lowerRoman"/>
      <w:lvlText w:val="%9."/>
      <w:lvlJc w:val="right"/>
      <w:pPr>
        <w:ind w:left="42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45"/>
    <w:rsid w:val="000A5C2C"/>
    <w:rsid w:val="001C4010"/>
    <w:rsid w:val="00203234"/>
    <w:rsid w:val="002443AE"/>
    <w:rsid w:val="00264B65"/>
    <w:rsid w:val="002665F5"/>
    <w:rsid w:val="00266655"/>
    <w:rsid w:val="002758E4"/>
    <w:rsid w:val="002C6571"/>
    <w:rsid w:val="003F1C8F"/>
    <w:rsid w:val="004308D0"/>
    <w:rsid w:val="004577CC"/>
    <w:rsid w:val="0056031B"/>
    <w:rsid w:val="00575F67"/>
    <w:rsid w:val="005C0300"/>
    <w:rsid w:val="005D4A03"/>
    <w:rsid w:val="005D5348"/>
    <w:rsid w:val="006E6FC1"/>
    <w:rsid w:val="00806129"/>
    <w:rsid w:val="0088745B"/>
    <w:rsid w:val="008F5E9F"/>
    <w:rsid w:val="009117D0"/>
    <w:rsid w:val="009420E9"/>
    <w:rsid w:val="009443C1"/>
    <w:rsid w:val="00965320"/>
    <w:rsid w:val="009667DD"/>
    <w:rsid w:val="009A61C2"/>
    <w:rsid w:val="00A70C9E"/>
    <w:rsid w:val="00A944F9"/>
    <w:rsid w:val="00AE4B84"/>
    <w:rsid w:val="00B42292"/>
    <w:rsid w:val="00B55110"/>
    <w:rsid w:val="00B965C4"/>
    <w:rsid w:val="00BA3528"/>
    <w:rsid w:val="00C44004"/>
    <w:rsid w:val="00C55F99"/>
    <w:rsid w:val="00D21045"/>
    <w:rsid w:val="00D317F8"/>
    <w:rsid w:val="00DA7CF6"/>
    <w:rsid w:val="00DD5262"/>
    <w:rsid w:val="00E0231C"/>
    <w:rsid w:val="00E153F7"/>
    <w:rsid w:val="00E61C96"/>
    <w:rsid w:val="00EC47BD"/>
    <w:rsid w:val="00F568C6"/>
    <w:rsid w:val="00F56C88"/>
    <w:rsid w:val="00FF4603"/>
    <w:rsid w:val="5B21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等线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宋体"/>
      <w:b/>
      <w:bCs/>
      <w:sz w:val="32"/>
      <w:szCs w:val="32"/>
    </w:rPr>
  </w:style>
  <w:style w:type="paragraph" w:styleId="4">
    <w:name w:val="heading 3"/>
    <w:basedOn w:val="1"/>
    <w:next w:val="1"/>
    <w:link w:val="4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link w:val="35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6"/>
    <w:qFormat/>
    <w:uiPriority w:val="99"/>
    <w:pPr>
      <w:jc w:val="left"/>
    </w:pPr>
  </w:style>
  <w:style w:type="paragraph" w:styleId="7">
    <w:name w:val="Body Text"/>
    <w:basedOn w:val="1"/>
    <w:link w:val="30"/>
    <w:qFormat/>
    <w:uiPriority w:val="1"/>
    <w:pPr>
      <w:spacing w:before="181"/>
      <w:ind w:left="141"/>
      <w:jc w:val="left"/>
    </w:pPr>
    <w:rPr>
      <w:rFonts w:ascii="宋体" w:hAnsi="宋体" w:cs="宋体"/>
      <w:kern w:val="0"/>
      <w:sz w:val="24"/>
      <w:lang w:eastAsia="en-US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等线" w:hAnsi="等线" w:eastAsia="等线" w:cs="宋体"/>
      <w:i/>
      <w:iCs/>
      <w:sz w:val="20"/>
      <w:szCs w:val="20"/>
    </w:rPr>
  </w:style>
  <w:style w:type="paragraph" w:styleId="9">
    <w:name w:val="Plain Text"/>
    <w:basedOn w:val="1"/>
    <w:link w:val="22"/>
    <w:qFormat/>
    <w:uiPriority w:val="0"/>
    <w:rPr>
      <w:rFonts w:ascii="宋体" w:hAnsi="Courier New"/>
    </w:rPr>
  </w:style>
  <w:style w:type="paragraph" w:styleId="10">
    <w:name w:val="Balloon Text"/>
    <w:basedOn w:val="1"/>
    <w:link w:val="25"/>
    <w:qFormat/>
    <w:uiPriority w:val="99"/>
    <w:rPr>
      <w:sz w:val="18"/>
      <w:szCs w:val="18"/>
    </w:rPr>
  </w:style>
  <w:style w:type="paragraph" w:styleId="11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link w:val="3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6"/>
    <w:next w:val="6"/>
    <w:link w:val="27"/>
    <w:qFormat/>
    <w:uiPriority w:val="99"/>
    <w:rPr>
      <w:b/>
      <w:bCs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annotation reference"/>
    <w:basedOn w:val="17"/>
    <w:qFormat/>
    <w:uiPriority w:val="99"/>
    <w:rPr>
      <w:sz w:val="21"/>
      <w:szCs w:val="21"/>
    </w:rPr>
  </w:style>
  <w:style w:type="character" w:customStyle="1" w:styleId="20">
    <w:name w:val="页脚 Char"/>
    <w:basedOn w:val="17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link w:val="23"/>
    <w:qFormat/>
    <w:uiPriority w:val="99"/>
    <w:pPr>
      <w:ind w:firstLine="420" w:firstLineChars="200"/>
    </w:pPr>
  </w:style>
  <w:style w:type="character" w:customStyle="1" w:styleId="22">
    <w:name w:val="纯文本 Char"/>
    <w:basedOn w:val="17"/>
    <w:link w:val="9"/>
    <w:qFormat/>
    <w:uiPriority w:val="0"/>
    <w:rPr>
      <w:rFonts w:ascii="宋体" w:hAnsi="Courier New" w:eastAsia="宋体" w:cs="Times New Roman"/>
      <w:szCs w:val="24"/>
    </w:rPr>
  </w:style>
  <w:style w:type="character" w:customStyle="1" w:styleId="23">
    <w:name w:val="列出段落 Char"/>
    <w:basedOn w:val="17"/>
    <w:link w:val="21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24">
    <w:name w:val="页眉 Char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Char"/>
    <w:basedOn w:val="17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文字 Char"/>
    <w:basedOn w:val="17"/>
    <w:link w:val="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批注主题 Char"/>
    <w:basedOn w:val="26"/>
    <w:link w:val="15"/>
    <w:uiPriority w:val="99"/>
    <w:rPr>
      <w:rFonts w:ascii="Times New Roman" w:hAnsi="Times New Roman" w:eastAsia="宋体" w:cs="Times New Roman"/>
      <w:b/>
      <w:bCs/>
      <w:szCs w:val="24"/>
    </w:rPr>
  </w:style>
  <w:style w:type="table" w:customStyle="1" w:styleId="2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2 Char"/>
    <w:basedOn w:val="17"/>
    <w:link w:val="3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30">
    <w:name w:val="正文文本 Char"/>
    <w:basedOn w:val="17"/>
    <w:link w:val="7"/>
    <w:uiPriority w:val="1"/>
    <w:rPr>
      <w:rFonts w:ascii="宋体" w:hAnsi="宋体" w:eastAsia="宋体"/>
      <w:kern w:val="0"/>
      <w:sz w:val="24"/>
      <w:szCs w:val="24"/>
      <w:lang w:eastAsia="en-US"/>
    </w:rPr>
  </w:style>
  <w:style w:type="character" w:customStyle="1" w:styleId="31">
    <w:name w:val="标题 1 Char"/>
    <w:basedOn w:val="17"/>
    <w:link w:val="2"/>
    <w:uiPriority w:val="9"/>
    <w:rPr>
      <w:b/>
      <w:bCs/>
      <w:kern w:val="44"/>
      <w:sz w:val="44"/>
      <w:szCs w:val="44"/>
    </w:rPr>
  </w:style>
  <w:style w:type="character" w:customStyle="1" w:styleId="32">
    <w:name w:val="005正文 Char"/>
    <w:link w:val="33"/>
    <w:qFormat/>
    <w:uiPriority w:val="0"/>
  </w:style>
  <w:style w:type="paragraph" w:customStyle="1" w:styleId="33">
    <w:name w:val="005正文"/>
    <w:basedOn w:val="1"/>
    <w:link w:val="32"/>
    <w:qFormat/>
    <w:uiPriority w:val="0"/>
    <w:pPr>
      <w:spacing w:beforeLines="50" w:line="360" w:lineRule="auto"/>
      <w:ind w:firstLine="200" w:firstLineChars="200"/>
    </w:pPr>
    <w:rPr>
      <w:rFonts w:ascii="等线" w:hAnsi="等线" w:eastAsia="等线" w:cs="宋体"/>
      <w:szCs w:val="22"/>
    </w:rPr>
  </w:style>
  <w:style w:type="paragraph" w:customStyle="1" w:styleId="34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标题 4 Char"/>
    <w:basedOn w:val="17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6">
    <w:name w:val="HTML 预设格式 Char"/>
    <w:basedOn w:val="17"/>
    <w:link w:val="1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8">
    <w:name w:val="wx_text_underline"/>
    <w:basedOn w:val="17"/>
    <w:qFormat/>
    <w:uiPriority w:val="0"/>
  </w:style>
  <w:style w:type="character" w:customStyle="1" w:styleId="39">
    <w:name w:val="wx_search_keyword_wrap"/>
    <w:basedOn w:val="17"/>
    <w:qFormat/>
    <w:uiPriority w:val="0"/>
  </w:style>
  <w:style w:type="character" w:customStyle="1" w:styleId="40">
    <w:name w:val="lb"/>
    <w:basedOn w:val="17"/>
    <w:uiPriority w:val="0"/>
  </w:style>
  <w:style w:type="character" w:customStyle="1" w:styleId="41">
    <w:name w:val="标题 3 Char"/>
    <w:basedOn w:val="17"/>
    <w:link w:val="4"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94D62-DED9-47E9-9BA2-D152FEB932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2897</Words>
  <Characters>3106</Characters>
  <Lines>23</Lines>
  <Paragraphs>6</Paragraphs>
  <TotalTime>226</TotalTime>
  <ScaleCrop>false</ScaleCrop>
  <LinksUpToDate>false</LinksUpToDate>
  <CharactersWithSpaces>3210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2025-11-25T06:30:00Z</dcterms:created>
  <dc:creator>Ge ch</dc:creator>
  <cp:lastModifiedBy>萱</cp:lastModifiedBy>
  <cp:lastPrinted>2024-08-21T06:15:00Z</cp:lastPrinted>
  <dcterms:modified xsi:type="dcterms:W3CDTF">2026-05-06T05:35:44Z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eyJoZGlkIjoiZjZiYjEwZWNkNDk2YWY3NTJkMDdiNTc5OThjODM5NGMiLCJ1c2VySWQiOiI1Mjg3NzY1NjIifQ==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E067C2D67CF0433F8A93C6E9B874C4FA_12</vt:lpwstr>
  </property>
</Properties>
</file>