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b/>
          <w:bCs/>
          <w:iCs/>
          <w:color w:val="000000"/>
        </w:rPr>
      </w:pPr>
      <w:r>
        <w:rPr>
          <w:bCs/>
          <w:iCs/>
          <w:color w:val="000000"/>
        </w:rPr>
        <w:t>证券代码：</w:t>
      </w:r>
      <w:r>
        <w:rPr>
          <w:rFonts w:hint="eastAsia"/>
          <w:bCs/>
          <w:iCs/>
          <w:color w:val="000000"/>
        </w:rPr>
        <w:t>688512</w:t>
      </w:r>
      <w:r>
        <w:rPr>
          <w:bCs/>
          <w:iCs/>
          <w:color w:val="000000"/>
        </w:rPr>
        <w:t xml:space="preserve">                            </w:t>
      </w:r>
      <w:r>
        <w:rPr>
          <w:rFonts w:hint="eastAsia"/>
          <w:bCs/>
          <w:iCs/>
          <w:color w:val="000000"/>
        </w:rPr>
        <w:t xml:space="preserve">         </w:t>
      </w:r>
      <w:r>
        <w:rPr>
          <w:bCs/>
          <w:iCs/>
          <w:color w:val="000000"/>
        </w:rPr>
        <w:t>证券简称：</w:t>
      </w:r>
      <w:r>
        <w:rPr>
          <w:rFonts w:hint="eastAsia"/>
          <w:bCs/>
          <w:iCs/>
          <w:color w:val="000000"/>
        </w:rPr>
        <w:t xml:space="preserve">慧智微 </w:t>
      </w:r>
      <w:r>
        <w:rPr>
          <w:bCs/>
          <w:iCs/>
          <w:color w:val="000000"/>
        </w:rPr>
        <w:t xml:space="preserve">  </w:t>
      </w:r>
    </w:p>
    <w:p>
      <w:pPr>
        <w:ind w:firstLine="562"/>
        <w:jc w:val="center"/>
        <w:rPr>
          <w:b/>
          <w:bCs/>
          <w:iCs/>
          <w:color w:val="000000"/>
          <w:sz w:val="28"/>
          <w:szCs w:val="28"/>
        </w:rPr>
      </w:pPr>
      <w:r>
        <w:rPr>
          <w:rFonts w:hint="eastAsia"/>
          <w:b/>
          <w:bCs/>
          <w:iCs/>
          <w:color w:val="000000"/>
          <w:sz w:val="28"/>
          <w:szCs w:val="28"/>
        </w:rPr>
        <w:t>广州慧智微电子股份有限公司</w:t>
      </w:r>
    </w:p>
    <w:p>
      <w:pPr>
        <w:ind w:firstLine="562"/>
        <w:jc w:val="center"/>
        <w:rPr>
          <w:b/>
          <w:bCs/>
          <w:iCs/>
          <w:color w:val="000000"/>
          <w:sz w:val="28"/>
          <w:szCs w:val="28"/>
        </w:rPr>
      </w:pPr>
      <w:r>
        <w:rPr>
          <w:rFonts w:hint="eastAsia"/>
          <w:b/>
          <w:bCs/>
          <w:iCs/>
          <w:color w:val="000000"/>
          <w:sz w:val="28"/>
          <w:szCs w:val="28"/>
        </w:rPr>
        <w:t>投资者关系活动记录表</w:t>
      </w:r>
    </w:p>
    <w:p>
      <w:pPr>
        <w:spacing w:line="400" w:lineRule="exact"/>
        <w:ind w:firstLine="480"/>
        <w:jc w:val="righ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编号：202</w:t>
      </w:r>
      <w:r>
        <w:rPr>
          <w:rFonts w:hint="eastAsia"/>
          <w:bCs/>
          <w:iCs/>
          <w:color w:val="000000"/>
        </w:rPr>
        <w:t>6</w:t>
      </w:r>
      <w:r>
        <w:rPr>
          <w:bCs/>
          <w:iCs/>
          <w:color w:val="000000"/>
        </w:rPr>
        <w:t>-00</w:t>
      </w:r>
      <w:r>
        <w:rPr>
          <w:rFonts w:hint="eastAsia"/>
          <w:bCs/>
          <w:iCs/>
          <w:color w:val="000000"/>
        </w:rPr>
        <w:t>1</w:t>
      </w:r>
    </w:p>
    <w:tbl>
      <w:tblPr>
        <w:tblStyle w:val="18"/>
        <w:tblpPr w:leftFromText="180" w:rightFromText="180" w:vertAnchor="text" w:horzAnchor="page" w:tblpX="1798" w:tblpY="3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投资者关系活动类别</w:t>
            </w:r>
          </w:p>
          <w:p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52"/>
            </w:r>
            <w:r>
              <w:t xml:space="preserve">特定对象调研        </w:t>
            </w:r>
            <w:r>
              <w:rPr>
                <w:bCs/>
                <w:iCs/>
                <w:color w:val="000000"/>
              </w:rPr>
              <w:sym w:font="Wingdings 2" w:char="00A3"/>
            </w:r>
            <w:r>
              <w:t>分析师会议</w:t>
            </w:r>
          </w:p>
          <w:p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A3"/>
            </w:r>
            <w:r>
              <w:t xml:space="preserve">媒体采访            </w:t>
            </w:r>
            <w:r>
              <w:rPr>
                <w:bCs/>
                <w:iCs/>
                <w:color w:val="000000"/>
              </w:rPr>
              <w:sym w:font="Wingdings 2" w:char="00A3"/>
            </w:r>
            <w:r>
              <w:t>业绩说明会</w:t>
            </w:r>
          </w:p>
          <w:p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A3"/>
            </w:r>
            <w:r>
              <w:t xml:space="preserve">新闻发布会          </w:t>
            </w:r>
            <w:r>
              <w:rPr>
                <w:bCs/>
                <w:iCs/>
                <w:color w:val="000000"/>
              </w:rPr>
              <w:sym w:font="Wingdings 2" w:char="00A3"/>
            </w:r>
            <w: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A3"/>
            </w:r>
            <w:r>
              <w:t>现场参观</w:t>
            </w:r>
            <w:r>
              <w:rPr>
                <w:bCs/>
                <w:iCs/>
                <w:color w:val="000000"/>
              </w:rPr>
              <w:tab/>
            </w:r>
          </w:p>
          <w:p>
            <w:pPr>
              <w:tabs>
                <w:tab w:val="center" w:pos="3199"/>
              </w:tabs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sym w:font="Wingdings 2" w:char="00A3"/>
            </w:r>
            <w:r>
              <w:t>其他 （</w:t>
            </w:r>
            <w:r>
              <w:rPr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6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ind w:firstLine="0" w:firstLineChars="0"/>
              <w:jc w:val="left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汇添富基金、一瓢资本、金光紫金投资、深圳市红石榴、上海明河投资、长盛基金、上海博笃投资、翀云私募基金、合道资管、运舟私募基金、圆信永丰基金、彬元资管、平安基金、上海证券、东吴证券、中道资管、拓聚投资、国融基金、海南晓鹰私募、军璐投资、第五个季节资管、华芯投资、东兴基金、君卓创业投资、盘京投资、重庆德睿恒丰、鑫宇投资、光大保德信资产、耕霁(上海)投资、雷钧资管、道仁资产、金沙江联合管理、爱建信托、惠劼私募、埃普斯国际、山西证券、闻天私募、厦门中略投资、全天候基金、泽镁娴私募、上海嘉世私募、百川财富资管、沪睿华资产、亘曦私募基金、上海理臻投资、北京赛伯乐绿科云融投资、中信期货、仲春私募、煜德、新活力资本、华泰资管、邦政资管、华泰联合证券、上海明汯投资、中天汇富基金、深圳宽源基金、国泰海通证券、上海玖鹏资管、天利投资、璞智投资、财通证券资管、中庸資本、晟择企业咨询、华泰证券、加盛投资、润晖(天津)、前海汇杰达理资本、华福证券自营、宏利基金、太平基金、合众资管、华安证券、上海弥远资管、鸿运私募基金、东海证券、上海鹤禧基金、汇正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时间</w:t>
            </w:r>
          </w:p>
        </w:tc>
        <w:tc>
          <w:tcPr>
            <w:tcW w:w="6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ind w:firstLine="0" w:firstLineChars="0"/>
              <w:jc w:val="left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202</w:t>
            </w:r>
            <w:r>
              <w:rPr>
                <w:rFonts w:hint="eastAsia"/>
                <w:bCs/>
                <w:iCs/>
                <w:color w:val="000000"/>
              </w:rPr>
              <w:t>6</w:t>
            </w:r>
            <w:r>
              <w:rPr>
                <w:bCs/>
                <w:iCs/>
                <w:color w:val="000000"/>
              </w:rPr>
              <w:t>年</w:t>
            </w:r>
            <w:r>
              <w:rPr>
                <w:rFonts w:hint="eastAsia"/>
                <w:bCs/>
                <w:iCs/>
                <w:color w:val="000000"/>
              </w:rPr>
              <w:t>4</w:t>
            </w:r>
            <w:r>
              <w:rPr>
                <w:bCs/>
                <w:iCs/>
                <w:color w:val="000000"/>
              </w:rPr>
              <w:t>月</w:t>
            </w:r>
            <w:r>
              <w:rPr>
                <w:rFonts w:hint="eastAsia"/>
                <w:bCs/>
                <w:iCs/>
                <w:color w:val="000000"/>
              </w:rPr>
              <w:t>30</w:t>
            </w:r>
            <w:r>
              <w:rPr>
                <w:bCs/>
                <w:iCs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地点</w:t>
            </w:r>
          </w:p>
        </w:tc>
        <w:tc>
          <w:tcPr>
            <w:tcW w:w="6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ind w:firstLine="0" w:firstLineChars="0"/>
              <w:jc w:val="left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广州慧智微电子股份有限公司上海办公室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ind w:firstLine="0" w:firstLineChars="0"/>
              <w:jc w:val="left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财务总监兼董事会秘书：徐斌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投资者关系活动主要内容介绍</w:t>
            </w:r>
          </w:p>
          <w:p>
            <w:pPr>
              <w:ind w:firstLine="0" w:firstLineChars="0"/>
              <w:jc w:val="center"/>
              <w:rPr>
                <w:bCs/>
                <w:iCs/>
                <w:color w:val="000000"/>
              </w:rPr>
            </w:pPr>
          </w:p>
        </w:tc>
        <w:tc>
          <w:tcPr>
            <w:tcW w:w="6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tLeast"/>
              <w:ind w:firstLine="0" w:firstLineChars="0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一、202</w:t>
            </w:r>
            <w:r>
              <w:rPr>
                <w:rFonts w:hint="eastAsia"/>
                <w:b/>
                <w:iCs/>
                <w:color w:val="000000"/>
              </w:rPr>
              <w:t>5</w:t>
            </w:r>
            <w:r>
              <w:rPr>
                <w:b/>
                <w:iCs/>
                <w:color w:val="000000"/>
              </w:rPr>
              <w:t>年</w:t>
            </w:r>
            <w:r>
              <w:rPr>
                <w:rFonts w:hint="eastAsia"/>
                <w:b/>
                <w:iCs/>
                <w:color w:val="000000"/>
              </w:rPr>
              <w:t>年度及2026年一季度经营</w:t>
            </w:r>
            <w:r>
              <w:rPr>
                <w:b/>
                <w:iCs/>
                <w:color w:val="000000"/>
              </w:rPr>
              <w:t>情况介绍</w:t>
            </w:r>
          </w:p>
          <w:p>
            <w:pPr>
              <w:pStyle w:val="35"/>
              <w:spacing w:line="480" w:lineRule="atLeast"/>
              <w:ind w:firstLine="48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2025年，公司实现营业收入8.07亿元，同比增长54.</w:t>
            </w:r>
            <w:r>
              <w:rPr>
                <w:rFonts w:hint="eastAsia"/>
                <w:bCs/>
                <w:iCs/>
                <w:color w:val="000000"/>
              </w:rPr>
              <w:t>06</w:t>
            </w:r>
            <w:r>
              <w:rPr>
                <w:bCs/>
                <w:iCs/>
                <w:color w:val="000000"/>
              </w:rPr>
              <w:t>%；毛利率为7.08%，同比提升5.18个百分点；期间费用为3.42亿元，同比下降3.9</w:t>
            </w:r>
            <w:r>
              <w:rPr>
                <w:rFonts w:hint="eastAsia"/>
                <w:bCs/>
                <w:iCs/>
                <w:color w:val="000000"/>
              </w:rPr>
              <w:t>0</w:t>
            </w:r>
            <w:r>
              <w:rPr>
                <w:bCs/>
                <w:iCs/>
                <w:color w:val="000000"/>
              </w:rPr>
              <w:t>%；归母净利润亏损2.29亿元，同比亏损收窄47.</w:t>
            </w:r>
            <w:r>
              <w:rPr>
                <w:rFonts w:hint="eastAsia"/>
                <w:bCs/>
                <w:iCs/>
                <w:color w:val="000000"/>
              </w:rPr>
              <w:t>76</w:t>
            </w:r>
            <w:r>
              <w:rPr>
                <w:bCs/>
                <w:iCs/>
                <w:color w:val="000000"/>
              </w:rPr>
              <w:t>%；扣非归母净利润亏损3.20亿元，同比亏损收窄32.</w:t>
            </w:r>
            <w:r>
              <w:rPr>
                <w:rFonts w:hint="eastAsia"/>
                <w:bCs/>
                <w:iCs/>
                <w:color w:val="000000"/>
              </w:rPr>
              <w:t>49</w:t>
            </w:r>
            <w:r>
              <w:rPr>
                <w:bCs/>
                <w:iCs/>
                <w:color w:val="000000"/>
              </w:rPr>
              <w:t>%</w:t>
            </w:r>
            <w:r>
              <w:rPr>
                <w:rFonts w:hint="eastAsia"/>
                <w:bCs/>
                <w:iCs/>
                <w:color w:val="000000"/>
              </w:rPr>
              <w:t>。</w:t>
            </w:r>
          </w:p>
          <w:p>
            <w:pPr>
              <w:pStyle w:val="35"/>
              <w:spacing w:line="480" w:lineRule="atLeast"/>
              <w:ind w:firstLine="48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2026年</w:t>
            </w:r>
            <w:r>
              <w:rPr>
                <w:rFonts w:hint="eastAsia"/>
                <w:bCs/>
                <w:iCs/>
                <w:color w:val="000000"/>
              </w:rPr>
              <w:t>一</w:t>
            </w:r>
            <w:r>
              <w:rPr>
                <w:bCs/>
                <w:iCs/>
                <w:color w:val="000000"/>
              </w:rPr>
              <w:t>季度，公司实现营业收入2.15亿元，同比增长56.</w:t>
            </w:r>
            <w:r>
              <w:rPr>
                <w:rFonts w:hint="eastAsia"/>
                <w:bCs/>
                <w:iCs/>
                <w:color w:val="000000"/>
              </w:rPr>
              <w:t>87</w:t>
            </w:r>
            <w:r>
              <w:rPr>
                <w:bCs/>
                <w:iCs/>
                <w:color w:val="000000"/>
              </w:rPr>
              <w:t>%；毛利率为13.02%，同比提升0.16个百分点；期间费用为7,896万元，同比增长19.2</w:t>
            </w:r>
            <w:r>
              <w:rPr>
                <w:rFonts w:hint="eastAsia"/>
                <w:bCs/>
                <w:iCs/>
                <w:color w:val="000000"/>
              </w:rPr>
              <w:t>5</w:t>
            </w:r>
            <w:r>
              <w:rPr>
                <w:bCs/>
                <w:iCs/>
                <w:color w:val="000000"/>
              </w:rPr>
              <w:t>%；归母净利润亏损6,644万元；扣非归母净利润亏损6,878万元</w:t>
            </w:r>
            <w:r>
              <w:rPr>
                <w:rFonts w:hint="eastAsia"/>
                <w:bCs/>
                <w:iCs/>
                <w:color w:val="000000"/>
              </w:rPr>
              <w:t>。</w:t>
            </w:r>
          </w:p>
          <w:p>
            <w:pPr>
              <w:pStyle w:val="35"/>
              <w:spacing w:line="480" w:lineRule="atLeast"/>
              <w:ind w:firstLine="480"/>
              <w:rPr>
                <w:bCs/>
                <w:iCs/>
                <w:color w:val="000000"/>
              </w:rPr>
            </w:pPr>
            <w:r>
              <w:rPr>
                <w:rFonts w:hint="eastAsia"/>
                <w:bCs/>
                <w:iCs/>
                <w:color w:val="000000"/>
              </w:rPr>
              <w:t>2025年公司</w:t>
            </w:r>
            <w:r>
              <w:rPr>
                <w:bCs/>
                <w:iCs/>
                <w:color w:val="000000"/>
              </w:rPr>
              <w:t>Phase</w:t>
            </w:r>
            <w:r>
              <w:rPr>
                <w:rFonts w:hint="eastAsia"/>
                <w:bCs/>
                <w:iCs/>
                <w:color w:val="000000"/>
              </w:rPr>
              <w:t xml:space="preserve"> </w:t>
            </w:r>
            <w:r>
              <w:rPr>
                <w:bCs/>
                <w:iCs/>
                <w:color w:val="000000"/>
              </w:rPr>
              <w:t>8L全集成L-PAMiD产品</w:t>
            </w:r>
            <w:r>
              <w:rPr>
                <w:rFonts w:hint="eastAsia"/>
                <w:bCs/>
                <w:iCs/>
                <w:color w:val="000000"/>
              </w:rPr>
              <w:t>在头部手机品牌客户的高端旗舰机型规模出货，预计2026年出货量会进一步增加。2025年，公司多款产品在海外安卓客户规模出货，预计2026年出货规模有望进一步提升。</w:t>
            </w:r>
          </w:p>
          <w:p>
            <w:pPr>
              <w:spacing w:line="480" w:lineRule="atLeast"/>
              <w:ind w:firstLine="0" w:firstLineChars="0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二、交流的主要问题及回复</w:t>
            </w:r>
          </w:p>
          <w:p>
            <w:pPr>
              <w:pStyle w:val="34"/>
              <w:numPr>
                <w:ilvl w:val="0"/>
                <w:numId w:val="0"/>
              </w:numPr>
              <w:spacing w:before="156" w:after="156"/>
              <w:ind w:left="0" w:leftChars="0" w:firstLine="0" w:firstLineChars="0"/>
              <w:rPr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b/>
                <w:szCs w:val="24"/>
              </w:rPr>
              <w:t>从产品维度来看，</w:t>
            </w:r>
            <w:r>
              <w:rPr>
                <w:rFonts w:hint="eastAsia"/>
                <w:b/>
                <w:szCs w:val="24"/>
              </w:rPr>
              <w:t>公司</w:t>
            </w:r>
            <w:r>
              <w:rPr>
                <w:b/>
                <w:szCs w:val="24"/>
              </w:rPr>
              <w:t>2025年收入结构</w:t>
            </w:r>
            <w:r>
              <w:rPr>
                <w:rFonts w:hint="eastAsia"/>
                <w:b/>
                <w:szCs w:val="24"/>
              </w:rPr>
              <w:t>是</w:t>
            </w:r>
            <w:r>
              <w:rPr>
                <w:b/>
                <w:szCs w:val="24"/>
              </w:rPr>
              <w:t>怎么样</w:t>
            </w:r>
            <w:r>
              <w:rPr>
                <w:rFonts w:hint="eastAsia"/>
                <w:b/>
                <w:szCs w:val="24"/>
              </w:rPr>
              <w:t>的？2026年一季度5G模组收入占比有何变化？</w:t>
            </w:r>
          </w:p>
          <w:p>
            <w:pPr>
              <w:pStyle w:val="34"/>
              <w:spacing w:before="156" w:after="156"/>
              <w:ind w:firstLine="48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2025年，公司持续优化产品结构，4G模组收入占比</w:t>
            </w:r>
            <w:r>
              <w:rPr>
                <w:rFonts w:hint="eastAsia"/>
                <w:bCs/>
                <w:szCs w:val="24"/>
                <w:lang w:val="en-US" w:eastAsia="zh-CN"/>
              </w:rPr>
              <w:t>约为</w:t>
            </w:r>
            <w:r>
              <w:rPr>
                <w:rFonts w:hint="eastAsia"/>
                <w:bCs/>
                <w:szCs w:val="24"/>
              </w:rPr>
              <w:t>40%，5G模组收入占比</w:t>
            </w:r>
            <w:r>
              <w:rPr>
                <w:rFonts w:hint="eastAsia"/>
                <w:bCs/>
                <w:szCs w:val="24"/>
                <w:lang w:val="en-US" w:eastAsia="zh-CN"/>
              </w:rPr>
              <w:t>约为</w:t>
            </w:r>
            <w:r>
              <w:rPr>
                <w:rFonts w:hint="eastAsia"/>
                <w:bCs/>
                <w:szCs w:val="24"/>
              </w:rPr>
              <w:t>60%；2026年一季度，5G模组收入占比提升，约占总体营收70%。</w:t>
            </w:r>
          </w:p>
          <w:p>
            <w:pPr>
              <w:pStyle w:val="34"/>
              <w:numPr>
                <w:ilvl w:val="0"/>
                <w:numId w:val="0"/>
              </w:numPr>
              <w:spacing w:before="156" w:after="156"/>
              <w:ind w:left="0" w:leftChars="0" w:firstLine="0" w:firstLineChars="0"/>
              <w:rPr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b/>
                <w:szCs w:val="24"/>
              </w:rPr>
              <w:t>2025年营收大幅增长主要</w:t>
            </w:r>
            <w:r>
              <w:rPr>
                <w:rFonts w:hint="eastAsia"/>
                <w:b/>
                <w:szCs w:val="24"/>
              </w:rPr>
              <w:t>来源是什么？</w:t>
            </w:r>
          </w:p>
          <w:p>
            <w:pPr>
              <w:pStyle w:val="34"/>
              <w:spacing w:before="156" w:after="156"/>
              <w:ind w:firstLine="480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2025年业绩</w:t>
            </w:r>
            <w:r>
              <w:rPr>
                <w:rFonts w:hint="eastAsia"/>
                <w:bCs/>
                <w:szCs w:val="24"/>
              </w:rPr>
              <w:t>实现</w:t>
            </w:r>
            <w:r>
              <w:rPr>
                <w:bCs/>
                <w:szCs w:val="24"/>
              </w:rPr>
              <w:t>增长</w:t>
            </w:r>
            <w:r>
              <w:rPr>
                <w:rFonts w:hint="eastAsia"/>
                <w:bCs/>
                <w:szCs w:val="24"/>
              </w:rPr>
              <w:t>，一方面</w:t>
            </w:r>
            <w:r>
              <w:rPr>
                <w:bCs/>
                <w:szCs w:val="24"/>
              </w:rPr>
              <w:t>受益于平台客户</w:t>
            </w:r>
            <w:r>
              <w:rPr>
                <w:rFonts w:hint="eastAsia"/>
                <w:bCs/>
                <w:szCs w:val="24"/>
              </w:rPr>
              <w:t>及</w:t>
            </w:r>
            <w:r>
              <w:rPr>
                <w:bCs/>
                <w:szCs w:val="24"/>
              </w:rPr>
              <w:t>海外安卓客户规模化出货，</w:t>
            </w:r>
            <w:r>
              <w:rPr>
                <w:rFonts w:hint="eastAsia"/>
                <w:bCs/>
                <w:szCs w:val="24"/>
              </w:rPr>
              <w:t>另一方面得益于</w:t>
            </w:r>
            <w:r>
              <w:rPr>
                <w:bCs/>
                <w:szCs w:val="24"/>
              </w:rPr>
              <w:t>L-PAMiD产品在</w:t>
            </w:r>
            <w:r>
              <w:rPr>
                <w:rFonts w:hint="eastAsia"/>
                <w:bCs/>
                <w:szCs w:val="24"/>
              </w:rPr>
              <w:t>国内品牌客户</w:t>
            </w:r>
            <w:r>
              <w:rPr>
                <w:bCs/>
                <w:szCs w:val="24"/>
              </w:rPr>
              <w:t>高端旗舰机型</w:t>
            </w:r>
            <w:r>
              <w:rPr>
                <w:rFonts w:hint="eastAsia"/>
                <w:bCs/>
                <w:szCs w:val="24"/>
              </w:rPr>
              <w:t>实现</w:t>
            </w:r>
            <w:r>
              <w:rPr>
                <w:bCs/>
                <w:szCs w:val="24"/>
              </w:rPr>
              <w:t>量产。</w:t>
            </w:r>
          </w:p>
          <w:p>
            <w:pPr>
              <w:pStyle w:val="34"/>
              <w:numPr>
                <w:ilvl w:val="0"/>
                <w:numId w:val="0"/>
              </w:numPr>
              <w:spacing w:before="156" w:after="156"/>
              <w:ind w:left="0" w:leftChars="0" w:firstLine="0" w:firstLineChars="0"/>
              <w:rPr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b/>
                <w:szCs w:val="24"/>
              </w:rPr>
              <w:t>手机终端出货量下行是否会对公司营收产生同步影响</w:t>
            </w:r>
            <w:r>
              <w:rPr>
                <w:rFonts w:hint="eastAsia"/>
                <w:b/>
                <w:szCs w:val="24"/>
              </w:rPr>
              <w:t>？</w:t>
            </w:r>
          </w:p>
          <w:p>
            <w:pPr>
              <w:pStyle w:val="34"/>
              <w:spacing w:before="156" w:after="156"/>
              <w:ind w:firstLine="48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尽管</w:t>
            </w:r>
            <w:r>
              <w:rPr>
                <w:bCs/>
                <w:szCs w:val="24"/>
              </w:rPr>
              <w:t>消费电子</w:t>
            </w:r>
            <w:r>
              <w:rPr>
                <w:rFonts w:hint="eastAsia"/>
                <w:bCs/>
                <w:szCs w:val="24"/>
              </w:rPr>
              <w:t>行业受</w:t>
            </w:r>
            <w:r>
              <w:rPr>
                <w:bCs/>
                <w:szCs w:val="24"/>
              </w:rPr>
              <w:t>存储涨价影响需求</w:t>
            </w:r>
            <w:r>
              <w:rPr>
                <w:rFonts w:hint="eastAsia"/>
                <w:bCs/>
                <w:szCs w:val="24"/>
              </w:rPr>
              <w:t>有所</w:t>
            </w:r>
            <w:r>
              <w:rPr>
                <w:bCs/>
                <w:szCs w:val="24"/>
              </w:rPr>
              <w:t>下调，但</w:t>
            </w:r>
            <w:r>
              <w:rPr>
                <w:rFonts w:hint="eastAsia"/>
                <w:bCs/>
                <w:szCs w:val="24"/>
              </w:rPr>
              <w:t>公司多颗产品陆续在品牌客户的</w:t>
            </w:r>
            <w:r>
              <w:rPr>
                <w:bCs/>
                <w:szCs w:val="24"/>
              </w:rPr>
              <w:t>高端旗舰机型</w:t>
            </w:r>
            <w:r>
              <w:rPr>
                <w:rFonts w:hint="eastAsia"/>
                <w:bCs/>
                <w:szCs w:val="24"/>
              </w:rPr>
              <w:t>量产</w:t>
            </w:r>
            <w:r>
              <w:rPr>
                <w:bCs/>
                <w:szCs w:val="24"/>
              </w:rPr>
              <w:t>，这有利于</w:t>
            </w:r>
            <w:r>
              <w:rPr>
                <w:rFonts w:hint="eastAsia"/>
                <w:bCs/>
                <w:szCs w:val="24"/>
              </w:rPr>
              <w:t>提升公司营收及盈利能力</w:t>
            </w:r>
            <w:r>
              <w:rPr>
                <w:bCs/>
                <w:szCs w:val="24"/>
              </w:rPr>
              <w:t>。</w:t>
            </w:r>
          </w:p>
          <w:p>
            <w:pPr>
              <w:pStyle w:val="34"/>
              <w:numPr>
                <w:ilvl w:val="0"/>
                <w:numId w:val="0"/>
              </w:numPr>
              <w:spacing w:before="156" w:after="156"/>
              <w:rPr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hint="eastAsia"/>
                <w:b/>
                <w:szCs w:val="24"/>
              </w:rPr>
              <w:t>2026年，公司营收预测规模如何？</w:t>
            </w:r>
          </w:p>
          <w:p>
            <w:pPr>
              <w:pStyle w:val="34"/>
              <w:spacing w:before="156" w:after="156"/>
              <w:ind w:firstLine="480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2026年，</w:t>
            </w:r>
            <w:r>
              <w:rPr>
                <w:rFonts w:hint="eastAsia"/>
                <w:bCs/>
                <w:szCs w:val="24"/>
              </w:rPr>
              <w:t>随着公司客户结构持续优化、</w:t>
            </w:r>
            <w:r>
              <w:rPr>
                <w:bCs/>
                <w:szCs w:val="24"/>
              </w:rPr>
              <w:t xml:space="preserve"> L-PAMiD 等高端产品的客户渗透与量产落地，营收有望保持</w:t>
            </w:r>
            <w:r>
              <w:rPr>
                <w:rFonts w:hint="eastAsia"/>
                <w:bCs/>
                <w:szCs w:val="24"/>
              </w:rPr>
              <w:t>持续</w:t>
            </w:r>
            <w:r>
              <w:rPr>
                <w:bCs/>
                <w:szCs w:val="24"/>
              </w:rPr>
              <w:t>增长态势。后续公司将持续深耕主业、拓展客户及产品品类，稳步提升经营规模。</w:t>
            </w:r>
          </w:p>
          <w:p>
            <w:pPr>
              <w:pStyle w:val="34"/>
              <w:numPr>
                <w:ilvl w:val="0"/>
                <w:numId w:val="0"/>
              </w:numPr>
              <w:spacing w:before="156" w:after="156"/>
              <w:rPr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5、</w:t>
            </w:r>
            <w:r>
              <w:rPr>
                <w:rFonts w:hint="eastAsia"/>
                <w:b/>
                <w:szCs w:val="24"/>
              </w:rPr>
              <w:t>公司在海外安卓客户营收情况如何？</w:t>
            </w:r>
          </w:p>
          <w:p>
            <w:pPr>
              <w:pStyle w:val="34"/>
              <w:spacing w:before="156" w:after="156"/>
              <w:ind w:firstLine="480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2025年，公司</w:t>
            </w:r>
            <w:r>
              <w:rPr>
                <w:rFonts w:hint="eastAsia"/>
                <w:bCs/>
                <w:szCs w:val="24"/>
              </w:rPr>
              <w:t>在</w:t>
            </w:r>
            <w:r>
              <w:rPr>
                <w:bCs/>
                <w:szCs w:val="24"/>
              </w:rPr>
              <w:t>海外安卓客户</w:t>
            </w:r>
            <w:r>
              <w:rPr>
                <w:rFonts w:hint="eastAsia"/>
                <w:bCs/>
                <w:szCs w:val="24"/>
              </w:rPr>
              <w:t>规模量产</w:t>
            </w:r>
            <w:r>
              <w:rPr>
                <w:bCs/>
                <w:szCs w:val="24"/>
              </w:rPr>
              <w:t>，预计2026年该客户出货量将</w:t>
            </w:r>
            <w:r>
              <w:rPr>
                <w:rFonts w:hint="eastAsia"/>
                <w:bCs/>
                <w:szCs w:val="24"/>
              </w:rPr>
              <w:t>继续</w:t>
            </w:r>
            <w:r>
              <w:rPr>
                <w:bCs/>
                <w:szCs w:val="24"/>
              </w:rPr>
              <w:t>增长</w:t>
            </w:r>
            <w:r>
              <w:rPr>
                <w:rFonts w:hint="eastAsia"/>
                <w:bCs/>
                <w:szCs w:val="24"/>
              </w:rPr>
              <w:t>。</w:t>
            </w:r>
          </w:p>
          <w:p>
            <w:pPr>
              <w:pStyle w:val="34"/>
              <w:numPr>
                <w:ilvl w:val="0"/>
                <w:numId w:val="0"/>
              </w:numPr>
              <w:spacing w:before="156" w:after="156"/>
              <w:rPr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6、</w:t>
            </w:r>
            <w:r>
              <w:rPr>
                <w:rFonts w:hint="eastAsia"/>
                <w:b/>
                <w:szCs w:val="24"/>
              </w:rPr>
              <w:t>公司L-PAMiD产品营收情况如何？未来是否会有突破？</w:t>
            </w:r>
          </w:p>
          <w:p>
            <w:pPr>
              <w:pStyle w:val="34"/>
              <w:spacing w:before="156" w:after="156"/>
              <w:ind w:firstLine="480"/>
              <w:rPr>
                <w:szCs w:val="21"/>
              </w:rPr>
            </w:pPr>
            <w:r>
              <w:rPr>
                <w:rFonts w:hint="eastAsia"/>
                <w:szCs w:val="21"/>
              </w:rPr>
              <w:t>2025年，公司Phase 8L全集成L-PAMiD产品在国内头部品牌客户高端旗舰机型已大规模量产导入，后续产能将逐步爬坡，将带动2026年营收持续增长。</w:t>
            </w:r>
          </w:p>
          <w:p>
            <w:pPr>
              <w:pStyle w:val="34"/>
              <w:numPr>
                <w:ilvl w:val="0"/>
                <w:numId w:val="0"/>
              </w:numPr>
              <w:spacing w:before="156" w:after="156"/>
              <w:rPr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7、</w:t>
            </w:r>
            <w:r>
              <w:rPr>
                <w:rFonts w:hint="eastAsia"/>
                <w:b/>
                <w:szCs w:val="24"/>
              </w:rPr>
              <w:t>公司毛利率持续性如何？</w:t>
            </w:r>
          </w:p>
          <w:p>
            <w:pPr>
              <w:pStyle w:val="34"/>
              <w:spacing w:before="156" w:after="156"/>
              <w:ind w:firstLine="48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公司毛利率具备持续改善基础。2026年一季度，公司持续优化客户结构，高毛利品牌客户收入占比有所提升，以上将对毛利率有正向影响。</w:t>
            </w:r>
          </w:p>
          <w:p>
            <w:pPr>
              <w:pStyle w:val="34"/>
              <w:numPr>
                <w:ilvl w:val="0"/>
                <w:numId w:val="0"/>
              </w:numPr>
              <w:spacing w:before="156" w:after="156"/>
              <w:rPr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8、</w:t>
            </w:r>
            <w:r>
              <w:rPr>
                <w:b/>
                <w:szCs w:val="24"/>
              </w:rPr>
              <w:t>公司在新应用方向如卫星、车载方面有何规划</w:t>
            </w:r>
            <w:r>
              <w:rPr>
                <w:rFonts w:hint="eastAsia"/>
                <w:b/>
                <w:szCs w:val="24"/>
              </w:rPr>
              <w:t>？</w:t>
            </w:r>
          </w:p>
          <w:p>
            <w:pPr>
              <w:pStyle w:val="34"/>
              <w:spacing w:before="156" w:after="156"/>
              <w:ind w:firstLine="480"/>
              <w:rPr>
                <w:bCs/>
                <w:szCs w:val="24"/>
              </w:rPr>
            </w:pPr>
            <w:r>
              <w:rPr>
                <w:bCs/>
                <w:szCs w:val="24"/>
              </w:rPr>
              <w:t>公司已推出WiFi FEM产品</w:t>
            </w:r>
            <w:r>
              <w:rPr>
                <w:rFonts w:hint="eastAsia"/>
                <w:bCs/>
                <w:szCs w:val="24"/>
              </w:rPr>
              <w:t>；</w:t>
            </w:r>
            <w:r>
              <w:rPr>
                <w:bCs/>
                <w:szCs w:val="24"/>
              </w:rPr>
              <w:t>车载业务方面，公司部分产品已通过车规可靠性验证，获得AEC‑Q104车规认证，正积极推进客户端推广</w:t>
            </w:r>
            <w:r>
              <w:rPr>
                <w:rFonts w:hint="eastAsia"/>
                <w:bCs/>
                <w:szCs w:val="24"/>
              </w:rPr>
              <w:t>。</w:t>
            </w:r>
          </w:p>
          <w:p>
            <w:pPr>
              <w:pStyle w:val="34"/>
              <w:numPr>
                <w:ilvl w:val="0"/>
                <w:numId w:val="0"/>
              </w:numPr>
              <w:spacing w:before="156" w:after="156"/>
              <w:rPr>
                <w:b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9、</w:t>
            </w:r>
            <w:r>
              <w:rPr>
                <w:b/>
                <w:szCs w:val="24"/>
              </w:rPr>
              <w:t>下一代</w:t>
            </w:r>
            <w:r>
              <w:rPr>
                <w:rFonts w:hint="eastAsia"/>
                <w:b/>
                <w:szCs w:val="24"/>
              </w:rPr>
              <w:t>方案</w:t>
            </w:r>
            <w:r>
              <w:rPr>
                <w:b/>
                <w:szCs w:val="24"/>
              </w:rPr>
              <w:t xml:space="preserve">Phase 9和Phase </w:t>
            </w:r>
            <w:r>
              <w:rPr>
                <w:rFonts w:hint="eastAsia"/>
                <w:b/>
                <w:szCs w:val="24"/>
              </w:rPr>
              <w:t>X</w:t>
            </w:r>
            <w:r>
              <w:rPr>
                <w:b/>
                <w:szCs w:val="24"/>
              </w:rPr>
              <w:t>的</w:t>
            </w:r>
            <w:r>
              <w:rPr>
                <w:rFonts w:hint="eastAsia"/>
                <w:b/>
                <w:szCs w:val="24"/>
              </w:rPr>
              <w:t>情况如何</w:t>
            </w:r>
            <w:r>
              <w:rPr>
                <w:b/>
                <w:szCs w:val="24"/>
              </w:rPr>
              <w:t>？</w:t>
            </w:r>
          </w:p>
          <w:p>
            <w:pPr>
              <w:pStyle w:val="34"/>
              <w:spacing w:before="156" w:after="156"/>
              <w:ind w:firstLine="480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下一代方案对产品</w:t>
            </w:r>
            <w:r>
              <w:rPr>
                <w:bCs/>
                <w:szCs w:val="24"/>
              </w:rPr>
              <w:t>性能、集成度、功耗均提出更高要求</w:t>
            </w:r>
            <w:r>
              <w:rPr>
                <w:rFonts w:hint="eastAsia"/>
                <w:bCs/>
                <w:szCs w:val="24"/>
              </w:rPr>
              <w:t>，公司已开展对新方案产品的研发。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附件清单（如有）</w:t>
            </w:r>
          </w:p>
        </w:tc>
        <w:tc>
          <w:tcPr>
            <w:tcW w:w="6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关于本次活动是否涉及应当披露重大信息的说明</w:t>
            </w:r>
          </w:p>
        </w:tc>
        <w:tc>
          <w:tcPr>
            <w:tcW w:w="6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tLeast"/>
              <w:ind w:firstLine="0" w:firstLineChars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本次活动不涉及应当披露重大信息。</w:t>
            </w:r>
          </w:p>
        </w:tc>
      </w:tr>
    </w:tbl>
    <w:p>
      <w:pPr>
        <w:spacing w:line="400" w:lineRule="exact"/>
        <w:ind w:firstLine="0" w:firstLineChars="0"/>
        <w:rPr>
          <w:bCs/>
          <w:iCs/>
          <w:color w:val="000000"/>
        </w:rPr>
      </w:pPr>
    </w:p>
    <w:p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E2CC6"/>
    <w:multiLevelType w:val="multilevel"/>
    <w:tmpl w:val="211E2CC6"/>
    <w:lvl w:ilvl="0" w:tentative="0">
      <w:start w:val="1"/>
      <w:numFmt w:val="chineseCountingThousand"/>
      <w:pStyle w:val="2"/>
      <w:suff w:val="nothing"/>
      <w:lvlText w:val="第%1节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32"/>
      </w:rPr>
    </w:lvl>
    <w:lvl w:ilvl="1" w:tentative="0">
      <w:start w:val="1"/>
      <w:numFmt w:val="koreanDigital2"/>
      <w:pStyle w:val="4"/>
      <w:suff w:val="nothing"/>
      <w:lvlText w:val="%2、"/>
      <w:lvlJc w:val="left"/>
      <w:pPr>
        <w:ind w:left="0" w:firstLine="0"/>
      </w:pPr>
      <w:rPr>
        <w:rFonts w:hint="default" w:ascii="Times New Roman" w:hAnsi="Times New Roman" w:cs="Times New Roman"/>
        <w:b w:val="0"/>
        <w:i w:val="0"/>
        <w:sz w:val="28"/>
      </w:rPr>
    </w:lvl>
    <w:lvl w:ilvl="2" w:tentative="0">
      <w:start w:val="1"/>
      <w:numFmt w:val="koreanDigital2"/>
      <w:pStyle w:val="5"/>
      <w:suff w:val="nothing"/>
      <w:lvlText w:val="（%3）"/>
      <w:lvlJc w:val="left"/>
      <w:pPr>
        <w:ind w:left="0" w:firstLine="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6"/>
      <w:suff w:val="nothing"/>
      <w:lvlText w:val="%4、"/>
      <w:lvlJc w:val="left"/>
      <w:pPr>
        <w:ind w:left="0" w:firstLine="0"/>
      </w:pPr>
      <w:rPr>
        <w:rFonts w:hint="default" w:ascii="Times New Roman" w:hAnsi="Times New Roman" w:cs="Times New Roman"/>
        <w:b/>
        <w:i w:val="0"/>
        <w:sz w:val="24"/>
      </w:rPr>
    </w:lvl>
    <w:lvl w:ilvl="4" w:tentative="0">
      <w:start w:val="1"/>
      <w:numFmt w:val="decimal"/>
      <w:pStyle w:val="7"/>
      <w:suff w:val="nothing"/>
      <w:lvlText w:val="（%5）"/>
      <w:lvlJc w:val="left"/>
      <w:pPr>
        <w:ind w:left="0" w:firstLine="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0"/>
      </w:pPr>
      <w:rPr>
        <w:rFonts w:hint="default" w:ascii="Times New Roman" w:hAnsi="Times New Roman" w:cs="Times New Roman"/>
        <w:b w:val="0"/>
        <w:i w:val="0"/>
        <w:sz w:val="24"/>
        <w:u w:val="none"/>
      </w:rPr>
    </w:lvl>
    <w:lvl w:ilvl="6" w:tentative="0">
      <w:start w:val="1"/>
      <w:numFmt w:val="decimalEnclosedCircle"/>
      <w:pStyle w:val="9"/>
      <w:suff w:val="nothing"/>
      <w:lvlText w:val="%7"/>
      <w:lvlJc w:val="left"/>
      <w:pPr>
        <w:ind w:left="0" w:firstLine="0"/>
      </w:pPr>
      <w:rPr>
        <w:rFonts w:hint="default" w:ascii="Times New Roman" w:hAnsi="Times New Roman" w:cs="Times New Roman"/>
        <w:b w:val="0"/>
        <w:i w:val="0"/>
        <w:sz w:val="24"/>
        <w:lang w:val="en-US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2NzBjZjY1N2M2ZDhiZTU1ZjM1ODczNDhiOWJkOTQifQ=="/>
  </w:docVars>
  <w:rsids>
    <w:rsidRoot w:val="002963FE"/>
    <w:rsid w:val="0000167D"/>
    <w:rsid w:val="0000205E"/>
    <w:rsid w:val="00003434"/>
    <w:rsid w:val="000107ED"/>
    <w:rsid w:val="00013CB2"/>
    <w:rsid w:val="00026015"/>
    <w:rsid w:val="00027259"/>
    <w:rsid w:val="000339DC"/>
    <w:rsid w:val="00037243"/>
    <w:rsid w:val="0005388C"/>
    <w:rsid w:val="00065F0D"/>
    <w:rsid w:val="00083884"/>
    <w:rsid w:val="00085B1A"/>
    <w:rsid w:val="000865B1"/>
    <w:rsid w:val="000876C2"/>
    <w:rsid w:val="00087737"/>
    <w:rsid w:val="000A7959"/>
    <w:rsid w:val="000D1E57"/>
    <w:rsid w:val="000D3B4B"/>
    <w:rsid w:val="0012543D"/>
    <w:rsid w:val="00135880"/>
    <w:rsid w:val="00167C0C"/>
    <w:rsid w:val="0018582C"/>
    <w:rsid w:val="001954EA"/>
    <w:rsid w:val="001A0B10"/>
    <w:rsid w:val="001A16DE"/>
    <w:rsid w:val="001B32A7"/>
    <w:rsid w:val="001C724B"/>
    <w:rsid w:val="001D0865"/>
    <w:rsid w:val="001E7710"/>
    <w:rsid w:val="00221BF8"/>
    <w:rsid w:val="00227AC2"/>
    <w:rsid w:val="00227ADB"/>
    <w:rsid w:val="0024611F"/>
    <w:rsid w:val="00252422"/>
    <w:rsid w:val="00290F09"/>
    <w:rsid w:val="0029227E"/>
    <w:rsid w:val="002963FE"/>
    <w:rsid w:val="002A5C0B"/>
    <w:rsid w:val="002B3BDE"/>
    <w:rsid w:val="002B55F2"/>
    <w:rsid w:val="00301862"/>
    <w:rsid w:val="0031037B"/>
    <w:rsid w:val="003310D8"/>
    <w:rsid w:val="00333E15"/>
    <w:rsid w:val="00366385"/>
    <w:rsid w:val="003A4996"/>
    <w:rsid w:val="003C59A0"/>
    <w:rsid w:val="003E2B9A"/>
    <w:rsid w:val="003E2E84"/>
    <w:rsid w:val="003F3957"/>
    <w:rsid w:val="00417016"/>
    <w:rsid w:val="00417070"/>
    <w:rsid w:val="0042117C"/>
    <w:rsid w:val="004239E3"/>
    <w:rsid w:val="00426E8D"/>
    <w:rsid w:val="004465B7"/>
    <w:rsid w:val="00452299"/>
    <w:rsid w:val="0045621F"/>
    <w:rsid w:val="00474B22"/>
    <w:rsid w:val="00476251"/>
    <w:rsid w:val="004809ED"/>
    <w:rsid w:val="004A09A3"/>
    <w:rsid w:val="004A6B81"/>
    <w:rsid w:val="004B1074"/>
    <w:rsid w:val="004B5A8B"/>
    <w:rsid w:val="004D53FD"/>
    <w:rsid w:val="00513D17"/>
    <w:rsid w:val="00546DA6"/>
    <w:rsid w:val="00555B7C"/>
    <w:rsid w:val="00556977"/>
    <w:rsid w:val="00561621"/>
    <w:rsid w:val="005B2EA6"/>
    <w:rsid w:val="00614719"/>
    <w:rsid w:val="00641E48"/>
    <w:rsid w:val="00653806"/>
    <w:rsid w:val="00654514"/>
    <w:rsid w:val="00655546"/>
    <w:rsid w:val="006B2612"/>
    <w:rsid w:val="006B77DE"/>
    <w:rsid w:val="006C2415"/>
    <w:rsid w:val="006C4D1E"/>
    <w:rsid w:val="007270B2"/>
    <w:rsid w:val="00731946"/>
    <w:rsid w:val="00734BE6"/>
    <w:rsid w:val="00737ED5"/>
    <w:rsid w:val="00757D28"/>
    <w:rsid w:val="0076144B"/>
    <w:rsid w:val="00763E34"/>
    <w:rsid w:val="007650DC"/>
    <w:rsid w:val="00795870"/>
    <w:rsid w:val="00797315"/>
    <w:rsid w:val="007C3399"/>
    <w:rsid w:val="007C4587"/>
    <w:rsid w:val="007D460F"/>
    <w:rsid w:val="007E1548"/>
    <w:rsid w:val="007E5B76"/>
    <w:rsid w:val="0080166F"/>
    <w:rsid w:val="00837B2D"/>
    <w:rsid w:val="0085798A"/>
    <w:rsid w:val="00862B9E"/>
    <w:rsid w:val="0088215C"/>
    <w:rsid w:val="008852C9"/>
    <w:rsid w:val="008B3400"/>
    <w:rsid w:val="008D361D"/>
    <w:rsid w:val="008D52FF"/>
    <w:rsid w:val="008D765D"/>
    <w:rsid w:val="008E4294"/>
    <w:rsid w:val="0090347D"/>
    <w:rsid w:val="00907EA1"/>
    <w:rsid w:val="0092355F"/>
    <w:rsid w:val="00933041"/>
    <w:rsid w:val="00934D41"/>
    <w:rsid w:val="00936B36"/>
    <w:rsid w:val="0096210C"/>
    <w:rsid w:val="0097755C"/>
    <w:rsid w:val="00984681"/>
    <w:rsid w:val="009872C4"/>
    <w:rsid w:val="009A01BF"/>
    <w:rsid w:val="009A1079"/>
    <w:rsid w:val="009B6CDF"/>
    <w:rsid w:val="009D3B16"/>
    <w:rsid w:val="009E36B5"/>
    <w:rsid w:val="009F6500"/>
    <w:rsid w:val="00A0143C"/>
    <w:rsid w:val="00A0229E"/>
    <w:rsid w:val="00A039CB"/>
    <w:rsid w:val="00A10F3E"/>
    <w:rsid w:val="00A21B70"/>
    <w:rsid w:val="00A30ABC"/>
    <w:rsid w:val="00A3142C"/>
    <w:rsid w:val="00A36504"/>
    <w:rsid w:val="00A61C39"/>
    <w:rsid w:val="00A730E8"/>
    <w:rsid w:val="00A861DB"/>
    <w:rsid w:val="00AC64B7"/>
    <w:rsid w:val="00AC7233"/>
    <w:rsid w:val="00AD0821"/>
    <w:rsid w:val="00AD2345"/>
    <w:rsid w:val="00AD29C2"/>
    <w:rsid w:val="00AF2045"/>
    <w:rsid w:val="00B0525B"/>
    <w:rsid w:val="00B11455"/>
    <w:rsid w:val="00B12D8B"/>
    <w:rsid w:val="00B16710"/>
    <w:rsid w:val="00B17931"/>
    <w:rsid w:val="00B37FBE"/>
    <w:rsid w:val="00B44AB4"/>
    <w:rsid w:val="00B45C73"/>
    <w:rsid w:val="00B85702"/>
    <w:rsid w:val="00BB5D25"/>
    <w:rsid w:val="00BF34F0"/>
    <w:rsid w:val="00C10549"/>
    <w:rsid w:val="00C1198B"/>
    <w:rsid w:val="00C21704"/>
    <w:rsid w:val="00C2663F"/>
    <w:rsid w:val="00C52D2F"/>
    <w:rsid w:val="00C65FC9"/>
    <w:rsid w:val="00C71784"/>
    <w:rsid w:val="00C7240C"/>
    <w:rsid w:val="00C80DC6"/>
    <w:rsid w:val="00C942B2"/>
    <w:rsid w:val="00C97EBD"/>
    <w:rsid w:val="00CA2638"/>
    <w:rsid w:val="00CB5F81"/>
    <w:rsid w:val="00CB7EC9"/>
    <w:rsid w:val="00CC6882"/>
    <w:rsid w:val="00CF74A6"/>
    <w:rsid w:val="00D0340A"/>
    <w:rsid w:val="00D276FC"/>
    <w:rsid w:val="00D522B8"/>
    <w:rsid w:val="00D66C99"/>
    <w:rsid w:val="00D72F03"/>
    <w:rsid w:val="00D8030D"/>
    <w:rsid w:val="00D971BA"/>
    <w:rsid w:val="00DA0CEA"/>
    <w:rsid w:val="00DA563A"/>
    <w:rsid w:val="00DB35E2"/>
    <w:rsid w:val="00DC5D00"/>
    <w:rsid w:val="00DC6A40"/>
    <w:rsid w:val="00DE04B2"/>
    <w:rsid w:val="00DE29FB"/>
    <w:rsid w:val="00DE3BAC"/>
    <w:rsid w:val="00DE7B62"/>
    <w:rsid w:val="00E12FB9"/>
    <w:rsid w:val="00E16D10"/>
    <w:rsid w:val="00E3023D"/>
    <w:rsid w:val="00E3283D"/>
    <w:rsid w:val="00E51B4B"/>
    <w:rsid w:val="00E71A4C"/>
    <w:rsid w:val="00E74B2E"/>
    <w:rsid w:val="00E80272"/>
    <w:rsid w:val="00EA14F1"/>
    <w:rsid w:val="00ED3BDA"/>
    <w:rsid w:val="00EE0117"/>
    <w:rsid w:val="00EF3DE4"/>
    <w:rsid w:val="00F0203F"/>
    <w:rsid w:val="00F03CE5"/>
    <w:rsid w:val="00F05EF2"/>
    <w:rsid w:val="00F1454F"/>
    <w:rsid w:val="00F22152"/>
    <w:rsid w:val="00F51E0A"/>
    <w:rsid w:val="00FA36D7"/>
    <w:rsid w:val="00FD666B"/>
    <w:rsid w:val="00FE3A01"/>
    <w:rsid w:val="02B92D50"/>
    <w:rsid w:val="07D068F2"/>
    <w:rsid w:val="0EB63A2E"/>
    <w:rsid w:val="12DA0200"/>
    <w:rsid w:val="19807BC7"/>
    <w:rsid w:val="219775FD"/>
    <w:rsid w:val="23993B8F"/>
    <w:rsid w:val="3C124C24"/>
    <w:rsid w:val="489A279D"/>
    <w:rsid w:val="54954BE7"/>
    <w:rsid w:val="66A8423E"/>
    <w:rsid w:val="69783EC9"/>
    <w:rsid w:val="6F2436A8"/>
    <w:rsid w:val="71692EAD"/>
    <w:rsid w:val="7695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iPriority="2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1"/>
    <w:pPr>
      <w:keepNext/>
      <w:keepLines/>
      <w:pageBreakBefore/>
      <w:numPr>
        <w:ilvl w:val="0"/>
        <w:numId w:val="1"/>
      </w:numPr>
      <w:spacing w:before="50" w:beforeLines="50" w:after="50" w:afterLines="50" w:line="360" w:lineRule="auto"/>
      <w:jc w:val="center"/>
      <w:outlineLvl w:val="0"/>
    </w:pPr>
    <w:rPr>
      <w:rFonts w:ascii="Times New Roman" w:hAnsi="Times New Roman" w:eastAsia="黑体" w:cs="Times New Roman"/>
      <w:bCs/>
      <w:sz w:val="32"/>
      <w:szCs w:val="44"/>
      <w:lang w:val="en-US" w:eastAsia="zh-CN" w:bidi="ar-SA"/>
    </w:rPr>
  </w:style>
  <w:style w:type="paragraph" w:styleId="4">
    <w:name w:val="heading 2"/>
    <w:next w:val="3"/>
    <w:link w:val="22"/>
    <w:qFormat/>
    <w:uiPriority w:val="1"/>
    <w:pPr>
      <w:keepNext/>
      <w:keepLines/>
      <w:numPr>
        <w:ilvl w:val="1"/>
        <w:numId w:val="1"/>
      </w:numPr>
      <w:spacing w:before="50" w:beforeLines="50" w:after="50" w:afterLines="50" w:line="360" w:lineRule="auto"/>
      <w:jc w:val="both"/>
      <w:outlineLvl w:val="1"/>
    </w:pPr>
    <w:rPr>
      <w:rFonts w:ascii="Times New Roman" w:hAnsi="Times New Roman" w:eastAsia="黑体" w:cs="Times New Roman"/>
      <w:bCs/>
      <w:kern w:val="2"/>
      <w:sz w:val="28"/>
      <w:szCs w:val="32"/>
      <w:lang w:val="en-US" w:eastAsia="zh-CN" w:bidi="ar-SA"/>
    </w:rPr>
  </w:style>
  <w:style w:type="paragraph" w:styleId="5">
    <w:name w:val="heading 3"/>
    <w:next w:val="3"/>
    <w:link w:val="23"/>
    <w:qFormat/>
    <w:uiPriority w:val="1"/>
    <w:pPr>
      <w:keepNext/>
      <w:keepLines/>
      <w:numPr>
        <w:ilvl w:val="2"/>
        <w:numId w:val="1"/>
      </w:numPr>
      <w:snapToGrid w:val="0"/>
      <w:spacing w:before="50" w:beforeLines="50" w:after="50" w:afterLines="50" w:line="360" w:lineRule="auto"/>
      <w:jc w:val="both"/>
      <w:outlineLvl w:val="2"/>
    </w:pPr>
    <w:rPr>
      <w:rFonts w:ascii="Times New Roman" w:hAnsi="Times New Roman" w:eastAsia="黑体" w:cs="Times New Roman"/>
      <w:bCs/>
      <w:color w:val="000000"/>
      <w:sz w:val="24"/>
      <w:szCs w:val="24"/>
      <w:lang w:val="en-US" w:eastAsia="ar-SA" w:bidi="ar-SA"/>
    </w:rPr>
  </w:style>
  <w:style w:type="paragraph" w:styleId="6">
    <w:name w:val="heading 4"/>
    <w:next w:val="3"/>
    <w:link w:val="24"/>
    <w:qFormat/>
    <w:uiPriority w:val="1"/>
    <w:pPr>
      <w:keepNext/>
      <w:keepLines/>
      <w:numPr>
        <w:ilvl w:val="3"/>
        <w:numId w:val="1"/>
      </w:numPr>
      <w:spacing w:before="50" w:beforeLines="50" w:after="50" w:afterLines="50" w:line="360" w:lineRule="auto"/>
      <w:jc w:val="both"/>
      <w:outlineLvl w:val="3"/>
    </w:pPr>
    <w:rPr>
      <w:rFonts w:ascii="Times New Roman" w:hAnsi="Times New Roman" w:eastAsia="宋体" w:cs="Times New Roman"/>
      <w:b/>
      <w:bCs/>
      <w:kern w:val="2"/>
      <w:sz w:val="24"/>
      <w:szCs w:val="28"/>
      <w:lang w:val="en-US" w:eastAsia="zh-CN" w:bidi="ar-SA"/>
    </w:rPr>
  </w:style>
  <w:style w:type="paragraph" w:styleId="7">
    <w:name w:val="heading 5"/>
    <w:next w:val="3"/>
    <w:link w:val="25"/>
    <w:qFormat/>
    <w:uiPriority w:val="1"/>
    <w:pPr>
      <w:keepNext/>
      <w:keepLines/>
      <w:numPr>
        <w:ilvl w:val="4"/>
        <w:numId w:val="1"/>
      </w:numPr>
      <w:spacing w:before="50" w:beforeLines="50" w:after="50" w:afterLines="50" w:line="360" w:lineRule="auto"/>
      <w:outlineLvl w:val="4"/>
    </w:pPr>
    <w:rPr>
      <w:rFonts w:ascii="Times New Roman" w:hAnsi="Times New Roman" w:eastAsia="宋体" w:cs="Times New Roman"/>
      <w:bCs/>
      <w:kern w:val="2"/>
      <w:sz w:val="24"/>
      <w:szCs w:val="28"/>
      <w:lang w:val="en-US" w:eastAsia="zh-CN" w:bidi="ar-SA"/>
    </w:rPr>
  </w:style>
  <w:style w:type="paragraph" w:styleId="8">
    <w:name w:val="heading 6"/>
    <w:next w:val="3"/>
    <w:link w:val="26"/>
    <w:qFormat/>
    <w:uiPriority w:val="1"/>
    <w:pPr>
      <w:numPr>
        <w:ilvl w:val="5"/>
        <w:numId w:val="1"/>
      </w:numPr>
      <w:spacing w:before="50" w:beforeLines="50" w:after="50" w:afterLines="50" w:line="360" w:lineRule="auto"/>
      <w:ind w:firstLine="200" w:firstLineChars="200"/>
      <w:jc w:val="both"/>
      <w:outlineLvl w:val="5"/>
    </w:pPr>
    <w:rPr>
      <w:rFonts w:ascii="Times New Roman" w:hAnsi="Times New Roman" w:eastAsia="宋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7"/>
    <w:next w:val="3"/>
    <w:link w:val="27"/>
    <w:unhideWhenUsed/>
    <w:qFormat/>
    <w:uiPriority w:val="2"/>
    <w:pPr>
      <w:keepNext/>
      <w:keepLines/>
      <w:numPr>
        <w:ilvl w:val="6"/>
        <w:numId w:val="1"/>
      </w:numPr>
      <w:spacing w:before="50" w:beforeLines="50" w:after="50" w:afterLines="50" w:line="360" w:lineRule="auto"/>
      <w:outlineLvl w:val="6"/>
    </w:pPr>
    <w:rPr>
      <w:rFonts w:ascii="Times New Roman" w:hAnsi="Times New Roman" w:eastAsia="宋体" w:cs="Times New Roman"/>
      <w:bCs/>
      <w:kern w:val="2"/>
      <w:sz w:val="24"/>
      <w:szCs w:val="24"/>
      <w:lang w:val="en-US" w:eastAsia="zh-CN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3"/>
      <w:lang w:val="en-US" w:eastAsia="zh-CN" w:bidi="ar-SA"/>
    </w:rPr>
  </w:style>
  <w:style w:type="paragraph" w:styleId="10">
    <w:name w:val="annotation text"/>
    <w:basedOn w:val="1"/>
    <w:link w:val="36"/>
    <w:semiHidden/>
    <w:unhideWhenUsed/>
    <w:qFormat/>
    <w:uiPriority w:val="99"/>
    <w:pPr>
      <w:jc w:val="left"/>
    </w:pPr>
  </w:style>
  <w:style w:type="paragraph" w:styleId="11">
    <w:name w:val="toc 3"/>
    <w:basedOn w:val="1"/>
    <w:next w:val="1"/>
    <w:unhideWhenUsed/>
    <w:qFormat/>
    <w:uiPriority w:val="39"/>
    <w:pPr>
      <w:ind w:left="840" w:leftChars="400"/>
    </w:pPr>
    <w:rPr>
      <w:rFonts w:eastAsia="黑体"/>
    </w:rPr>
  </w:style>
  <w:style w:type="paragraph" w:styleId="12">
    <w:name w:val="Balloon Text"/>
    <w:basedOn w:val="1"/>
    <w:link w:val="3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3">
    <w:name w:val="footer"/>
    <w:basedOn w:val="1"/>
    <w:link w:val="3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toc 1"/>
    <w:basedOn w:val="1"/>
    <w:next w:val="1"/>
    <w:unhideWhenUsed/>
    <w:qFormat/>
    <w:uiPriority w:val="39"/>
    <w:rPr>
      <w:rFonts w:eastAsia="黑体"/>
    </w:rPr>
  </w:style>
  <w:style w:type="paragraph" w:styleId="16">
    <w:name w:val="toc 2"/>
    <w:basedOn w:val="1"/>
    <w:next w:val="1"/>
    <w:unhideWhenUsed/>
    <w:qFormat/>
    <w:uiPriority w:val="39"/>
    <w:pPr>
      <w:ind w:left="420" w:leftChars="200"/>
    </w:pPr>
    <w:rPr>
      <w:rFonts w:eastAsia="黑体"/>
    </w:rPr>
  </w:style>
  <w:style w:type="paragraph" w:styleId="17">
    <w:name w:val="annotation subject"/>
    <w:basedOn w:val="10"/>
    <w:next w:val="10"/>
    <w:link w:val="37"/>
    <w:semiHidden/>
    <w:unhideWhenUsed/>
    <w:qFormat/>
    <w:uiPriority w:val="99"/>
    <w:rPr>
      <w:b/>
      <w:bCs/>
    </w:rPr>
  </w:style>
  <w:style w:type="character" w:styleId="2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basedOn w:val="19"/>
    <w:link w:val="2"/>
    <w:qFormat/>
    <w:uiPriority w:val="1"/>
    <w:rPr>
      <w:rFonts w:ascii="Times New Roman" w:hAnsi="Times New Roman" w:eastAsia="黑体" w:cs="Times New Roman"/>
      <w:bCs/>
      <w:kern w:val="0"/>
      <w:sz w:val="32"/>
      <w:szCs w:val="44"/>
    </w:rPr>
  </w:style>
  <w:style w:type="character" w:customStyle="1" w:styleId="22">
    <w:name w:val="标题 2 字符"/>
    <w:basedOn w:val="19"/>
    <w:link w:val="4"/>
    <w:qFormat/>
    <w:uiPriority w:val="1"/>
    <w:rPr>
      <w:rFonts w:ascii="Times New Roman" w:hAnsi="Times New Roman" w:eastAsia="黑体" w:cs="Times New Roman"/>
      <w:bCs/>
      <w:sz w:val="28"/>
      <w:szCs w:val="32"/>
    </w:rPr>
  </w:style>
  <w:style w:type="character" w:customStyle="1" w:styleId="23">
    <w:name w:val="标题 3 字符"/>
    <w:basedOn w:val="19"/>
    <w:link w:val="5"/>
    <w:qFormat/>
    <w:uiPriority w:val="1"/>
    <w:rPr>
      <w:rFonts w:ascii="Times New Roman" w:hAnsi="Times New Roman" w:eastAsia="黑体" w:cs="Times New Roman"/>
      <w:bCs/>
      <w:color w:val="000000"/>
      <w:kern w:val="0"/>
      <w:sz w:val="24"/>
      <w:szCs w:val="24"/>
      <w:lang w:eastAsia="ar-SA"/>
    </w:rPr>
  </w:style>
  <w:style w:type="character" w:customStyle="1" w:styleId="24">
    <w:name w:val="标题 4 字符"/>
    <w:basedOn w:val="19"/>
    <w:link w:val="6"/>
    <w:qFormat/>
    <w:uiPriority w:val="1"/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25">
    <w:name w:val="标题 5 字符"/>
    <w:basedOn w:val="19"/>
    <w:link w:val="7"/>
    <w:qFormat/>
    <w:uiPriority w:val="1"/>
    <w:rPr>
      <w:rFonts w:ascii="Times New Roman" w:hAnsi="Times New Roman" w:eastAsia="宋体" w:cs="Times New Roman"/>
      <w:bCs/>
      <w:sz w:val="24"/>
      <w:szCs w:val="28"/>
    </w:rPr>
  </w:style>
  <w:style w:type="character" w:customStyle="1" w:styleId="26">
    <w:name w:val="标题 6 字符"/>
    <w:basedOn w:val="19"/>
    <w:link w:val="8"/>
    <w:qFormat/>
    <w:uiPriority w:val="1"/>
    <w:rPr>
      <w:rFonts w:ascii="Times New Roman" w:hAnsi="Times New Roman" w:eastAsia="宋体" w:cs="Times New Roman"/>
      <w:bCs/>
      <w:sz w:val="24"/>
      <w:szCs w:val="24"/>
    </w:rPr>
  </w:style>
  <w:style w:type="character" w:customStyle="1" w:styleId="27">
    <w:name w:val="标题 7 字符"/>
    <w:basedOn w:val="19"/>
    <w:link w:val="9"/>
    <w:qFormat/>
    <w:uiPriority w:val="2"/>
    <w:rPr>
      <w:rFonts w:ascii="Times New Roman" w:hAnsi="Times New Roman" w:eastAsia="宋体" w:cs="Times New Roman"/>
      <w:bCs/>
      <w:sz w:val="24"/>
      <w:szCs w:val="24"/>
    </w:rPr>
  </w:style>
  <w:style w:type="paragraph" w:customStyle="1" w:styleId="28">
    <w:name w:val="表格后说明"/>
    <w:next w:val="3"/>
    <w:qFormat/>
    <w:uiPriority w:val="3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表格前单位"/>
    <w:next w:val="3"/>
    <w:qFormat/>
    <w:uiPriority w:val="2"/>
    <w:pPr>
      <w:keepNext/>
      <w:jc w:val="righ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30">
    <w:name w:val="报告表格"/>
    <w:basedOn w:val="18"/>
    <w:qFormat/>
    <w:uiPriority w:val="99"/>
    <w:rPr>
      <w:sz w:val="18"/>
    </w:rPr>
  </w:style>
  <w:style w:type="paragraph" w:customStyle="1" w:styleId="31">
    <w:name w:val="TOC 标题1"/>
    <w:basedOn w:val="2"/>
    <w:next w:val="1"/>
    <w:unhideWhenUsed/>
    <w:qFormat/>
    <w:uiPriority w:val="39"/>
    <w:pPr>
      <w:pageBreakBefore w:val="0"/>
      <w:numPr>
        <w:numId w:val="0"/>
      </w:numPr>
      <w:snapToGrid w:val="0"/>
      <w:spacing w:before="240" w:beforeLines="0" w:after="0" w:afterLines="0" w:line="259" w:lineRule="auto"/>
      <w:outlineLvl w:val="9"/>
    </w:pPr>
    <w:rPr>
      <w:bCs w:val="0"/>
      <w:szCs w:val="32"/>
    </w:rPr>
  </w:style>
  <w:style w:type="character" w:customStyle="1" w:styleId="32">
    <w:name w:val="页脚 字符"/>
    <w:basedOn w:val="19"/>
    <w:link w:val="13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33">
    <w:name w:val="页眉 字符"/>
    <w:basedOn w:val="19"/>
    <w:link w:val="14"/>
    <w:qFormat/>
    <w:uiPriority w:val="0"/>
    <w:rPr>
      <w:rFonts w:ascii="Times New Roman" w:hAnsi="Times New Roman" w:eastAsia="宋体" w:cs="Times New Roman"/>
      <w:sz w:val="18"/>
      <w:szCs w:val="24"/>
    </w:rPr>
  </w:style>
  <w:style w:type="paragraph" w:customStyle="1" w:styleId="34">
    <w:name w:val="005正文"/>
    <w:basedOn w:val="1"/>
    <w:qFormat/>
    <w:uiPriority w:val="0"/>
    <w:pPr>
      <w:spacing w:before="50" w:beforeLines="50" w:after="50" w:afterLines="50"/>
    </w:pPr>
    <w:rPr>
      <w:szCs w:val="22"/>
    </w:rPr>
  </w:style>
  <w:style w:type="paragraph" w:styleId="35">
    <w:name w:val="List Paragraph"/>
    <w:basedOn w:val="1"/>
    <w:unhideWhenUsed/>
    <w:qFormat/>
    <w:uiPriority w:val="99"/>
    <w:pPr>
      <w:ind w:firstLine="420"/>
    </w:pPr>
  </w:style>
  <w:style w:type="character" w:customStyle="1" w:styleId="36">
    <w:name w:val="批注文字 字符"/>
    <w:basedOn w:val="19"/>
    <w:link w:val="10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7">
    <w:name w:val="批注主题 字符"/>
    <w:basedOn w:val="36"/>
    <w:link w:val="17"/>
    <w:semiHidden/>
    <w:qFormat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8">
    <w:name w:val="批注框文本 字符"/>
    <w:basedOn w:val="19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9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40">
    <w:name w:val="markedcontent"/>
    <w:basedOn w:val="19"/>
    <w:qFormat/>
    <w:uiPriority w:val="0"/>
  </w:style>
  <w:style w:type="paragraph" w:customStyle="1" w:styleId="41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42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B18E6-72D7-4CE8-9B5D-9587401A55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301</Words>
  <Characters>1717</Characters>
  <Lines>14</Lines>
  <Paragraphs>4</Paragraphs>
  <TotalTime>11</TotalTime>
  <ScaleCrop>false</ScaleCrop>
  <LinksUpToDate>false</LinksUpToDate>
  <CharactersWithSpaces>2014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2026-05-06T07:00:00Z</dcterms:created>
  <dc:creator>yatine Peng</dc:creator>
  <cp:lastModifiedBy>杜希贤</cp:lastModifiedBy>
  <dcterms:modified xsi:type="dcterms:W3CDTF">2026-05-06T07:24:53Z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8B1B38F7A26D4982B7FCD6D37F668FB4_13</vt:lpwstr>
  </property>
  <property fmtid="{D5CDD505-2E9C-101B-9397-08002B2CF9AE}" pid="4" name="KSOTemplateDocerSaveRecord">
    <vt:lpwstr>eyJoZGlkIjoiNGQ2OTc2ZDMzNWRiNzVlMzNiYjBiZGYxZjk4YzQ3NTIiLCJ1c2VySWQiOiIxNzQxMzY5NDA0In0=</vt:lpwstr>
  </property>
</Properties>
</file>