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F75FEC">
        <w:rPr>
          <w:sz w:val="24"/>
        </w:rPr>
        <w:t>6</w:t>
      </w:r>
      <w:r w:rsidR="009D2D7D" w:rsidRPr="00FF596B">
        <w:rPr>
          <w:sz w:val="24"/>
        </w:rPr>
        <w:t>-</w:t>
      </w:r>
      <w:r w:rsidR="00B07C7E" w:rsidRPr="00FF596B">
        <w:rPr>
          <w:sz w:val="24"/>
        </w:rPr>
        <w:t>0</w:t>
      </w:r>
      <w:r w:rsidR="00F75FEC">
        <w:rPr>
          <w:sz w:val="24"/>
        </w:rPr>
        <w:t>02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特定对象调研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分析师会议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媒体采访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利润说明会</w:t>
            </w:r>
          </w:p>
          <w:p w:rsidR="004F7FFA" w:rsidRDefault="004F7FFA" w:rsidP="004F7FFA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新闻发布会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路演活动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TimesNewRoman" w:hint="eastAsia"/>
                <w:sz w:val="24"/>
              </w:rPr>
              <w:t>现场参观</w:t>
            </w:r>
            <w:r>
              <w:rPr>
                <w:rFonts w:ascii="TimesNewRoman" w:hAnsi="TimesNewRoman" w:hint="eastAsia"/>
                <w:sz w:val="24"/>
              </w:rPr>
              <w:t xml:space="preserve"> </w:t>
            </w:r>
            <w:r>
              <w:rPr>
                <w:rFonts w:ascii="TimesNewRoman" w:hAnsi="TimesNewRoman"/>
                <w:sz w:val="24"/>
              </w:rPr>
              <w:t xml:space="preserve">  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</w:t>
            </w:r>
            <w:r w:rsidRPr="006A4332">
              <w:rPr>
                <w:rFonts w:ascii="TimesNewRoman" w:hAnsi="TimesNewRoman" w:hint="eastAsia"/>
                <w:sz w:val="24"/>
              </w:rPr>
              <w:t>■</w:t>
            </w:r>
            <w:r>
              <w:rPr>
                <w:rFonts w:ascii="TimesNewRoman" w:hAnsi="TimesNewRoman" w:hint="eastAsia"/>
                <w:sz w:val="24"/>
              </w:rPr>
              <w:t>业绩说明会</w:t>
            </w:r>
            <w:r w:rsidRPr="006A4332">
              <w:rPr>
                <w:rFonts w:ascii="TimesNewRoman" w:hAnsi="TimesNewRoman"/>
                <w:sz w:val="24"/>
              </w:rPr>
              <w:tab/>
            </w:r>
          </w:p>
          <w:p w:rsidR="00D3704D" w:rsidRPr="00FF596B" w:rsidRDefault="004F7FFA" w:rsidP="004F7FFA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□其他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6A6951" w:rsidRDefault="004F7FFA" w:rsidP="00F75FEC">
            <w:pPr>
              <w:spacing w:line="480" w:lineRule="atLeast"/>
              <w:rPr>
                <w:color w:val="000000"/>
                <w:kern w:val="0"/>
                <w:szCs w:val="21"/>
              </w:rPr>
            </w:pP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参与博众精工</w:t>
            </w:r>
            <w:r w:rsidRPr="006A6951">
              <w:rPr>
                <w:rFonts w:ascii="宋体" w:hAnsi="宋体" w:hint="eastAsia"/>
                <w:szCs w:val="21"/>
              </w:rPr>
              <w:t>202</w:t>
            </w:r>
            <w:r w:rsidR="00F75FEC">
              <w:rPr>
                <w:rFonts w:ascii="宋体" w:hAnsi="宋体"/>
                <w:szCs w:val="21"/>
              </w:rPr>
              <w:t>6</w:t>
            </w:r>
            <w:r w:rsidRPr="006A6951">
              <w:rPr>
                <w:rFonts w:ascii="宋体" w:hAnsi="宋体" w:hint="eastAsia"/>
                <w:szCs w:val="21"/>
              </w:rPr>
              <w:t xml:space="preserve"> 年</w:t>
            </w:r>
            <w:r w:rsidR="00BF0B87" w:rsidRPr="00BF0B87">
              <w:rPr>
                <w:rFonts w:ascii="宋体" w:hAnsi="宋体" w:hint="eastAsia"/>
                <w:szCs w:val="21"/>
              </w:rPr>
              <w:t>第</w:t>
            </w:r>
            <w:r w:rsidR="00F75FEC">
              <w:rPr>
                <w:rFonts w:ascii="宋体" w:hAnsi="宋体" w:hint="eastAsia"/>
                <w:szCs w:val="21"/>
              </w:rPr>
              <w:t>一</w:t>
            </w:r>
            <w:r w:rsidR="00BF0B87" w:rsidRPr="00BF0B87">
              <w:rPr>
                <w:rFonts w:ascii="宋体" w:hAnsi="宋体" w:hint="eastAsia"/>
                <w:szCs w:val="21"/>
              </w:rPr>
              <w:t>季度业绩说明会</w:t>
            </w: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的广大投资者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6A6951" w:rsidRDefault="001F4725" w:rsidP="00F75FEC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2</w:t>
            </w:r>
            <w:r w:rsidR="00D67798" w:rsidRPr="006A6951">
              <w:rPr>
                <w:szCs w:val="21"/>
              </w:rPr>
              <w:t>02</w:t>
            </w:r>
            <w:r w:rsidR="00F75FEC">
              <w:rPr>
                <w:szCs w:val="21"/>
              </w:rPr>
              <w:t>6</w:t>
            </w:r>
            <w:r w:rsidRPr="006A6951">
              <w:rPr>
                <w:szCs w:val="21"/>
              </w:rPr>
              <w:t>年</w:t>
            </w:r>
            <w:r w:rsidR="00F75FEC">
              <w:rPr>
                <w:szCs w:val="21"/>
              </w:rPr>
              <w:t>5</w:t>
            </w:r>
            <w:r w:rsidRPr="006A6951">
              <w:rPr>
                <w:szCs w:val="21"/>
              </w:rPr>
              <w:t>月</w:t>
            </w:r>
            <w:r w:rsidR="00BF0B87">
              <w:rPr>
                <w:szCs w:val="21"/>
              </w:rPr>
              <w:t>7</w:t>
            </w:r>
            <w:r w:rsidRPr="006A6951">
              <w:rPr>
                <w:szCs w:val="21"/>
              </w:rPr>
              <w:t>日</w:t>
            </w:r>
            <w:r w:rsidR="006A6951" w:rsidRPr="006A6951">
              <w:rPr>
                <w:szCs w:val="21"/>
              </w:rPr>
              <w:t>15</w:t>
            </w:r>
            <w:r w:rsidR="006A6951" w:rsidRPr="006A6951">
              <w:rPr>
                <w:rFonts w:hint="eastAsia"/>
                <w:szCs w:val="21"/>
              </w:rPr>
              <w:t>:</w:t>
            </w:r>
            <w:r w:rsidR="006A6951" w:rsidRPr="006A6951">
              <w:rPr>
                <w:szCs w:val="21"/>
              </w:rPr>
              <w:t>00-16:00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6A6951" w:rsidRDefault="006A6951" w:rsidP="00410ED5">
            <w:pPr>
              <w:spacing w:line="480" w:lineRule="atLeast"/>
              <w:rPr>
                <w:szCs w:val="21"/>
              </w:rPr>
            </w:pPr>
            <w:r w:rsidRPr="006A6951">
              <w:rPr>
                <w:rFonts w:hint="eastAsia"/>
                <w:szCs w:val="21"/>
              </w:rPr>
              <w:t>上海证券报·中国证券网路演中心：</w:t>
            </w:r>
            <w:r w:rsidRPr="006A6951">
              <w:rPr>
                <w:rFonts w:hint="eastAsia"/>
                <w:szCs w:val="21"/>
              </w:rPr>
              <w:t>https://roadshow.cnstock.com/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DA22C6" w:rsidRPr="006A6951" w:rsidRDefault="006A6951" w:rsidP="006A6951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董事长、总经理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吕绍林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董事会秘书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余军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财务总监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黄良之</w:t>
            </w:r>
            <w:r w:rsidRPr="006A6951">
              <w:rPr>
                <w:rFonts w:hint="eastAsia"/>
                <w:szCs w:val="21"/>
              </w:rPr>
              <w:t>；独立董事</w:t>
            </w:r>
            <w:r w:rsidRPr="006A6951">
              <w:rPr>
                <w:rFonts w:hint="eastAsia"/>
                <w:szCs w:val="21"/>
              </w:rPr>
              <w:t xml:space="preserve"> </w:t>
            </w:r>
            <w:proofErr w:type="gramStart"/>
            <w:r w:rsidRPr="006A6951">
              <w:rPr>
                <w:rFonts w:hint="eastAsia"/>
                <w:szCs w:val="21"/>
              </w:rPr>
              <w:t>秦非</w:t>
            </w:r>
            <w:proofErr w:type="gramEnd"/>
          </w:p>
        </w:tc>
      </w:tr>
      <w:tr w:rsidR="00995E59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D4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投资者提出的问题及公司回复情况 </w:t>
            </w:r>
          </w:p>
          <w:p w:rsidR="00995E59" w:rsidRPr="00D33D4D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Default="00995E5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22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公司就投资者在本次说明会中提出的问题进行了回复</w:t>
            </w:r>
            <w:r w:rsidRPr="0097522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1A0499" w:rsidRDefault="001A049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A0499" w:rsidRPr="001A0499" w:rsidRDefault="001A0499" w:rsidP="00995E59">
            <w:pPr>
              <w:spacing w:afterLines="50" w:after="156" w:line="276" w:lineRule="auto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A049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请问公司</w:t>
            </w:r>
            <w:r w:rsidR="007054E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7054EA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026</w:t>
            </w:r>
            <w:r w:rsidR="007054E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年一季度营收大幅度增长的原因</w:t>
            </w:r>
            <w:r w:rsidRPr="001A049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0A75D4" w:rsidRDefault="000A75D4" w:rsidP="007054EA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7054EA" w:rsidRPr="007054E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主要原因是公司订单增加，项目交付规模同比大</w:t>
            </w:r>
            <w:r w:rsidR="007054E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幅提升，致使营业收入实现较大幅度增长</w:t>
            </w:r>
            <w:r w:rsidRPr="000A75D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995E59" w:rsidRPr="000A75D4" w:rsidRDefault="00995E59" w:rsidP="00995E59">
            <w:pPr>
              <w:rPr>
                <w:b/>
                <w:color w:val="000000" w:themeColor="text1"/>
              </w:rPr>
            </w:pPr>
          </w:p>
          <w:p w:rsidR="00995E59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</w:rPr>
            </w:pPr>
            <w:bookmarkStart w:id="0" w:name="OLE_LINK2"/>
            <w:bookmarkStart w:id="1" w:name="OLE_LINK3"/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2" w:name="OLE_LINK7"/>
            <w:bookmarkStart w:id="3" w:name="OLE_LINK8"/>
            <w:bookmarkEnd w:id="0"/>
            <w:bookmarkEnd w:id="1"/>
            <w:r w:rsidR="00C03EF4" w:rsidRPr="001A049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请问公司</w:t>
            </w:r>
            <w:r w:rsidR="00C03EF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C03EF4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026</w:t>
            </w:r>
            <w:r w:rsidR="00C03EF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年一季度</w:t>
            </w:r>
            <w:proofErr w:type="gramStart"/>
            <w:r w:rsidR="0004301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归母</w:t>
            </w:r>
            <w:r w:rsidR="00C03EF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净利润</w:t>
            </w:r>
            <w:proofErr w:type="gramEnd"/>
            <w:r w:rsidR="00C03EF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较去年同期扭亏为盈的原因</w:t>
            </w:r>
            <w:r w:rsidR="00995E59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  <w:bookmarkEnd w:id="2"/>
            <w:bookmarkEnd w:id="3"/>
          </w:p>
          <w:p w:rsidR="00995E59" w:rsidRDefault="00995E59" w:rsidP="00C03EF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C03EF4" w:rsidRPr="00C03EF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主要原因是本期营收规模扩大，叠加投资收益增加，盈利能力同比改善，归母净利润同比大幅改</w:t>
            </w:r>
            <w:r w:rsidR="00C03EF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善</w:t>
            </w:r>
            <w:r w:rsidR="00567D99" w:rsidRPr="00567D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6B70E3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995E59" w:rsidRPr="006B70E3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F419B" w:rsidRPr="005F419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请介绍一下公司在光通信市场设备方面的布局</w:t>
            </w:r>
            <w:r w:rsidR="007F1A4E" w:rsidRPr="007F1A4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5F419B" w:rsidRPr="005F419B" w:rsidRDefault="00995E59" w:rsidP="003C4A0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博众精工已深耕光通信设备领域多年，于2020年战略布局高精度</w:t>
            </w:r>
            <w:proofErr w:type="gramStart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机赛道。</w:t>
            </w:r>
            <w:proofErr w:type="gramStart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目前博众</w:t>
            </w:r>
            <w:proofErr w:type="gramEnd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精工的</w:t>
            </w:r>
            <w:proofErr w:type="gramStart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机设备已在400G/800G高速光模块规模化生产中批量应用，成功进入国内外头部企业供应链并出口海外。面向未来， 针对1.6T、3.2T及CPO的技术演进，博众精工已全面启动下一代</w:t>
            </w:r>
            <w:proofErr w:type="gramStart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机产品的研发。此外，博众精工还布局了生产光</w:t>
            </w:r>
            <w:proofErr w:type="gramStart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模块产线的</w:t>
            </w:r>
            <w:proofErr w:type="gramEnd"/>
            <w:r w:rsidR="005F419B"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自动化设备并已经供货给相关客户。</w:t>
            </w:r>
          </w:p>
          <w:p w:rsidR="00995E59" w:rsidRPr="006B70E3" w:rsidRDefault="005F419B" w:rsidP="005F419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2026年，博众精工收购中南鸿思（</w:t>
            </w:r>
            <w:proofErr w:type="gramStart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中南鸿思主营</w:t>
            </w:r>
            <w:proofErr w:type="gramEnd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产品为</w:t>
            </w:r>
            <w:proofErr w:type="gramStart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耦合机</w:t>
            </w:r>
            <w:proofErr w:type="gramEnd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设备等），进而布局</w:t>
            </w:r>
            <w:proofErr w:type="gramStart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耦合机</w:t>
            </w:r>
            <w:proofErr w:type="gramEnd"/>
            <w:r w:rsidRPr="005F41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等关键设备。博众精工已经从核心设备供应商向“光通信封装自动化系统解决方案”服务商升级，具备为客户提供从单站到整线的自动化量产能力。</w:t>
            </w:r>
          </w:p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97C58">
              <w:rPr>
                <w:rFonts w:hint="eastAsia"/>
              </w:rPr>
              <w:t xml:space="preserve"> </w:t>
            </w:r>
            <w:bookmarkStart w:id="4" w:name="OLE_LINK5"/>
            <w:bookmarkStart w:id="5" w:name="OLE_LINK6"/>
            <w:r w:rsidR="00697C58" w:rsidRPr="00697C5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公司在智能眼镜相关设备的布局以及相关技术情况？</w:t>
            </w:r>
          </w:p>
          <w:bookmarkEnd w:id="4"/>
          <w:bookmarkEnd w:id="5"/>
          <w:p w:rsidR="00995E59" w:rsidRPr="00BE6845" w:rsidRDefault="00995E59" w:rsidP="00BE684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697C58" w:rsidRPr="00697C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在AR/MR/VR产品生产制造领域已深耕多年，目前能够提供多领域、全方位、多功能的自动化设备，获得了客户的高度评价。2023年，公司给大客户交付了一条MR产品自动化装配产线，目前也在参与其智能眼镜相关的设备的研发和打样。</w:t>
            </w:r>
          </w:p>
          <w:p w:rsidR="00995E59" w:rsidRPr="003A08AC" w:rsidRDefault="00995E59" w:rsidP="00995E59">
            <w:pPr>
              <w:rPr>
                <w:color w:val="000000" w:themeColor="text1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54C9B">
              <w:rPr>
                <w:rFonts w:hint="eastAsia"/>
              </w:rPr>
              <w:t xml:space="preserve"> </w:t>
            </w:r>
            <w:r w:rsidR="00E54C9B" w:rsidRPr="00E54C9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公司去年换电站订单增速较快，今年怎么看？还有盈利能力怎么看？</w:t>
            </w:r>
          </w:p>
          <w:p w:rsidR="008C0AC8" w:rsidRPr="008C0AC8" w:rsidRDefault="00995E59" w:rsidP="0074546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6" w:name="OLE_LINK14"/>
            <w:bookmarkStart w:id="7" w:name="OLE_LINK15"/>
            <w:bookmarkStart w:id="8" w:name="OLE_LINK9"/>
            <w:r w:rsidR="00E54C9B" w:rsidRPr="00E54C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聚焦大客户、大项目的策略下，公司2025年新能源汽车换电站订单较2024年增长数倍。按照客户的需求规划及行业的发展趋势判断，预计今年及未来2-3年来自大客户方面的相关需求持续旺盛。目前公司换电站的产能处于满产状态，为了应对未来订单持续增长的需求，公司正在扩大产能建设。后续随着相关订单的持续交付和规模效益的逐步显现，公司换电站及新能源业务板块整体盈利能力有望大幅提升。</w:t>
            </w:r>
          </w:p>
          <w:bookmarkEnd w:id="6"/>
          <w:bookmarkEnd w:id="7"/>
          <w:bookmarkEnd w:id="8"/>
          <w:p w:rsidR="002A3AF2" w:rsidRPr="002A3AF2" w:rsidRDefault="002A3AF2" w:rsidP="00995E59">
            <w:pP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9" w:name="OLE_LINK12"/>
            <w:bookmarkStart w:id="10" w:name="OLE_LINK13"/>
            <w:bookmarkStart w:id="11" w:name="OLE_LINK1"/>
            <w:bookmarkStart w:id="12" w:name="OLE_LINK4"/>
            <w:r w:rsidR="0074546D" w:rsidRPr="0074546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请公司展开介绍一下公司2026年订单的预期情况？</w:t>
            </w:r>
            <w:bookmarkEnd w:id="9"/>
            <w:bookmarkEnd w:id="10"/>
            <w:bookmarkEnd w:id="11"/>
            <w:bookmarkEnd w:id="12"/>
          </w:p>
          <w:p w:rsidR="00B77CF3" w:rsidRDefault="00995E59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答：</w:t>
            </w:r>
            <w:bookmarkStart w:id="13" w:name="OLE_LINK16"/>
            <w:r w:rsidR="00B77CF3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公司对今年订单的增长持较为乐观的态度：</w:t>
            </w:r>
          </w:p>
          <w:p w:rsidR="00B77CF3" w:rsidRDefault="00B77CF3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一、消费电子领域，26年大客户这边会加大创新力度，不断推出新的产品，并增加产品功能以及在供应链提升自动化程度，从而给公司带来新的业务机会。</w:t>
            </w:r>
          </w:p>
          <w:p w:rsidR="00B77CF3" w:rsidRDefault="00B77CF3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二、新能源领域，由于下游需求旺盛，客户持续在加大产能建设。如大客户锂电产能扩产仍在进行之中，预计对设备的需求量将会持续增长，从而带动公司锂</w:t>
            </w:r>
            <w:proofErr w:type="gramStart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电标准</w:t>
            </w:r>
            <w:proofErr w:type="gramEnd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设备和智慧仓储物流订单增长；此外在换电站领域，大客户按照其规划加快</w:t>
            </w:r>
            <w:proofErr w:type="gramStart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布站节奏</w:t>
            </w:r>
            <w:proofErr w:type="gramEnd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，有望带动公司换电站订单持续增长。</w:t>
            </w:r>
          </w:p>
          <w:p w:rsidR="00B77CF3" w:rsidRDefault="00B77CF3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三、汽车自动化领域，公司在新能源汽车自动化领域已深耕多年，通过收购上海沃典，可助力公司提升汽车自动化板块竞争力；通过技术协同、资源共享、品牌赋能等，汽车自动化有望成为公司另一核心板块。</w:t>
            </w:r>
          </w:p>
          <w:p w:rsidR="00C45EE8" w:rsidRDefault="00B77CF3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四、半导体领域，公司除了自己开发的共晶机、</w:t>
            </w:r>
            <w:proofErr w:type="gramStart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及AOI检测设备外。2025年完成收购</w:t>
            </w:r>
            <w:proofErr w:type="gramStart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</w:t>
            </w:r>
            <w:proofErr w:type="gramEnd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51%的股份，</w:t>
            </w:r>
            <w:proofErr w:type="gramStart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栎智已</w:t>
            </w:r>
            <w:proofErr w:type="gramEnd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成为公司控股子公司并纳入合并报表范围。</w:t>
            </w:r>
            <w:r w:rsidR="00C45EE8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C45EE8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C45EE8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年完成收购</w:t>
            </w:r>
            <w:proofErr w:type="gramStart"/>
            <w:r w:rsidR="00C45EE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中南鸿思</w:t>
            </w:r>
            <w:proofErr w:type="gramEnd"/>
            <w:r w:rsidR="00C45EE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C45EE8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C45EE8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%的股份，</w:t>
            </w:r>
            <w:proofErr w:type="gramStart"/>
            <w:r w:rsidR="00C45EE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中南鸿思</w:t>
            </w:r>
            <w:r w:rsidR="00C45EE8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</w:t>
            </w:r>
            <w:proofErr w:type="gramEnd"/>
            <w:r w:rsidR="00C45EE8"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成为公司控股子公司并纳入合并报表范围。</w:t>
            </w:r>
          </w:p>
          <w:p w:rsidR="00995E59" w:rsidRPr="00B81BDD" w:rsidRDefault="00B77CF3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综合来看，今年，3c订单有望稳步增长，新能源板块持续快速增长，已成为公司第二大核心板</w:t>
            </w:r>
            <w:bookmarkStart w:id="14" w:name="_GoBack"/>
            <w:bookmarkEnd w:id="14"/>
            <w:r w:rsidRPr="00B77C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块。汽车自动化和半导体通过内生式+外延式发展，订单亦稳步增长；所以，公司对今年订单的增长持较为乐观的态度。</w:t>
            </w:r>
            <w:bookmarkEnd w:id="13"/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995E59" w:rsidRPr="00FF596B" w:rsidRDefault="00995E59" w:rsidP="00995E59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995E59" w:rsidRPr="00FF596B" w:rsidRDefault="00995E59" w:rsidP="00B16C9D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202</w:t>
            </w:r>
            <w:r w:rsidR="00B16C9D">
              <w:rPr>
                <w:sz w:val="24"/>
                <w:szCs w:val="24"/>
              </w:rPr>
              <w:t>6</w:t>
            </w:r>
            <w:r w:rsidRPr="00FF596B">
              <w:rPr>
                <w:sz w:val="24"/>
                <w:szCs w:val="24"/>
              </w:rPr>
              <w:t>年</w:t>
            </w:r>
            <w:r w:rsidR="00B16C9D">
              <w:rPr>
                <w:sz w:val="24"/>
                <w:szCs w:val="24"/>
              </w:rPr>
              <w:t>5</w:t>
            </w:r>
            <w:r w:rsidRPr="00FF596B">
              <w:rPr>
                <w:sz w:val="24"/>
                <w:szCs w:val="24"/>
              </w:rPr>
              <w:t>月</w:t>
            </w:r>
            <w:r w:rsidR="0045146A">
              <w:rPr>
                <w:sz w:val="24"/>
                <w:szCs w:val="24"/>
              </w:rPr>
              <w:t>7</w:t>
            </w:r>
            <w:r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07" w:rsidRDefault="005F2A07" w:rsidP="00D3704D">
      <w:r>
        <w:separator/>
      </w:r>
    </w:p>
  </w:endnote>
  <w:endnote w:type="continuationSeparator" w:id="0">
    <w:p w:rsidR="005F2A07" w:rsidRDefault="005F2A07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AEA" w:rsidRPr="00805AEA">
          <w:rPr>
            <w:noProof/>
            <w:lang w:val="zh-CN"/>
          </w:rPr>
          <w:t>2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07" w:rsidRDefault="005F2A07" w:rsidP="00D3704D">
      <w:r>
        <w:separator/>
      </w:r>
    </w:p>
  </w:footnote>
  <w:footnote w:type="continuationSeparator" w:id="0">
    <w:p w:rsidR="005F2A07" w:rsidRDefault="005F2A07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672F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702A"/>
    <w:rsid w:val="00037938"/>
    <w:rsid w:val="00040D5F"/>
    <w:rsid w:val="00041BD6"/>
    <w:rsid w:val="00042554"/>
    <w:rsid w:val="0004301A"/>
    <w:rsid w:val="00043E52"/>
    <w:rsid w:val="00044D7B"/>
    <w:rsid w:val="00045697"/>
    <w:rsid w:val="00045A41"/>
    <w:rsid w:val="00046453"/>
    <w:rsid w:val="00047A84"/>
    <w:rsid w:val="00051728"/>
    <w:rsid w:val="00052109"/>
    <w:rsid w:val="0005235E"/>
    <w:rsid w:val="0005383E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32A0"/>
    <w:rsid w:val="000846EC"/>
    <w:rsid w:val="0008593B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5CC2"/>
    <w:rsid w:val="000A6856"/>
    <w:rsid w:val="000A75D4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14E3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1D9"/>
    <w:rsid w:val="000F22C9"/>
    <w:rsid w:val="000F247E"/>
    <w:rsid w:val="000F399F"/>
    <w:rsid w:val="000F40B1"/>
    <w:rsid w:val="000F5C45"/>
    <w:rsid w:val="000F63B3"/>
    <w:rsid w:val="000F6422"/>
    <w:rsid w:val="00100FB7"/>
    <w:rsid w:val="00101B6D"/>
    <w:rsid w:val="00104470"/>
    <w:rsid w:val="001052DE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4CA3"/>
    <w:rsid w:val="0019541C"/>
    <w:rsid w:val="00195D86"/>
    <w:rsid w:val="00195E03"/>
    <w:rsid w:val="00195EF8"/>
    <w:rsid w:val="001970B5"/>
    <w:rsid w:val="00197A12"/>
    <w:rsid w:val="001A0499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586C"/>
    <w:rsid w:val="001C6DC4"/>
    <w:rsid w:val="001C73B2"/>
    <w:rsid w:val="001C7646"/>
    <w:rsid w:val="001D011D"/>
    <w:rsid w:val="001D1105"/>
    <w:rsid w:val="001D2388"/>
    <w:rsid w:val="001D2C50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55EF"/>
    <w:rsid w:val="0020711D"/>
    <w:rsid w:val="002100AB"/>
    <w:rsid w:val="00210E28"/>
    <w:rsid w:val="002137E2"/>
    <w:rsid w:val="00214FC8"/>
    <w:rsid w:val="00215042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3AF2"/>
    <w:rsid w:val="002A4BF6"/>
    <w:rsid w:val="002A5EDA"/>
    <w:rsid w:val="002A6D55"/>
    <w:rsid w:val="002B3688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DBF"/>
    <w:rsid w:val="00316A4E"/>
    <w:rsid w:val="00316FD2"/>
    <w:rsid w:val="003220F2"/>
    <w:rsid w:val="00323470"/>
    <w:rsid w:val="0032348D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74DF"/>
    <w:rsid w:val="0036268A"/>
    <w:rsid w:val="00363F33"/>
    <w:rsid w:val="003666BA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A0B"/>
    <w:rsid w:val="003C4FE0"/>
    <w:rsid w:val="003C6FA0"/>
    <w:rsid w:val="003C7806"/>
    <w:rsid w:val="003D0B0D"/>
    <w:rsid w:val="003D19B0"/>
    <w:rsid w:val="003D25B0"/>
    <w:rsid w:val="003D293E"/>
    <w:rsid w:val="003D2E4D"/>
    <w:rsid w:val="003D559E"/>
    <w:rsid w:val="003D6E4C"/>
    <w:rsid w:val="003D7451"/>
    <w:rsid w:val="003E0037"/>
    <w:rsid w:val="003E0A86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5166"/>
    <w:rsid w:val="003F75ED"/>
    <w:rsid w:val="0040111D"/>
    <w:rsid w:val="00402152"/>
    <w:rsid w:val="00402CC2"/>
    <w:rsid w:val="004033A5"/>
    <w:rsid w:val="004074BC"/>
    <w:rsid w:val="004078A4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3E94"/>
    <w:rsid w:val="00436C52"/>
    <w:rsid w:val="004376DC"/>
    <w:rsid w:val="004377A5"/>
    <w:rsid w:val="004401A3"/>
    <w:rsid w:val="00440633"/>
    <w:rsid w:val="004422C1"/>
    <w:rsid w:val="00442840"/>
    <w:rsid w:val="00442C69"/>
    <w:rsid w:val="0044371A"/>
    <w:rsid w:val="00444F87"/>
    <w:rsid w:val="0044659F"/>
    <w:rsid w:val="0044774A"/>
    <w:rsid w:val="00447A5E"/>
    <w:rsid w:val="004511AD"/>
    <w:rsid w:val="0045146A"/>
    <w:rsid w:val="0045276D"/>
    <w:rsid w:val="00456E89"/>
    <w:rsid w:val="00462449"/>
    <w:rsid w:val="0046285D"/>
    <w:rsid w:val="0046364D"/>
    <w:rsid w:val="00463C5F"/>
    <w:rsid w:val="00463EFC"/>
    <w:rsid w:val="00464CD4"/>
    <w:rsid w:val="0046610A"/>
    <w:rsid w:val="00467575"/>
    <w:rsid w:val="00470A68"/>
    <w:rsid w:val="004710A2"/>
    <w:rsid w:val="0047250C"/>
    <w:rsid w:val="00472E37"/>
    <w:rsid w:val="00473FB8"/>
    <w:rsid w:val="00474CEB"/>
    <w:rsid w:val="00475437"/>
    <w:rsid w:val="00475EAD"/>
    <w:rsid w:val="00477596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484"/>
    <w:rsid w:val="004E4069"/>
    <w:rsid w:val="004E55A8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4F7FFA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825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5569"/>
    <w:rsid w:val="005667AB"/>
    <w:rsid w:val="00567D99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4790"/>
    <w:rsid w:val="005A4925"/>
    <w:rsid w:val="005A5809"/>
    <w:rsid w:val="005A5C94"/>
    <w:rsid w:val="005A6B65"/>
    <w:rsid w:val="005A7395"/>
    <w:rsid w:val="005B2970"/>
    <w:rsid w:val="005B3064"/>
    <w:rsid w:val="005B5582"/>
    <w:rsid w:val="005B592C"/>
    <w:rsid w:val="005B5AFE"/>
    <w:rsid w:val="005B710A"/>
    <w:rsid w:val="005B72EF"/>
    <w:rsid w:val="005B76B9"/>
    <w:rsid w:val="005C107D"/>
    <w:rsid w:val="005C16A7"/>
    <w:rsid w:val="005C1B38"/>
    <w:rsid w:val="005C1F2D"/>
    <w:rsid w:val="005C294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506E"/>
    <w:rsid w:val="005E5E3A"/>
    <w:rsid w:val="005F2A07"/>
    <w:rsid w:val="005F419B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6BC"/>
    <w:rsid w:val="006407E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620A"/>
    <w:rsid w:val="00696F7B"/>
    <w:rsid w:val="00697C58"/>
    <w:rsid w:val="006A05CC"/>
    <w:rsid w:val="006A1BBA"/>
    <w:rsid w:val="006A2E2C"/>
    <w:rsid w:val="006A30FD"/>
    <w:rsid w:val="006A4332"/>
    <w:rsid w:val="006A4BF7"/>
    <w:rsid w:val="006A6207"/>
    <w:rsid w:val="006A6951"/>
    <w:rsid w:val="006A724B"/>
    <w:rsid w:val="006B00FE"/>
    <w:rsid w:val="006B10DA"/>
    <w:rsid w:val="006B30B9"/>
    <w:rsid w:val="006B4B3D"/>
    <w:rsid w:val="006B5791"/>
    <w:rsid w:val="006B59C0"/>
    <w:rsid w:val="006B70FB"/>
    <w:rsid w:val="006B7915"/>
    <w:rsid w:val="006B7FA4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6581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54EA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546D"/>
    <w:rsid w:val="007455B6"/>
    <w:rsid w:val="007463CF"/>
    <w:rsid w:val="0074655B"/>
    <w:rsid w:val="00746AA1"/>
    <w:rsid w:val="007518C6"/>
    <w:rsid w:val="007527D0"/>
    <w:rsid w:val="007547CD"/>
    <w:rsid w:val="00755DA8"/>
    <w:rsid w:val="00756212"/>
    <w:rsid w:val="00756BB4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58CA"/>
    <w:rsid w:val="00785B3E"/>
    <w:rsid w:val="007911F3"/>
    <w:rsid w:val="007923DA"/>
    <w:rsid w:val="007931E0"/>
    <w:rsid w:val="007933A1"/>
    <w:rsid w:val="00794BC0"/>
    <w:rsid w:val="007973F5"/>
    <w:rsid w:val="007A0F32"/>
    <w:rsid w:val="007A1AE8"/>
    <w:rsid w:val="007A1DF2"/>
    <w:rsid w:val="007A50CC"/>
    <w:rsid w:val="007A61DD"/>
    <w:rsid w:val="007A6EE8"/>
    <w:rsid w:val="007A701D"/>
    <w:rsid w:val="007A7B35"/>
    <w:rsid w:val="007B0414"/>
    <w:rsid w:val="007B5BE8"/>
    <w:rsid w:val="007B6AA3"/>
    <w:rsid w:val="007B73F8"/>
    <w:rsid w:val="007B76EC"/>
    <w:rsid w:val="007B7E15"/>
    <w:rsid w:val="007C03C8"/>
    <w:rsid w:val="007C0DD1"/>
    <w:rsid w:val="007C0EBA"/>
    <w:rsid w:val="007C414B"/>
    <w:rsid w:val="007C536A"/>
    <w:rsid w:val="007C5D24"/>
    <w:rsid w:val="007C5FED"/>
    <w:rsid w:val="007C75E3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1A4E"/>
    <w:rsid w:val="007F26AA"/>
    <w:rsid w:val="007F2CA9"/>
    <w:rsid w:val="007F38ED"/>
    <w:rsid w:val="007F494F"/>
    <w:rsid w:val="007F6718"/>
    <w:rsid w:val="007F7A68"/>
    <w:rsid w:val="00801B17"/>
    <w:rsid w:val="008034E4"/>
    <w:rsid w:val="00803995"/>
    <w:rsid w:val="00805598"/>
    <w:rsid w:val="008055FD"/>
    <w:rsid w:val="00805AEA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113A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6743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67621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B7CF5"/>
    <w:rsid w:val="008C00EA"/>
    <w:rsid w:val="008C0AC8"/>
    <w:rsid w:val="008C175B"/>
    <w:rsid w:val="008C22C0"/>
    <w:rsid w:val="008C426B"/>
    <w:rsid w:val="008C44A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418F"/>
    <w:rsid w:val="00906AD5"/>
    <w:rsid w:val="00911FB3"/>
    <w:rsid w:val="00913488"/>
    <w:rsid w:val="00913B33"/>
    <w:rsid w:val="0091507D"/>
    <w:rsid w:val="00917DD2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D37"/>
    <w:rsid w:val="00943E94"/>
    <w:rsid w:val="009465A9"/>
    <w:rsid w:val="009471D8"/>
    <w:rsid w:val="0095028E"/>
    <w:rsid w:val="009510EA"/>
    <w:rsid w:val="009524C0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5E59"/>
    <w:rsid w:val="00996253"/>
    <w:rsid w:val="009968A8"/>
    <w:rsid w:val="009A1381"/>
    <w:rsid w:val="009A2593"/>
    <w:rsid w:val="009A2BDB"/>
    <w:rsid w:val="009A64A5"/>
    <w:rsid w:val="009A69FC"/>
    <w:rsid w:val="009A7806"/>
    <w:rsid w:val="009A7EDA"/>
    <w:rsid w:val="009B1061"/>
    <w:rsid w:val="009B3023"/>
    <w:rsid w:val="009B3A2F"/>
    <w:rsid w:val="009B465E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7434"/>
    <w:rsid w:val="009F3066"/>
    <w:rsid w:val="009F432D"/>
    <w:rsid w:val="009F5411"/>
    <w:rsid w:val="009F5D01"/>
    <w:rsid w:val="009F68B1"/>
    <w:rsid w:val="009F79E6"/>
    <w:rsid w:val="00A00035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473E"/>
    <w:rsid w:val="00A35F50"/>
    <w:rsid w:val="00A36B38"/>
    <w:rsid w:val="00A41447"/>
    <w:rsid w:val="00A4217C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2AD4"/>
    <w:rsid w:val="00A92C93"/>
    <w:rsid w:val="00A93D18"/>
    <w:rsid w:val="00A95077"/>
    <w:rsid w:val="00A96F1C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B6AA1"/>
    <w:rsid w:val="00AC309C"/>
    <w:rsid w:val="00AC3423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7A1B"/>
    <w:rsid w:val="00AE7FF6"/>
    <w:rsid w:val="00AF335D"/>
    <w:rsid w:val="00AF3706"/>
    <w:rsid w:val="00AF54C0"/>
    <w:rsid w:val="00AF582D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6C9D"/>
    <w:rsid w:val="00B171B7"/>
    <w:rsid w:val="00B17BF1"/>
    <w:rsid w:val="00B21A60"/>
    <w:rsid w:val="00B246C1"/>
    <w:rsid w:val="00B25E21"/>
    <w:rsid w:val="00B2698F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77CF3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12D"/>
    <w:rsid w:val="00BB7794"/>
    <w:rsid w:val="00BB7D88"/>
    <w:rsid w:val="00BC0008"/>
    <w:rsid w:val="00BC007F"/>
    <w:rsid w:val="00BC0646"/>
    <w:rsid w:val="00BC08CB"/>
    <w:rsid w:val="00BC2CE1"/>
    <w:rsid w:val="00BC5000"/>
    <w:rsid w:val="00BC68D6"/>
    <w:rsid w:val="00BC7406"/>
    <w:rsid w:val="00BD36B7"/>
    <w:rsid w:val="00BD41E2"/>
    <w:rsid w:val="00BD6970"/>
    <w:rsid w:val="00BD749B"/>
    <w:rsid w:val="00BE06C2"/>
    <w:rsid w:val="00BE126B"/>
    <w:rsid w:val="00BE202D"/>
    <w:rsid w:val="00BE25CF"/>
    <w:rsid w:val="00BE3EFF"/>
    <w:rsid w:val="00BE4350"/>
    <w:rsid w:val="00BE4753"/>
    <w:rsid w:val="00BE6845"/>
    <w:rsid w:val="00BF0B87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3EF4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5EE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02"/>
    <w:rsid w:val="00C772C2"/>
    <w:rsid w:val="00C80709"/>
    <w:rsid w:val="00C80B7A"/>
    <w:rsid w:val="00C82B73"/>
    <w:rsid w:val="00C839F1"/>
    <w:rsid w:val="00C84AE4"/>
    <w:rsid w:val="00C877B2"/>
    <w:rsid w:val="00C90D9A"/>
    <w:rsid w:val="00C91D57"/>
    <w:rsid w:val="00C9227E"/>
    <w:rsid w:val="00C93B5A"/>
    <w:rsid w:val="00C960F5"/>
    <w:rsid w:val="00CA0D78"/>
    <w:rsid w:val="00CA13BB"/>
    <w:rsid w:val="00CA19B2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AF7"/>
    <w:rsid w:val="00CC2545"/>
    <w:rsid w:val="00CC2EEF"/>
    <w:rsid w:val="00CC517C"/>
    <w:rsid w:val="00CC5395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160F"/>
    <w:rsid w:val="00CF2085"/>
    <w:rsid w:val="00CF242E"/>
    <w:rsid w:val="00CF6522"/>
    <w:rsid w:val="00CF66AF"/>
    <w:rsid w:val="00CF6D49"/>
    <w:rsid w:val="00D004CF"/>
    <w:rsid w:val="00D03B44"/>
    <w:rsid w:val="00D04314"/>
    <w:rsid w:val="00D0461B"/>
    <w:rsid w:val="00D05FBC"/>
    <w:rsid w:val="00D07246"/>
    <w:rsid w:val="00D07756"/>
    <w:rsid w:val="00D07D3A"/>
    <w:rsid w:val="00D129E9"/>
    <w:rsid w:val="00D12B9A"/>
    <w:rsid w:val="00D12F6D"/>
    <w:rsid w:val="00D138C1"/>
    <w:rsid w:val="00D14920"/>
    <w:rsid w:val="00D16EE3"/>
    <w:rsid w:val="00D178FC"/>
    <w:rsid w:val="00D20834"/>
    <w:rsid w:val="00D20B4C"/>
    <w:rsid w:val="00D21866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9FB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2A73"/>
    <w:rsid w:val="00D93365"/>
    <w:rsid w:val="00D934AE"/>
    <w:rsid w:val="00D95C94"/>
    <w:rsid w:val="00D95CC8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B62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D03BD"/>
    <w:rsid w:val="00DD3503"/>
    <w:rsid w:val="00DD3E5D"/>
    <w:rsid w:val="00DD4179"/>
    <w:rsid w:val="00DD4442"/>
    <w:rsid w:val="00DD4467"/>
    <w:rsid w:val="00DD4B29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415D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466F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29EB"/>
    <w:rsid w:val="00E538EA"/>
    <w:rsid w:val="00E53B03"/>
    <w:rsid w:val="00E542BE"/>
    <w:rsid w:val="00E5483D"/>
    <w:rsid w:val="00E54C9B"/>
    <w:rsid w:val="00E54CCD"/>
    <w:rsid w:val="00E5710C"/>
    <w:rsid w:val="00E577AC"/>
    <w:rsid w:val="00E60243"/>
    <w:rsid w:val="00E61B30"/>
    <w:rsid w:val="00E62571"/>
    <w:rsid w:val="00E62CC4"/>
    <w:rsid w:val="00E63CB3"/>
    <w:rsid w:val="00E641B9"/>
    <w:rsid w:val="00E65397"/>
    <w:rsid w:val="00E67912"/>
    <w:rsid w:val="00E67E4D"/>
    <w:rsid w:val="00E7077F"/>
    <w:rsid w:val="00E70932"/>
    <w:rsid w:val="00E71453"/>
    <w:rsid w:val="00E719FB"/>
    <w:rsid w:val="00E71F7B"/>
    <w:rsid w:val="00E73989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64C2"/>
    <w:rsid w:val="00EB6905"/>
    <w:rsid w:val="00EB6970"/>
    <w:rsid w:val="00EB79E7"/>
    <w:rsid w:val="00EB7E09"/>
    <w:rsid w:val="00EC1D56"/>
    <w:rsid w:val="00EC3E7C"/>
    <w:rsid w:val="00EC4BAE"/>
    <w:rsid w:val="00EC7C4B"/>
    <w:rsid w:val="00ED05BF"/>
    <w:rsid w:val="00ED3127"/>
    <w:rsid w:val="00ED367C"/>
    <w:rsid w:val="00ED4DC5"/>
    <w:rsid w:val="00ED5D0C"/>
    <w:rsid w:val="00EE00F1"/>
    <w:rsid w:val="00EE0887"/>
    <w:rsid w:val="00EE0998"/>
    <w:rsid w:val="00EE10B1"/>
    <w:rsid w:val="00EE258B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6C47"/>
    <w:rsid w:val="00F070F5"/>
    <w:rsid w:val="00F079BE"/>
    <w:rsid w:val="00F10609"/>
    <w:rsid w:val="00F10E78"/>
    <w:rsid w:val="00F12153"/>
    <w:rsid w:val="00F12DED"/>
    <w:rsid w:val="00F1431F"/>
    <w:rsid w:val="00F158FB"/>
    <w:rsid w:val="00F16AC5"/>
    <w:rsid w:val="00F17196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3C1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879"/>
    <w:rsid w:val="00F46F77"/>
    <w:rsid w:val="00F47133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36F2"/>
    <w:rsid w:val="00F75FEC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907DF"/>
    <w:rsid w:val="00F909C4"/>
    <w:rsid w:val="00F91AFD"/>
    <w:rsid w:val="00F9367C"/>
    <w:rsid w:val="00F94894"/>
    <w:rsid w:val="00F94B1D"/>
    <w:rsid w:val="00FA2363"/>
    <w:rsid w:val="00FA2EB5"/>
    <w:rsid w:val="00FA44E7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58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6B96D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646</cp:revision>
  <cp:lastPrinted>2025-02-17T14:25:00Z</cp:lastPrinted>
  <dcterms:created xsi:type="dcterms:W3CDTF">2025-02-13T02:02:00Z</dcterms:created>
  <dcterms:modified xsi:type="dcterms:W3CDTF">2026-05-07T07:50:00Z</dcterms:modified>
</cp:coreProperties>
</file>