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9429B">
      <w:pPr>
        <w:pStyle w:val="2"/>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603210</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泰鸿万立</w:t>
      </w:r>
    </w:p>
    <w:p w14:paraId="560C4B4C"/>
    <w:p w14:paraId="7F24D42B">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ascii="宋体" w:hAnsi="宋体" w:eastAsia="宋体" w:cs="宋体"/>
          <w:b/>
          <w:bCs/>
          <w:sz w:val="36"/>
          <w:szCs w:val="36"/>
        </w:rPr>
      </w:pPr>
      <w:r>
        <w:rPr>
          <w:rFonts w:hint="eastAsia" w:ascii="宋体" w:hAnsi="宋体" w:eastAsia="宋体" w:cs="宋体"/>
          <w:b/>
          <w:bCs/>
          <w:sz w:val="36"/>
          <w:szCs w:val="36"/>
        </w:rPr>
        <w:t>浙江泰鸿万立科技股份有限公司</w:t>
      </w:r>
    </w:p>
    <w:p w14:paraId="68D06A0B">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ascii="宋体" w:hAnsi="宋体" w:eastAsia="宋体" w:cs="宋体"/>
          <w:sz w:val="36"/>
          <w:szCs w:val="36"/>
        </w:rPr>
      </w:pPr>
      <w:r>
        <w:rPr>
          <w:rFonts w:hint="eastAsia" w:ascii="宋体" w:hAnsi="宋体" w:eastAsia="宋体" w:cs="宋体"/>
          <w:b/>
          <w:bCs/>
          <w:sz w:val="36"/>
          <w:szCs w:val="36"/>
        </w:rPr>
        <w:t>投资者关系活动记录表</w:t>
      </w:r>
    </w:p>
    <w:p w14:paraId="54F3FE70">
      <w:pPr>
        <w:keepNext w:val="0"/>
        <w:keepLines w:val="0"/>
        <w:pageBreakBefore w:val="0"/>
        <w:widowControl w:val="0"/>
        <w:kinsoku/>
        <w:wordWrap/>
        <w:overflowPunct/>
        <w:topLinePunct w:val="0"/>
        <w:autoSpaceDE w:val="0"/>
        <w:autoSpaceDN w:val="0"/>
        <w:bidi w:val="0"/>
        <w:adjustRightInd/>
        <w:snapToGrid/>
        <w:spacing w:line="360" w:lineRule="auto"/>
        <w:ind w:right="0"/>
        <w:jc w:val="righ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编号：</w:t>
      </w:r>
      <w:r>
        <w:rPr>
          <w:rFonts w:hint="default" w:ascii="Times New Roman" w:hAnsi="Times New Roman" w:eastAsia="宋体" w:cs="Times New Roman"/>
          <w:sz w:val="24"/>
          <w:szCs w:val="24"/>
          <w:lang w:val="en-US"/>
        </w:rPr>
        <w:t>2026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005</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964"/>
        <w:gridCol w:w="6561"/>
      </w:tblGrid>
      <w:tr w14:paraId="42DE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964" w:type="dxa"/>
          </w:tcPr>
          <w:p w14:paraId="06928971">
            <w:pPr>
              <w:pStyle w:val="12"/>
              <w:spacing w:before="7" w:line="360" w:lineRule="auto"/>
              <w:jc w:val="center"/>
              <w:rPr>
                <w:rFonts w:hint="default" w:ascii="Times New Roman" w:hAnsi="Times New Roman" w:eastAsia="宋体" w:cs="Times New Roman"/>
                <w:b/>
                <w:bCs/>
                <w:sz w:val="24"/>
                <w:szCs w:val="24"/>
              </w:rPr>
            </w:pPr>
          </w:p>
          <w:p w14:paraId="002D7281">
            <w:pPr>
              <w:pStyle w:val="12"/>
              <w:spacing w:before="1" w:line="360" w:lineRule="auto"/>
              <w:ind w:left="107"/>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6561" w:type="dxa"/>
          </w:tcPr>
          <w:p w14:paraId="7CA9A1FC">
            <w:pPr>
              <w:pStyle w:val="12"/>
              <w:spacing w:before="7"/>
              <w:rPr>
                <w:rFonts w:hint="default" w:ascii="Times New Roman" w:hAnsi="Times New Roman" w:eastAsia="宋体" w:cs="Times New Roman"/>
                <w:sz w:val="24"/>
                <w:szCs w:val="24"/>
              </w:rPr>
            </w:pPr>
          </w:p>
          <w:p w14:paraId="1CF2BB68">
            <w:pPr>
              <w:pStyle w:val="12"/>
              <w:tabs>
                <w:tab w:val="left" w:pos="2418"/>
              </w:tabs>
              <w:spacing w:before="1"/>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5B87038B">
            <w:pPr>
              <w:pStyle w:val="12"/>
              <w:spacing w:before="11"/>
              <w:rPr>
                <w:rFonts w:hint="default" w:ascii="Times New Roman" w:hAnsi="Times New Roman" w:eastAsia="宋体" w:cs="Times New Roman"/>
                <w:sz w:val="24"/>
                <w:szCs w:val="24"/>
              </w:rPr>
            </w:pPr>
          </w:p>
          <w:p w14:paraId="629B6D5B">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4E8CA940">
            <w:pPr>
              <w:pStyle w:val="12"/>
              <w:spacing w:before="8"/>
              <w:rPr>
                <w:rFonts w:hint="default" w:ascii="Times New Roman" w:hAnsi="Times New Roman" w:eastAsia="宋体" w:cs="Times New Roman"/>
                <w:sz w:val="24"/>
                <w:szCs w:val="24"/>
              </w:rPr>
            </w:pPr>
          </w:p>
          <w:p w14:paraId="51DA2843">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40B6F073">
            <w:pPr>
              <w:pStyle w:val="12"/>
              <w:spacing w:before="8"/>
              <w:rPr>
                <w:rFonts w:hint="default" w:ascii="Times New Roman" w:hAnsi="Times New Roman" w:eastAsia="宋体" w:cs="Times New Roman"/>
                <w:sz w:val="24"/>
                <w:szCs w:val="24"/>
              </w:rPr>
            </w:pPr>
          </w:p>
          <w:p w14:paraId="7DB7D7FF">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2B29EB90">
            <w:pPr>
              <w:pStyle w:val="12"/>
              <w:spacing w:before="11"/>
              <w:rPr>
                <w:rFonts w:hint="default" w:ascii="Times New Roman" w:hAnsi="Times New Roman" w:eastAsia="宋体" w:cs="Times New Roman"/>
                <w:sz w:val="24"/>
                <w:szCs w:val="24"/>
              </w:rPr>
            </w:pPr>
          </w:p>
          <w:p w14:paraId="177B1D83">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tc>
      </w:tr>
      <w:tr w14:paraId="43F8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964" w:type="dxa"/>
            <w:vAlign w:val="center"/>
          </w:tcPr>
          <w:p w14:paraId="513D8D0C">
            <w:pPr>
              <w:pStyle w:val="12"/>
              <w:spacing w:line="360" w:lineRule="auto"/>
              <w:ind w:left="107" w:right="96"/>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6561" w:type="dxa"/>
            <w:vAlign w:val="center"/>
          </w:tcPr>
          <w:p w14:paraId="7BC578A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线上参与泰鸿万立（603210）2025年年度暨2026年第一季度业绩说明会的全体投资者</w:t>
            </w:r>
          </w:p>
        </w:tc>
      </w:tr>
      <w:tr w14:paraId="641F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64" w:type="dxa"/>
            <w:vAlign w:val="center"/>
          </w:tcPr>
          <w:p w14:paraId="23E802C7">
            <w:pPr>
              <w:pStyle w:val="12"/>
              <w:spacing w:line="360" w:lineRule="auto"/>
              <w:ind w:left="107"/>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6561" w:type="dxa"/>
            <w:vAlign w:val="center"/>
          </w:tcPr>
          <w:p w14:paraId="4DF3B216">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2026年05月08日 14:00-15:00</w:t>
            </w:r>
          </w:p>
        </w:tc>
      </w:tr>
      <w:tr w14:paraId="61DBB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964" w:type="dxa"/>
            <w:vAlign w:val="center"/>
          </w:tcPr>
          <w:p w14:paraId="61968BE3">
            <w:pPr>
              <w:pStyle w:val="12"/>
              <w:spacing w:line="360" w:lineRule="auto"/>
              <w:ind w:left="107"/>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地点</w:t>
            </w:r>
          </w:p>
        </w:tc>
        <w:tc>
          <w:tcPr>
            <w:tcW w:w="6561" w:type="dxa"/>
            <w:vAlign w:val="center"/>
          </w:tcPr>
          <w:p w14:paraId="719ACCB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价值在线（https://www.ir-online.cn/）网络互动</w:t>
            </w:r>
          </w:p>
        </w:tc>
      </w:tr>
      <w:tr w14:paraId="0ED6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64" w:type="dxa"/>
            <w:vAlign w:val="center"/>
          </w:tcPr>
          <w:p w14:paraId="151C8CCF">
            <w:pPr>
              <w:pStyle w:val="12"/>
              <w:spacing w:before="1" w:line="360" w:lineRule="auto"/>
              <w:ind w:left="107"/>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6561" w:type="dxa"/>
            <w:vAlign w:val="center"/>
          </w:tcPr>
          <w:p w14:paraId="06E3745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董事长 应正才</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董事、总经理 郑永茂</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董事、财务总监 吴建夏</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董事、董事会秘书、副总经理 胡伟杰</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独立董事 张伟坤</w:t>
            </w:r>
          </w:p>
        </w:tc>
      </w:tr>
      <w:tr w14:paraId="72A83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964" w:type="dxa"/>
          </w:tcPr>
          <w:p w14:paraId="7A28CF16">
            <w:pPr>
              <w:pStyle w:val="12"/>
              <w:spacing w:line="360" w:lineRule="auto"/>
              <w:jc w:val="center"/>
              <w:rPr>
                <w:rFonts w:hint="default" w:ascii="Times New Roman" w:hAnsi="Times New Roman" w:eastAsia="宋体" w:cs="Times New Roman"/>
                <w:b/>
                <w:bCs/>
                <w:sz w:val="24"/>
                <w:szCs w:val="24"/>
              </w:rPr>
            </w:pPr>
          </w:p>
          <w:p w14:paraId="1E3E8D3D">
            <w:pPr>
              <w:pStyle w:val="12"/>
              <w:spacing w:line="360" w:lineRule="auto"/>
              <w:jc w:val="center"/>
              <w:rPr>
                <w:rFonts w:hint="default" w:ascii="Times New Roman" w:hAnsi="Times New Roman" w:eastAsia="宋体" w:cs="Times New Roman"/>
                <w:b/>
                <w:bCs/>
                <w:sz w:val="24"/>
                <w:szCs w:val="24"/>
              </w:rPr>
            </w:pPr>
          </w:p>
          <w:p w14:paraId="527F853D">
            <w:pPr>
              <w:pStyle w:val="12"/>
              <w:spacing w:before="5" w:line="360" w:lineRule="auto"/>
              <w:jc w:val="center"/>
              <w:rPr>
                <w:rFonts w:hint="default" w:ascii="Times New Roman" w:hAnsi="Times New Roman" w:eastAsia="宋体" w:cs="Times New Roman"/>
                <w:b/>
                <w:bCs/>
                <w:sz w:val="24"/>
                <w:szCs w:val="24"/>
              </w:rPr>
            </w:pPr>
          </w:p>
          <w:p w14:paraId="281658BC">
            <w:pPr>
              <w:pStyle w:val="12"/>
              <w:spacing w:before="1" w:line="360" w:lineRule="auto"/>
              <w:ind w:left="107" w:right="96"/>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投资者关系活动主要内容介绍</w:t>
            </w:r>
          </w:p>
        </w:tc>
        <w:tc>
          <w:tcPr>
            <w:tcW w:w="6561" w:type="dxa"/>
          </w:tcPr>
          <w:p w14:paraId="57B28739">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 xml:space="preserve">    1.5000多个股票？大盘快4200点了..上市高点39.5一路到15.8…这就是你们的市值管理吗</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目前发展经营情况正常，主营业务持续增长。公司将持续提高经营管理水平，加强研发创新，控制成本费用，提升综合竞争力，确保业绩稳定发展。另外，公司也按照证监所、交易所相关规定，积极开展市值管理工作，努力维持股价稳定发展。二级市场股价短期波动受宏观经济环境、行业周期、市场情绪、资金面等多种复杂因素的综合影响。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2.陈君华的儿子，刚解禁就迫不及待的就要卖出.而且卖出后就不到百分之5了.可以随便卖不公告了？是不是不看好公司？公司有什么潜在风险吗</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部分股东由于个人资金需求等原因，减持其持有的部分股份。公司生产经营情况正常，业务稳定发展，不存在影响公司持续发展的应披露而未披露的事项。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3.公司未来的核心发展战略主要围绕哪些方向展开？</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将积极拓展新客户和新项目，做大做强主业。一方面，围绕产品电动化、轻量化、模块化、智能制造等技术方向，持续强化研发创新，提升产品技术含量和单车配套价值，持续提升盈利能力。另一方面，公司将积极关注新材料、新工艺以及新的行业发展动态，积极向产业上下游及其他先进行业适当延升拓展。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4.1.公司人形机器人精密减速器/结构件，目前有没有进入优必选、特斯拉供应链？有没有量产落地订单？
2.机器人业务2026年预计营收占比多少？什么时候开始大规模贡献利润？
​
3.和国内头部人形机器人厂商，有没有长期独家供货合作协议？</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答:尊敬的投资者，您好，感谢您对公司的关心和支持！公司暂无相关业务。公司持续关注新的行业发展方向和发展动态，并将根据公司实际发展情况，在合适的时机，进行适当拓展延升。谢谢！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5.公司营业收入及净利润持续增长，但上市以来股价表现与A股整体走势相比较弱，上市公司如何看待当前估值水平？是否有增持,回购，外延式并购或其他市值管理举措？</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将持续提高经营管理水平，加强研发创新，控制成本费用，提升综合竞争力，确保业绩稳定发展。另外，公司也按照证监所、交易所相关规定，积极开展市值管理工作，努力维持股价稳定发展。二级市场股价短期波动受宏观经济环境、行业周期、市场情绪、资金面等多种复杂因素的综合影响。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6.4.特斯拉新款车型及Robotaxi业务，能否给公司带来持续业绩增量？
​
5.公司后续有无股份回购、大股东增持计划，稳定二级市场股价？</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该客户为公司核心战略客户之一，目前该客户的配套业务均稳定开展，上述车型目前主要在该客户海外基地生产，公司暂未为该车型配套相关产品。后续公司将积极寻找该车型相关的合作机会；公司暂未收到相关计划，后续如有相关事项，公司将严格按照相关信批规则，在指定媒体进行披露。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7.苏州、天津、沈阳、武汉新基地的建设规划与推进节奏是怎样的？</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答:尊敬的投资者，您好，感谢您对公司的关心和支持！公司正根据上述基地周边客户的业务情况，积极推进相关基地的建设工作。谢谢！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8.上市公司的各位领导好。请问：2026年随着汽车补贴减少等政策影响，国内汽车销量总体承压。公司如何应对下游可能出现的：需求减弱/信用风险？
在行业"存量博弈"阶段，公司如何保持收入增长的稳定性？是否有逆周期扩张的策略？</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持续依托优质的客户资源、管理、制造、技术等方面的竞争优势，持续拓展新客户和新业务。围绕老客户，公司将加大合作力度，提升配套份额。面对新客户，公司将加快推进准入审核。公司持续推进改善提升，提高综合实力，不断扩大市场占有率。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9.新能源汽车相关零部件业务，未来的拓展方向有哪些？</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将立足主业，围绕电动化、模块化、轻量化、智能化等新能源汽车技术发展方向，加强研发创新，进行技术升级迭代，不断向产业链上下游延伸。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10.2026年一季度功能件和结构件的营收表现怎么样？</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2026年第一季度整体经营势头良好，结构件及功能件两大核心业务板块均实现稳健增长，实现营业收入5.31亿元，同比增长20.30%，归属母公司净利润5,613.20万元，同比增长27.23%。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11.看到公司25年及26年第一季度营收和利润实现了双增长，请问增长的主要驱动力是什么？</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答：尊敬的投资者，您好，感谢您对公司的关心和支持！近年来，公司持续提升综合能力，不断拓展新客户和新项目，已成为吉利、长城、沃尔沃、奇瑞、某北美头部新能源车企、小米、理想、大众、丰田、奥迪、蔚来、小鹏、领跑、上汽、广汽、通用五菱等众多国内外知名整车厂商的一级供应商，同时，也是宁德时代、海斯坦普等众多大型零部件企业的合作伙伴，优质的客户资源和客户结构为公司业务实现长期稳定增长奠定了基础；另一方面，公司抓住新能源汽车占有率不断提高的市场契机，大力开发“明星”车型和平台化项目，有效加速业务增长和业绩提升。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12.汽车轻量化政策对公司产品需求带来了哪些积极影响？</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轻量化已成为汽车产业发展的技术趋势之一，对新能源汽车提升续航里程尤为关键。随着高强度钢、铝合金、复合材料等轻质材料应用增加，结构件与功能件的单车价值持续提升，公司持续关注新工艺新材料的发展动态，公司铝合金材料、塑件等复合材料相关的产品业务逐年增加。公司在轻量化领域的技术储备和产能布局，有助于抓住这一产业机遇。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13.公司目前海外业务的营收占比大概是多少？</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答:尊敬的投资者，您好，感谢您对公司的关心和支持。公司目前直接出口的业务较少，谢谢！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14.未来公司在海外市场拓展方面有哪些规划？</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答:尊敬的投资者，您好，感谢您对公司的关心和支持！公司目前直接出口业务较少，主要为配套主机厂后整车出口。后续公司将根据业务发展情况及客户基地布局，研究规划布局海外基地。谢谢！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15.公司2025年度的利润分配方案具体是什么？</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始终重视对投资者的回报。2025年度拟每10股派发现金1.1751（含税）。合计派发4000万元，占归属母公司净利润的19.92%。未来，公司将在保证可持续发展的前提下，综合考虑经营情况，资本开支计划和现金流状况，力争为股东创造持续、稳定的回报，公司也将持续提升经营业绩，以良好的基本面支撑长期投资价值。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16.当前汽车零部件行业呈现出哪些核心发展趋势？</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随着行业的不断发展，汽车零部件产业技术水平不断提升，制造能力逐步增强，国内零部件企业的综合实力与竞争力不断提升，已成为全球汽车零部件企业的重要组成部分。全球化采购与产业链协作深化、技术高新化与电动化、智能化转型、模块化供货与自动化升级等均是行业发展重要趋势。谢谢！</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17.上游原材料价格波动，对整个零部件行业影响大吗？</w:t>
            </w:r>
            <w:r>
              <w:rPr>
                <w:rFonts w:hint="default" w:ascii="Times New Roman" w:hAnsi="Times New Roman" w:eastAsia="宋体" w:cs="Times New Roman"/>
                <w:b/>
                <w:sz w:val="24"/>
                <w:szCs w:val="24"/>
              </w:rPr>
              <w:br w:type="textWrapping"/>
            </w:r>
            <w:r>
              <w:rPr>
                <w:rFonts w:hint="default" w:ascii="Times New Roman" w:hAnsi="Times New Roman" w:eastAsia="宋体" w:cs="Times New Roman"/>
                <w:b w:val="0"/>
                <w:sz w:val="24"/>
                <w:szCs w:val="24"/>
              </w:rPr>
              <w:t xml:space="preserve">    答:尊敬的投资者，您好，感谢您对公司的关心和支持！公司客户数量较多，不同客户合作模式具有差异性，部分客户产品价格与原材料价格联动。公司主要产品原材料为钢材、铝材及特种复合材料，相关材料目前价格波动幅度有限，对公司成本、收入影响较小。谢谢！</w:t>
            </w:r>
          </w:p>
        </w:tc>
      </w:tr>
      <w:tr w14:paraId="598CF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964" w:type="dxa"/>
            <w:vAlign w:val="center"/>
          </w:tcPr>
          <w:p w14:paraId="5BC803C5">
            <w:pPr>
              <w:pStyle w:val="12"/>
              <w:spacing w:before="1"/>
              <w:ind w:left="107"/>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关于本次活动是否涉及应</w:t>
            </w:r>
          </w:p>
          <w:p w14:paraId="0C0F81F3">
            <w:pPr>
              <w:pStyle w:val="12"/>
              <w:spacing w:before="1"/>
              <w:ind w:left="107"/>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披露重大信息的说明</w:t>
            </w:r>
          </w:p>
        </w:tc>
        <w:tc>
          <w:tcPr>
            <w:tcW w:w="6561" w:type="dxa"/>
            <w:vAlign w:val="center"/>
          </w:tcPr>
          <w:p w14:paraId="2BC5A26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本次活动不涉及未公开披露的重大信息。</w:t>
            </w:r>
          </w:p>
        </w:tc>
      </w:tr>
      <w:tr w14:paraId="3238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64" w:type="dxa"/>
            <w:vAlign w:val="center"/>
          </w:tcPr>
          <w:p w14:paraId="5611A03B">
            <w:pPr>
              <w:pStyle w:val="12"/>
              <w:spacing w:before="1"/>
              <w:ind w:left="107" w:leftChars="0"/>
              <w:rPr>
                <w:rFonts w:hint="default" w:ascii="Times New Roman" w:hAnsi="Times New Roman" w:eastAsia="宋体" w:cs="Times New Roman"/>
                <w:b/>
                <w:bCs/>
                <w:sz w:val="24"/>
                <w:szCs w:val="24"/>
                <w:lang w:val="zh-CN" w:eastAsia="zh-CN" w:bidi="zh-CN"/>
              </w:rPr>
            </w:pPr>
            <w:r>
              <w:rPr>
                <w:rFonts w:hint="default" w:ascii="Times New Roman" w:hAnsi="Times New Roman" w:eastAsia="宋体" w:cs="Times New Roman"/>
                <w:b/>
                <w:bCs/>
                <w:sz w:val="24"/>
                <w:szCs w:val="24"/>
              </w:rPr>
              <w:t>附件清单（如有）</w:t>
            </w:r>
          </w:p>
        </w:tc>
        <w:tc>
          <w:tcPr>
            <w:tcW w:w="6561" w:type="dxa"/>
            <w:vAlign w:val="center"/>
          </w:tcPr>
          <w:p w14:paraId="445F421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4"/>
                <w:szCs w:val="24"/>
                <w:lang w:val="zh-CN" w:eastAsia="zh-CN" w:bidi="zh-CN"/>
              </w:rPr>
            </w:pPr>
          </w:p>
        </w:tc>
      </w:tr>
      <w:tr w14:paraId="68B62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64" w:type="dxa"/>
            <w:vAlign w:val="center"/>
          </w:tcPr>
          <w:p w14:paraId="4FF414B5">
            <w:pPr>
              <w:pStyle w:val="12"/>
              <w:spacing w:before="1"/>
              <w:ind w:left="107" w:leftChars="0"/>
              <w:rPr>
                <w:rFonts w:hint="default" w:ascii="Times New Roman" w:hAnsi="Times New Roman" w:eastAsia="宋体" w:cs="Times New Roman"/>
                <w:b/>
                <w:bCs/>
                <w:sz w:val="24"/>
                <w:szCs w:val="24"/>
                <w:lang w:val="zh-CN" w:eastAsia="zh-CN" w:bidi="zh-CN"/>
              </w:rPr>
            </w:pPr>
            <w:r>
              <w:rPr>
                <w:rFonts w:hint="default" w:ascii="Times New Roman" w:hAnsi="Times New Roman" w:eastAsia="宋体" w:cs="Times New Roman"/>
                <w:b/>
                <w:bCs/>
                <w:sz w:val="24"/>
                <w:szCs w:val="24"/>
              </w:rPr>
              <w:t>日期</w:t>
            </w:r>
          </w:p>
        </w:tc>
        <w:tc>
          <w:tcPr>
            <w:tcW w:w="6561" w:type="dxa"/>
            <w:vAlign w:val="center"/>
          </w:tcPr>
          <w:p w14:paraId="203F88C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rPr>
              <w:t>2026年05月08日</w:t>
            </w:r>
          </w:p>
        </w:tc>
      </w:tr>
    </w:tbl>
    <w:p w14:paraId="668A1A0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340F57"/>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2727C7"/>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3264</Words>
  <Characters>3445</Characters>
  <Lines>2</Lines>
  <Paragraphs>1</Paragraphs>
  <TotalTime>1</TotalTime>
  <ScaleCrop>false</ScaleCrop>
  <LinksUpToDate>false</LinksUpToDate>
  <CharactersWithSpaces>3643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L</cp:lastModifiedBy>
  <dcterms:modified xsi:type="dcterms:W3CDTF">2026-05-08T07:34:55Z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eyJoZGlkIjoiYmM2OTY4ZDQ3YmYzYjAwZmYxYjIwMTY2ZTJjNzZjZmYiLCJ1c2VySWQiOiI1ODIyNDc4NzIifQ==</vt:lpwstr>
  </property>
</Properties>
</file>