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ascii="Times New Roman" w:hAnsi="Times New Roman" w:eastAsia="宋体" w:cs="Times New Roman"/>
          <w:b/>
          <w:bCs/>
          <w:sz w:val="24"/>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w:t>
      </w:r>
      <w:r>
        <w:rPr>
          <w:rFonts w:hint="eastAsia" w:ascii="Times New Roman" w:hAnsi="Times New Roman" w:eastAsia="宋体" w:cs="Times New Roman"/>
          <w:b/>
          <w:bCs/>
          <w:sz w:val="24"/>
          <w:lang w:bidi="ar"/>
        </w:rPr>
        <w:t>6</w:t>
      </w:r>
      <w:r>
        <w:rPr>
          <w:rFonts w:ascii="Times New Roman" w:hAnsi="Times New Roman" w:eastAsia="宋体" w:cs="Times New Roman"/>
          <w:b/>
          <w:bCs/>
          <w:sz w:val="24"/>
          <w:lang w:bidi="ar"/>
        </w:rPr>
        <w:t>-</w:t>
      </w:r>
      <w:r>
        <w:rPr>
          <w:rFonts w:hint="eastAsia" w:ascii="Times New Roman" w:hAnsi="Times New Roman" w:eastAsia="宋体" w:cs="Times New Roman"/>
          <w:b/>
          <w:bCs/>
          <w:sz w:val="24"/>
          <w:lang w:bidi="ar"/>
        </w:rPr>
        <w:t>002</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5E45D821">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tcPr>
          <w:p w14:paraId="5330FD6E">
            <w:pPr>
              <w:spacing w:line="360" w:lineRule="auto"/>
              <w:jc w:val="left"/>
              <w:rPr>
                <w:rFonts w:ascii="Times New Roman" w:hAnsi="Times New Roman" w:eastAsia="宋体" w:cs="Times New Roman"/>
                <w:sz w:val="24"/>
              </w:rPr>
            </w:pPr>
            <w:r>
              <w:rPr>
                <w:rFonts w:ascii="Times New Roman" w:hAnsi="Times New Roman" w:eastAsia="宋体" w:cs="Times New Roman"/>
                <w:sz w:val="24"/>
                <w:szCs w:val="22"/>
                <w:lang w:bidi="ar"/>
              </w:rPr>
              <w:sym w:font="Wingdings 2" w:char="0052"/>
            </w:r>
            <w:r>
              <w:rPr>
                <w:rFonts w:ascii="Times New Roman" w:hAnsi="Times New Roman" w:eastAsia="宋体" w:cs="Times New Roman"/>
                <w:sz w:val="24"/>
                <w:lang w:bidi="ar"/>
              </w:rPr>
              <w:t xml:space="preserve">特定对象调研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分析师会议</w:t>
            </w:r>
            <w:r>
              <w:rPr>
                <w:rFonts w:ascii="Times New Roman" w:hAnsi="Times New Roman" w:eastAsia="宋体" w:cs="Times New Roman"/>
                <w:bCs/>
                <w:iCs/>
                <w:sz w:val="24"/>
                <w:lang w:bidi="ar"/>
              </w:rPr>
              <w:t xml:space="preserve">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媒体采访</w:t>
            </w:r>
            <w:r>
              <w:rPr>
                <w:rFonts w:ascii="Times New Roman" w:hAnsi="Times New Roman" w:eastAsia="宋体" w:cs="Times New Roman"/>
                <w:sz w:val="24"/>
                <w:lang w:bidi="ar"/>
              </w:rPr>
              <w:br w:type="textWrapping"/>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业绩说明会</w:t>
            </w:r>
            <w:r>
              <w:rPr>
                <w:rFonts w:ascii="Times New Roman" w:hAnsi="Times New Roman" w:eastAsia="宋体" w:cs="Times New Roman"/>
                <w:bCs/>
                <w:iCs/>
                <w:sz w:val="24"/>
                <w:lang w:bidi="ar"/>
              </w:rPr>
              <w:t xml:space="preserve">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 xml:space="preserve">新闻发布会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路演活动</w:t>
            </w:r>
          </w:p>
          <w:p w14:paraId="269AB30F">
            <w:pPr>
              <w:tabs>
                <w:tab w:val="left" w:pos="2690"/>
                <w:tab w:val="center" w:pos="3199"/>
              </w:tabs>
              <w:spacing w:line="360" w:lineRule="auto"/>
              <w:jc w:val="left"/>
              <w:rPr>
                <w:rFonts w:ascii="Times New Roman" w:hAnsi="Times New Roman" w:eastAsia="宋体" w:cs="Times New Roman"/>
                <w:bCs/>
                <w:iCs/>
                <w:sz w:val="24"/>
              </w:rPr>
            </w:pP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 xml:space="preserve">现场参观              </w:t>
            </w:r>
            <w:r>
              <w:rPr>
                <w:rFonts w:ascii="Times New Roman" w:hAnsi="Times New Roman" w:eastAsia="宋体" w:cs="Times New Roman"/>
                <w:sz w:val="24"/>
                <w:szCs w:val="22"/>
                <w:lang w:bidi="ar"/>
              </w:rPr>
              <w:sym w:font="Wingdings 2" w:char="0052"/>
            </w:r>
            <w:r>
              <w:rPr>
                <w:rFonts w:ascii="Times New Roman" w:hAnsi="Times New Roman" w:eastAsia="宋体" w:cs="Times New Roman"/>
                <w:sz w:val="24"/>
                <w:lang w:bidi="ar"/>
              </w:rPr>
              <w:t>电话会议</w:t>
            </w:r>
            <w:r>
              <w:rPr>
                <w:rFonts w:ascii="Times New Roman" w:hAnsi="Times New Roman" w:eastAsia="宋体" w:cs="Times New Roman"/>
                <w:bCs/>
                <w:iCs/>
                <w:sz w:val="24"/>
                <w:lang w:bidi="ar"/>
              </w:rPr>
              <w:t xml:space="preserve">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szCs w:val="22"/>
                <w:lang w:bidi="ar"/>
              </w:rPr>
              <w:t>其他</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4AD9DD69">
            <w:pPr>
              <w:spacing w:line="3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vAlign w:val="center"/>
          </w:tcPr>
          <w:p w14:paraId="7DE00AF4">
            <w:pPr>
              <w:tabs>
                <w:tab w:val="left" w:pos="1628"/>
              </w:tabs>
              <w:spacing w:line="360" w:lineRule="auto"/>
              <w:jc w:val="left"/>
              <w:rPr>
                <w:rFonts w:ascii="Times New Roman" w:hAnsi="Times New Roman" w:eastAsia="宋体" w:cs="Times New Roman"/>
                <w:bCs/>
                <w:iCs/>
                <w:sz w:val="24"/>
                <w:lang w:bidi="ar"/>
              </w:rPr>
            </w:pPr>
            <w:r>
              <w:rPr>
                <w:rFonts w:ascii="Times New Roman" w:hAnsi="Times New Roman" w:eastAsia="宋体" w:cs="Times New Roman"/>
                <w:bCs/>
                <w:iCs/>
                <w:sz w:val="24"/>
                <w:lang w:bidi="ar"/>
              </w:rPr>
              <w:t>见附件《陕西莱特光电材料股份有限公司2026年5月8日参会名单》</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01405CD1">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tcPr>
          <w:p w14:paraId="4D3A5CBD">
            <w:pPr>
              <w:spacing w:line="360" w:lineRule="auto"/>
              <w:rPr>
                <w:rFonts w:ascii="Times New Roman" w:hAnsi="Times New Roman" w:eastAsia="宋体" w:cs="Times New Roman"/>
                <w:bCs/>
                <w:iCs/>
                <w:sz w:val="24"/>
              </w:rPr>
            </w:pPr>
            <w:r>
              <w:rPr>
                <w:rFonts w:ascii="Times New Roman" w:hAnsi="Times New Roman" w:eastAsia="宋体" w:cs="Times New Roman"/>
                <w:bCs/>
                <w:iCs/>
                <w:sz w:val="24"/>
                <w:lang w:bidi="ar"/>
              </w:rPr>
              <w:t>2026年5月8日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75A4B870">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tcPr>
          <w:p w14:paraId="69F6DBDA">
            <w:pPr>
              <w:spacing w:line="360" w:lineRule="auto"/>
              <w:rPr>
                <w:rFonts w:ascii="Times New Roman" w:hAnsi="Times New Roman" w:eastAsia="宋体" w:cs="Times New Roman"/>
                <w:bCs/>
                <w:iCs/>
                <w:sz w:val="24"/>
              </w:rPr>
            </w:pPr>
            <w:r>
              <w:rPr>
                <w:rFonts w:ascii="Times New Roman" w:hAnsi="Times New Roman" w:eastAsia="宋体" w:cs="Times New Roman"/>
                <w:bCs/>
                <w:iCs/>
                <w:sz w:val="24"/>
                <w:lang w:bidi="ar"/>
              </w:rPr>
              <w:t>线上</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5339E8B1">
            <w:pPr>
              <w:spacing w:line="3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vAlign w:val="center"/>
          </w:tcPr>
          <w:p w14:paraId="3ACE8E05">
            <w:pPr>
              <w:spacing w:line="360" w:lineRule="auto"/>
              <w:rPr>
                <w:rFonts w:ascii="Times New Roman" w:hAnsi="Times New Roman" w:eastAsia="宋体" w:cs="Times New Roman"/>
                <w:bCs/>
                <w:iCs/>
                <w:sz w:val="24"/>
                <w:lang w:bidi="ar"/>
              </w:rPr>
            </w:pPr>
            <w:r>
              <w:rPr>
                <w:rFonts w:ascii="Times New Roman" w:hAnsi="Times New Roman" w:eastAsia="宋体" w:cs="Times New Roman"/>
                <w:bCs/>
                <w:iCs/>
                <w:sz w:val="24"/>
                <w:lang w:bidi="ar"/>
              </w:rPr>
              <w:t>董事长兼总经理：王亚龙              副总经理：孙占义</w:t>
            </w:r>
          </w:p>
          <w:p w14:paraId="644A4EDA">
            <w:pPr>
              <w:spacing w:line="360" w:lineRule="auto"/>
              <w:rPr>
                <w:rFonts w:ascii="Times New Roman" w:hAnsi="Times New Roman" w:eastAsia="宋体" w:cs="Times New Roman"/>
                <w:bCs/>
                <w:iCs/>
                <w:sz w:val="24"/>
                <w:lang w:bidi="ar"/>
              </w:rPr>
            </w:pPr>
            <w:r>
              <w:rPr>
                <w:rFonts w:ascii="Times New Roman" w:hAnsi="Times New Roman" w:eastAsia="宋体" w:cs="Times New Roman"/>
                <w:bCs/>
                <w:iCs/>
                <w:sz w:val="24"/>
                <w:lang w:bidi="ar"/>
              </w:rPr>
              <w:t>董事会秘书：潘香婷                  投资总监：周立汉</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5287ADD3">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tcPr>
          <w:p w14:paraId="5E043BE8">
            <w:pPr>
              <w:widowControl/>
              <w:spacing w:before="50" w:line="360" w:lineRule="auto"/>
              <w:ind w:firstLine="422" w:firstLineChars="200"/>
              <w:rPr>
                <w:rFonts w:ascii="Times New Roman" w:hAnsi="Times New Roman" w:eastAsia="宋体" w:cs="Times New Roman"/>
                <w:szCs w:val="21"/>
                <w:shd w:val="clear" w:color="auto" w:fill="FFFFFF"/>
              </w:rPr>
            </w:pPr>
            <w:r>
              <w:rPr>
                <w:rFonts w:ascii="Times New Roman" w:hAnsi="Times New Roman" w:eastAsia="宋体" w:cs="Times New Roman"/>
                <w:b/>
                <w:bCs/>
                <w:szCs w:val="21"/>
                <w:shd w:val="clear" w:color="auto" w:fill="FFFFFF"/>
              </w:rPr>
              <w:t>问题1：公司OLED发光材料品类持续丰富，请介绍各系列产品的最新进展及量产情况。</w:t>
            </w:r>
            <w:r>
              <w:rPr>
                <w:rFonts w:ascii="Times New Roman" w:hAnsi="Times New Roman" w:eastAsia="宋体" w:cs="Times New Roman"/>
                <w:szCs w:val="21"/>
                <w:shd w:val="clear" w:color="auto" w:fill="FFFFFF"/>
              </w:rPr>
              <w:br w:type="textWrapping"/>
            </w:r>
            <w:r>
              <w:rPr>
                <w:rFonts w:ascii="Times New Roman" w:hAnsi="Times New Roman" w:eastAsia="宋体" w:cs="Times New Roman"/>
                <w:szCs w:val="21"/>
                <w:shd w:val="clear" w:color="auto" w:fill="FFFFFF"/>
              </w:rPr>
              <w:t xml:space="preserve">    答：公司持续推进OLED有机材料产品的系列化与多样化布局，着力打造差异化竞争优势，推动客户结构与产品矩阵协同优化，进一步巩固行业领先地位。</w:t>
            </w:r>
          </w:p>
          <w:p w14:paraId="2924DBB3">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具体来看，公司Red Prime材料与Green Host材料稳定量产供应并持续迭代升级；Red Host材料已从小批量供货阶段稳步迈入规模化销售阶段；Green Prime材料已完成客户量产测试并进入量产阶段；蓝光系列材料及CGL材料正处于客户验证加速期，力争早日实现量产突破，丰富产品供给。</w:t>
            </w:r>
          </w:p>
          <w:p w14:paraId="207A9298">
            <w:pPr>
              <w:widowControl/>
              <w:spacing w:before="50" w:line="360" w:lineRule="auto"/>
              <w:ind w:firstLine="42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问题2：请介绍公司在客户多样化方面与面板厂商的合作进展及终端应用落地情况。</w:t>
            </w:r>
          </w:p>
          <w:p w14:paraId="31D1B275">
            <w:pPr>
              <w:widowControl/>
              <w:spacing w:before="50" w:line="360" w:lineRule="auto"/>
              <w:ind w:firstLine="420" w:firstLineChars="200"/>
              <w:rPr>
                <w:rFonts w:ascii="Times New Roman" w:hAnsi="Times New Roman" w:eastAsia="宋体" w:cs="Times New Roman"/>
              </w:rPr>
            </w:pPr>
            <w:r>
              <w:rPr>
                <w:rFonts w:ascii="Times New Roman" w:hAnsi="Times New Roman" w:eastAsia="宋体" w:cs="Times New Roman"/>
                <w:szCs w:val="21"/>
                <w:shd w:val="clear" w:color="auto" w:fill="FFFFFF"/>
              </w:rPr>
              <w:t>答：</w:t>
            </w:r>
            <w:r>
              <w:rPr>
                <w:rFonts w:ascii="Times New Roman" w:hAnsi="Times New Roman" w:eastAsia="宋体" w:cs="Times New Roman"/>
              </w:rPr>
              <w:t>公司已与京东方、深天马、华星光电、信利集团、维信诺、惠科股份等全球主流OLED面板厂商建立</w:t>
            </w:r>
            <w:r>
              <w:rPr>
                <w:rFonts w:hint="eastAsia" w:ascii="Times New Roman" w:hAnsi="Times New Roman" w:eastAsia="宋体" w:cs="Times New Roman"/>
              </w:rPr>
              <w:t>了良好</w:t>
            </w:r>
            <w:r>
              <w:rPr>
                <w:rFonts w:ascii="Times New Roman" w:hAnsi="Times New Roman" w:eastAsia="宋体" w:cs="Times New Roman"/>
              </w:rPr>
              <w:t>的合作关系。采用公司OLED终端材料所生产的面板，已广泛应用于华为、荣耀、OPPO、VIVO、联想及北美某知名电子品牌等终端厂商的手机、平板、电脑及相关智能终端产品。</w:t>
            </w:r>
          </w:p>
          <w:p w14:paraId="5EE96B7A">
            <w:pPr>
              <w:widowControl/>
              <w:spacing w:before="50" w:line="360" w:lineRule="auto"/>
              <w:ind w:firstLine="420" w:firstLineChars="200"/>
              <w:rPr>
                <w:rFonts w:ascii="Times New Roman" w:hAnsi="Times New Roman" w:eastAsia="宋体" w:cs="Times New Roman"/>
              </w:rPr>
            </w:pPr>
            <w:r>
              <w:rPr>
                <w:rFonts w:ascii="Times New Roman" w:hAnsi="Times New Roman" w:eastAsia="宋体" w:cs="Times New Roman"/>
              </w:rPr>
              <w:t>与此同时，公司积极布局硅基OLED新兴应用市场，已成功进入视涯科技、台州观宇、国兆光电等硅基OLED厂商供应链，OLED终端材料已在AR眼镜、VR头显等XR智能设备中实现应用落地。</w:t>
            </w:r>
          </w:p>
          <w:p w14:paraId="52779C70">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问题3：公司在OLED前沿技术领域的布局情况如何？</w:t>
            </w:r>
          </w:p>
          <w:p w14:paraId="2FB82D6D">
            <w:pPr>
              <w:widowControl/>
              <w:spacing w:before="50" w:line="360" w:lineRule="auto"/>
              <w:ind w:firstLine="420" w:firstLineChars="200"/>
              <w:rPr>
                <w:rFonts w:ascii="Times New Roman" w:hAnsi="Times New Roman" w:eastAsia="宋体" w:cs="Times New Roman"/>
              </w:rPr>
            </w:pPr>
            <w:r>
              <w:rPr>
                <w:rFonts w:ascii="Times New Roman" w:hAnsi="Times New Roman" w:eastAsia="宋体" w:cs="Times New Roman"/>
                <w:szCs w:val="21"/>
                <w:shd w:val="clear" w:color="auto" w:fill="FFFFFF"/>
              </w:rPr>
              <w:t>答：</w:t>
            </w:r>
            <w:r>
              <w:rPr>
                <w:rFonts w:ascii="Times New Roman" w:hAnsi="Times New Roman" w:eastAsia="宋体" w:cs="Times New Roman"/>
              </w:rPr>
              <w:t>公司密切跟踪行业技术演进趋势，持续加大对叠层器件连接层（CGL）材料、蓝色磷光材料、窄光谱高色域MR-TADF材料等前沿方向的研发投入，助力产业链自主可控与创新发展。</w:t>
            </w:r>
          </w:p>
          <w:p w14:paraId="26CD3149">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rPr>
              <w:t>目前，公司已有叠层器件连接层CGL材料在客户端验证测试，进展良好。此外，公司前瞻性布局OLED蓝色磷光材料的分子结构开发，并与核心客户开展联合技术攻关，累计申请蓝色磷光技术相关专利数十项，构建了较为完善的知识产权体系，为公司在OLED蓝色磷光材料领域的持续技术创新与长远发展奠定了坚实基础。同时，公司将高色域显示材料作为核心技术方向之一，重点布局敏化高色域技术与多重共振TADF（MR-TADF）材料研发，在窄光谱、高效率、长寿命的高色域材料开发方面取得阶段性成果，相关材料可显著提升OLED器件色域覆盖与色纯度表现。</w:t>
            </w:r>
          </w:p>
          <w:p w14:paraId="3091434D">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问题4：请简要介绍2026年一季度公司业绩情况及2026年全年OLED业务的发展预期。</w:t>
            </w:r>
          </w:p>
          <w:p w14:paraId="00FF6130">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当前国际政治经济环境仍存不确定性，叠加部分原材料价格波动及大宗商品供给变化，手机终端市场面临一定压力。研究机构Counterpoint数据显示，2026Q1全球智能手机出货量同比下降6%，其中苹果出货量提升5%，国内终端品牌出货下滑尤其明显。2026年第一季度，公司营收1.33亿元，环比增长2.99%</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归</w:t>
            </w:r>
            <w:r>
              <w:rPr>
                <w:rFonts w:hint="eastAsia" w:ascii="Times New Roman" w:hAnsi="Times New Roman" w:eastAsia="宋体" w:cs="Times New Roman"/>
                <w:szCs w:val="21"/>
                <w:shd w:val="clear" w:color="auto" w:fill="FFFFFF"/>
                <w:lang w:val="en-US" w:eastAsia="zh-CN"/>
              </w:rPr>
              <w:t>母</w:t>
            </w:r>
            <w:r>
              <w:rPr>
                <w:rFonts w:ascii="Times New Roman" w:hAnsi="Times New Roman" w:eastAsia="宋体" w:cs="Times New Roman"/>
                <w:szCs w:val="21"/>
                <w:shd w:val="clear" w:color="auto" w:fill="FFFFFF"/>
              </w:rPr>
              <w:t>净利润4,</w:t>
            </w:r>
            <w:r>
              <w:rPr>
                <w:rFonts w:hint="eastAsia" w:ascii="Times New Roman" w:hAnsi="Times New Roman" w:eastAsia="宋体" w:cs="Times New Roman"/>
                <w:szCs w:val="21"/>
                <w:shd w:val="clear" w:color="auto" w:fill="FFFFFF"/>
              </w:rPr>
              <w:t>597.92</w:t>
            </w:r>
            <w:r>
              <w:rPr>
                <w:rFonts w:ascii="Times New Roman" w:hAnsi="Times New Roman" w:eastAsia="宋体" w:cs="Times New Roman"/>
                <w:szCs w:val="21"/>
                <w:shd w:val="clear" w:color="auto" w:fill="FFFFFF"/>
              </w:rPr>
              <w:t>万元，环比增长17.</w:t>
            </w:r>
            <w:r>
              <w:rPr>
                <w:rFonts w:hint="eastAsia" w:ascii="Times New Roman" w:hAnsi="Times New Roman" w:eastAsia="宋体" w:cs="Times New Roman"/>
                <w:szCs w:val="21"/>
                <w:shd w:val="clear" w:color="auto" w:fill="FFFFFF"/>
              </w:rPr>
              <w:t>00</w:t>
            </w:r>
            <w:r>
              <w:rPr>
                <w:rFonts w:ascii="Times New Roman" w:hAnsi="Times New Roman" w:eastAsia="宋体" w:cs="Times New Roman"/>
                <w:szCs w:val="21"/>
                <w:shd w:val="clear" w:color="auto" w:fill="FFFFFF"/>
              </w:rPr>
              <w:t>%。3月起，公司已经陆续接到8.6代线材料订单，</w:t>
            </w:r>
            <w:r>
              <w:rPr>
                <w:rFonts w:hint="eastAsia" w:ascii="Times New Roman" w:hAnsi="Times New Roman" w:eastAsia="宋体" w:cs="Times New Roman"/>
                <w:szCs w:val="21"/>
                <w:shd w:val="clear" w:color="auto" w:fill="FFFFFF"/>
                <w:lang w:val="en-US" w:eastAsia="zh-CN"/>
              </w:rPr>
              <w:t>二季度预计销售规模</w:t>
            </w:r>
            <w:bookmarkStart w:id="0" w:name="_GoBack"/>
            <w:bookmarkEnd w:id="0"/>
            <w:r>
              <w:rPr>
                <w:rFonts w:hint="eastAsia" w:ascii="Times New Roman" w:hAnsi="Times New Roman" w:eastAsia="宋体" w:cs="Times New Roman"/>
                <w:szCs w:val="21"/>
                <w:shd w:val="clear" w:color="auto" w:fill="FFFFFF"/>
                <w:lang w:val="en-US" w:eastAsia="zh-CN"/>
              </w:rPr>
              <w:t>会有较好的提升</w:t>
            </w:r>
            <w:r>
              <w:rPr>
                <w:rFonts w:ascii="Times New Roman" w:hAnsi="Times New Roman" w:eastAsia="宋体" w:cs="Times New Roman"/>
                <w:szCs w:val="21"/>
                <w:shd w:val="clear" w:color="auto" w:fill="FFFFFF"/>
              </w:rPr>
              <w:t>。</w:t>
            </w:r>
          </w:p>
          <w:p w14:paraId="7DCE7583">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展望2026全年，需求端方面，公司核心客户京东方预计2026年AMOLED出货量将持续增长，目标达1.6亿片，为公司业务提供有力支撑。公司坚持“产品系列化、客户全覆盖”策略，持续深化与国内头部面板厂商合作，积极拓展硅基OLED等新兴领域客户，并稳步推进海外市场布局，进一步提升市场份额。此外，京东方8.6代线预计于2026年下半年实现一期量产，将显著拉动上游OLED有机材料需求。公司凭借十</w:t>
            </w:r>
            <w:r>
              <w:rPr>
                <w:rFonts w:hint="eastAsia" w:ascii="Times New Roman" w:hAnsi="Times New Roman" w:eastAsia="宋体" w:cs="Times New Roman"/>
                <w:szCs w:val="21"/>
                <w:shd w:val="clear" w:color="auto" w:fill="FFFFFF"/>
              </w:rPr>
              <w:t>多</w:t>
            </w:r>
            <w:r>
              <w:rPr>
                <w:rFonts w:ascii="Times New Roman" w:hAnsi="Times New Roman" w:eastAsia="宋体" w:cs="Times New Roman"/>
                <w:szCs w:val="21"/>
                <w:shd w:val="clear" w:color="auto" w:fill="FFFFFF"/>
              </w:rPr>
              <w:t>年的核心专利及产品布局，</w:t>
            </w:r>
            <w:r>
              <w:rPr>
                <w:rFonts w:hint="eastAsia" w:ascii="Times New Roman" w:hAnsi="Times New Roman" w:eastAsia="宋体" w:cs="Times New Roman"/>
                <w:szCs w:val="21"/>
                <w:shd w:val="clear" w:color="auto" w:fill="FFFFFF"/>
              </w:rPr>
              <w:t>有望成为</w:t>
            </w:r>
            <w:r>
              <w:rPr>
                <w:rFonts w:ascii="Times New Roman" w:hAnsi="Times New Roman" w:eastAsia="宋体" w:cs="Times New Roman"/>
                <w:szCs w:val="21"/>
                <w:shd w:val="clear" w:color="auto" w:fill="FFFFFF"/>
              </w:rPr>
              <w:t>8.6代线产能释放的第一批受益者。供给端方面，在Red Prime及Green Host材料稳定量产基础上，Red Host材料预计年内进入规模化量产阶段，Green Prime材料已通过量产测试并实现量产，有望持续贡献增量业绩。</w:t>
            </w:r>
          </w:p>
          <w:p w14:paraId="503856E9">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综合来看，公司2026年OLED业务</w:t>
            </w:r>
            <w:r>
              <w:rPr>
                <w:rFonts w:hint="eastAsia" w:ascii="Times New Roman" w:hAnsi="Times New Roman" w:eastAsia="宋体" w:cs="Times New Roman"/>
                <w:szCs w:val="21"/>
                <w:shd w:val="clear" w:color="auto" w:fill="FFFFFF"/>
              </w:rPr>
              <w:t>预计仍</w:t>
            </w:r>
            <w:r>
              <w:rPr>
                <w:rFonts w:ascii="Times New Roman" w:hAnsi="Times New Roman" w:eastAsia="宋体" w:cs="Times New Roman"/>
                <w:szCs w:val="21"/>
                <w:shd w:val="clear" w:color="auto" w:fill="FFFFFF"/>
              </w:rPr>
              <w:t>维持</w:t>
            </w:r>
            <w:r>
              <w:rPr>
                <w:rFonts w:hint="eastAsia" w:ascii="Times New Roman" w:hAnsi="Times New Roman" w:eastAsia="宋体" w:cs="Times New Roman"/>
                <w:szCs w:val="21"/>
                <w:shd w:val="clear" w:color="auto" w:fill="FFFFFF"/>
              </w:rPr>
              <w:t>增长态势</w:t>
            </w:r>
            <w:r>
              <w:rPr>
                <w:rFonts w:ascii="Times New Roman" w:hAnsi="Times New Roman" w:eastAsia="宋体" w:cs="Times New Roman"/>
                <w:szCs w:val="21"/>
                <w:shd w:val="clear" w:color="auto" w:fill="FFFFFF"/>
              </w:rPr>
              <w:t>，更大的弹性空间要依据下半年8.6代线实际的放量情况来判断，公司将积极做好产能储备，服务好来自市场和客户的增量需求。</w:t>
            </w:r>
          </w:p>
          <w:p w14:paraId="734D2477">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问题5：请介绍公司Q布新业务的最新进展及建设节奏。</w:t>
            </w:r>
          </w:p>
          <w:p w14:paraId="1B8166D7">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答：公司Q布业务已在人才引进、市场拓展、资金安排等关键环节完成布局与筹划，保障各项工作有序推进。</w:t>
            </w:r>
          </w:p>
          <w:p w14:paraId="6669681F">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项目进展方面，公司通过莱特夸石在西安市高新区投资建设Q布研发中心及生产基地，计划总投资10亿元（实际投资额以实际发生额为准），拟分2-3阶段分期投入，其中第一阶段规划投资约4亿元，全部建设预计2-3年内完成。</w:t>
            </w:r>
          </w:p>
          <w:p w14:paraId="0827EFE9">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公司已组建Q布核心团队，引进了具备相关行业经验的Q布研发及生产人才，该团队核心成员曾服务于国际行业领先企业，掌握Q布核心工艺，拥有多年拉丝及织布生产经验</w:t>
            </w:r>
            <w:r>
              <w:rPr>
                <w:rFonts w:hint="eastAsia" w:ascii="Times New Roman" w:hAnsi="Times New Roman" w:eastAsia="宋体" w:cs="Times New Roman"/>
                <w:szCs w:val="21"/>
                <w:shd w:val="clear" w:color="auto" w:fill="FFFFFF"/>
              </w:rPr>
              <w:t>。</w:t>
            </w:r>
            <w:r>
              <w:rPr>
                <w:rFonts w:ascii="Times New Roman" w:hAnsi="Times New Roman" w:eastAsia="宋体" w:cs="Times New Roman"/>
                <w:szCs w:val="21"/>
                <w:shd w:val="clear" w:color="auto" w:fill="FFFFFF"/>
              </w:rPr>
              <w:t>当前，新业务正处于产能建设的关键时期，核心团队严格依照既定路线图稳步攻坚。一方面，项目用地已完成招拍挂程序并签署土地出让合同，厂房施工正加速推进，核心生产设备已悉数完成采购，相关交付进程有序推进，为规模化产能释放构筑可靠基础；另一方面，首批设备已在既有厂房内同步搭建中试线，以加速工艺优化及正式客户送样准备工作。项目各关键环节进展顺利，为后续正式客户送样及规模化生产奠定了稳固基石。</w:t>
            </w:r>
          </w:p>
          <w:p w14:paraId="41CDE813">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w:t>
            </w:r>
            <w:r>
              <w:rPr>
                <w:rFonts w:hint="eastAsia" w:ascii="Times New Roman" w:hAnsi="Times New Roman" w:eastAsia="宋体" w:cs="Times New Roman"/>
                <w:b/>
                <w:bCs/>
                <w:szCs w:val="21"/>
                <w:shd w:val="clear" w:color="auto" w:fill="FFFFFF"/>
              </w:rPr>
              <w:t>6</w:t>
            </w:r>
            <w:r>
              <w:rPr>
                <w:rFonts w:ascii="Times New Roman" w:hAnsi="Times New Roman" w:eastAsia="宋体" w:cs="Times New Roman"/>
                <w:b/>
                <w:bCs/>
                <w:szCs w:val="21"/>
                <w:shd w:val="clear" w:color="auto" w:fill="FFFFFF"/>
              </w:rPr>
              <w:t>：公司在Q布业务领域具备哪些核心竞争力？</w:t>
            </w:r>
          </w:p>
          <w:p w14:paraId="719409AB">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答：公司布局Q布业务的核心竞争力</w:t>
            </w:r>
            <w:r>
              <w:rPr>
                <w:rFonts w:hint="eastAsia" w:ascii="Times New Roman" w:hAnsi="Times New Roman" w:eastAsia="宋体" w:cs="Times New Roman"/>
                <w:szCs w:val="21"/>
                <w:shd w:val="clear" w:color="auto" w:fill="FFFFFF"/>
              </w:rPr>
              <w:t>主要体现在以下两方面：</w:t>
            </w:r>
          </w:p>
          <w:p w14:paraId="0FB23940">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一方面</w:t>
            </w:r>
            <w:r>
              <w:rPr>
                <w:rFonts w:ascii="Times New Roman" w:hAnsi="Times New Roman" w:eastAsia="宋体" w:cs="Times New Roman"/>
                <w:szCs w:val="21"/>
                <w:shd w:val="clear" w:color="auto" w:fill="FFFFFF"/>
              </w:rPr>
              <w:t>，公司核心能力的跨领域复用支撑。公司深耕新材料领域十</w:t>
            </w:r>
            <w:r>
              <w:rPr>
                <w:rFonts w:hint="eastAsia" w:ascii="Times New Roman" w:hAnsi="Times New Roman" w:eastAsia="宋体" w:cs="Times New Roman"/>
                <w:szCs w:val="21"/>
                <w:shd w:val="clear" w:color="auto" w:fill="FFFFFF"/>
              </w:rPr>
              <w:t>六</w:t>
            </w:r>
            <w:r>
              <w:rPr>
                <w:rFonts w:ascii="Times New Roman" w:hAnsi="Times New Roman" w:eastAsia="宋体" w:cs="Times New Roman"/>
                <w:szCs w:val="21"/>
                <w:shd w:val="clear" w:color="auto" w:fill="FFFFFF"/>
              </w:rPr>
              <w:t>余载，积累了深厚的研发创新与产业化运营能力，形成了可跨领域复用的技术攻关与成果转化体系，为新业务开展提供有力支撑。同时，公司在OLED终端材料国产替代过程中沉淀的大客户认证、市场拓展及项目管理经验，可有效赋能Q布业务的高效落地与稳健运营。</w:t>
            </w:r>
          </w:p>
          <w:p w14:paraId="0B5DA0A4">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另一方面</w:t>
            </w:r>
            <w:r>
              <w:rPr>
                <w:rFonts w:ascii="Times New Roman" w:hAnsi="Times New Roman" w:eastAsia="宋体" w:cs="Times New Roman"/>
                <w:szCs w:val="21"/>
                <w:shd w:val="clear" w:color="auto" w:fill="FFFFFF"/>
              </w:rPr>
              <w:t>，产业链协同的资源优势赋能。公司实际控制人王亚龙先生在高纯石英砂及消费电子领域均有成熟产业布局，为Q布业务提供重要协同支持：</w:t>
            </w:r>
            <w:r>
              <w:rPr>
                <w:rFonts w:hint="eastAsia" w:ascii="Times New Roman" w:hAnsi="Times New Roman" w:eastAsia="宋体" w:cs="Times New Roman"/>
                <w:szCs w:val="21"/>
                <w:shd w:val="clear" w:color="auto" w:fill="FFFFFF"/>
              </w:rPr>
              <w:t>原材料端，</w:t>
            </w:r>
            <w:r>
              <w:rPr>
                <w:rFonts w:ascii="Times New Roman" w:hAnsi="Times New Roman" w:eastAsia="宋体" w:cs="Times New Roman"/>
                <w:szCs w:val="21"/>
                <w:shd w:val="clear" w:color="auto" w:fill="FFFFFF"/>
              </w:rPr>
              <w:t>高纯石英砂相关布局可为公司新业务核心原材料供给提供便利选择，有效降低供应链风险；</w:t>
            </w:r>
            <w:r>
              <w:rPr>
                <w:rFonts w:hint="eastAsia" w:ascii="Times New Roman" w:hAnsi="Times New Roman" w:eastAsia="宋体" w:cs="Times New Roman"/>
                <w:szCs w:val="21"/>
                <w:shd w:val="clear" w:color="auto" w:fill="FFFFFF"/>
              </w:rPr>
              <w:t>市场端，</w:t>
            </w:r>
            <w:r>
              <w:rPr>
                <w:rFonts w:ascii="Times New Roman" w:hAnsi="Times New Roman" w:eastAsia="宋体" w:cs="Times New Roman"/>
                <w:szCs w:val="21"/>
                <w:shd w:val="clear" w:color="auto" w:fill="FFFFFF"/>
              </w:rPr>
              <w:t>PCBA领域相关产业布局，公司可依托王亚龙先生积累的电子信息产业客户资源与市场渠道优势，为公司新业务相关产品市场拓展提供助力。</w:t>
            </w:r>
          </w:p>
          <w:p w14:paraId="61FE0CA9">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w:t>
            </w:r>
            <w:r>
              <w:rPr>
                <w:rFonts w:hint="eastAsia" w:ascii="Times New Roman" w:hAnsi="Times New Roman" w:eastAsia="宋体" w:cs="Times New Roman"/>
                <w:b/>
                <w:bCs/>
                <w:szCs w:val="21"/>
                <w:shd w:val="clear" w:color="auto" w:fill="FFFFFF"/>
              </w:rPr>
              <w:t>7</w:t>
            </w:r>
            <w:r>
              <w:rPr>
                <w:rFonts w:ascii="Times New Roman" w:hAnsi="Times New Roman" w:eastAsia="宋体" w:cs="Times New Roman"/>
                <w:b/>
                <w:bCs/>
                <w:szCs w:val="21"/>
                <w:shd w:val="clear" w:color="auto" w:fill="FFFFFF"/>
              </w:rPr>
              <w:t>：公司未来的整体发展战略如何定位？</w:t>
            </w:r>
          </w:p>
          <w:p w14:paraId="17C83933">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公司将以“新材料平台型企业”为整体战略定位，聚焦核心竞争力提升，在持续巩固OLED有机材料主业领先优势的基础上，全力推进Q布产能建设，加速钙钛矿材料研发与产业化进程，构建“OLED有机材料+高端石英纤维电子布+钙钛矿新材料”三位一体的发展格局。</w:t>
            </w:r>
          </w:p>
          <w:p w14:paraId="200582BE">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通过完善产品系列化布局、拓展优质客户资源、加速新产品验证与量产导入、优化生产工艺等举措，稳步提升市场份额与盈利能力。同时，公司将深化精细化管理，有序推进募投项目产能建设，强化人才梯队与数智化建设，全面提升经营管理效能，为客户创造更高价值、为股东实现更好回报。</w:t>
            </w:r>
          </w:p>
          <w:p w14:paraId="611719DE">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w:t>
            </w:r>
            <w:r>
              <w:rPr>
                <w:rFonts w:hint="eastAsia" w:ascii="Times New Roman" w:hAnsi="Times New Roman" w:eastAsia="宋体" w:cs="Times New Roman"/>
                <w:b/>
                <w:bCs/>
                <w:szCs w:val="21"/>
                <w:shd w:val="clear" w:color="auto" w:fill="FFFFFF"/>
              </w:rPr>
              <w:t>8</w:t>
            </w:r>
            <w:r>
              <w:rPr>
                <w:rFonts w:ascii="Times New Roman" w:hAnsi="Times New Roman" w:eastAsia="宋体" w:cs="Times New Roman"/>
                <w:b/>
                <w:bCs/>
                <w:szCs w:val="21"/>
                <w:shd w:val="clear" w:color="auto" w:fill="FFFFFF"/>
              </w:rPr>
              <w:t>：请介绍公司钙钛矿材料项目的最新进展。</w:t>
            </w:r>
          </w:p>
          <w:p w14:paraId="664EE706">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答：公司钙钛矿材料项目围绕材料研发、客户协同、知识产权布局与团队建设等多维度稳步推进，重点针对钙钛矿前驱体材料、缺陷调控添加剂、SAM材料、传输层材料等关键方向开展系统性攻关</w:t>
            </w:r>
            <w:r>
              <w:rPr>
                <w:rFonts w:hint="eastAsia" w:ascii="Times New Roman" w:hAnsi="Times New Roman" w:eastAsia="宋体" w:cs="Times New Roman"/>
                <w:szCs w:val="21"/>
                <w:shd w:val="clear" w:color="auto" w:fill="FFFFFF"/>
              </w:rPr>
              <w:t>。</w:t>
            </w:r>
          </w:p>
          <w:p w14:paraId="02B8195B">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目前有两款SAM材料通过客户小试验证，正在开展中试验证中；多款前驱体材料在客户端进行小试验证。产学研合作方面，公司持续深化与高校及科研机构的协同创新，加速技术突破与成果转化。客户协同方面，公司已与具备领先技术的钙钛矿光伏企业仁烁光能达成战略合作，在钙钛矿研发线/中试线技术服务、SAM、钙钛矿前驱体材料、钙钛矿产品稳定性等方面进行合作，共同推进材料验证与产业化落地。</w:t>
            </w:r>
          </w:p>
          <w:p w14:paraId="59C95C16">
            <w:pPr>
              <w:widowControl/>
              <w:spacing w:before="50" w:line="360" w:lineRule="auto"/>
              <w:ind w:firstLine="422" w:firstLineChars="200"/>
              <w:rPr>
                <w:rFonts w:ascii="Times New Roman" w:hAnsi="Times New Roman" w:eastAsia="宋体" w:cs="Times New Roman"/>
                <w:b/>
                <w:bCs/>
                <w:szCs w:val="21"/>
                <w:shd w:val="clear" w:color="auto" w:fill="FFFFFF"/>
              </w:rPr>
            </w:pPr>
            <w:r>
              <w:rPr>
                <w:rFonts w:ascii="Times New Roman" w:hAnsi="Times New Roman" w:eastAsia="宋体" w:cs="Times New Roman"/>
                <w:b/>
                <w:bCs/>
                <w:szCs w:val="21"/>
                <w:shd w:val="clear" w:color="auto" w:fill="FFFFFF"/>
              </w:rPr>
              <w:t>问题</w:t>
            </w:r>
            <w:r>
              <w:rPr>
                <w:rFonts w:hint="eastAsia" w:ascii="Times New Roman" w:hAnsi="Times New Roman" w:eastAsia="宋体" w:cs="Times New Roman"/>
                <w:b/>
                <w:bCs/>
                <w:szCs w:val="21"/>
                <w:shd w:val="clear" w:color="auto" w:fill="FFFFFF"/>
              </w:rPr>
              <w:t>9</w:t>
            </w:r>
            <w:r>
              <w:rPr>
                <w:rFonts w:ascii="Times New Roman" w:hAnsi="Times New Roman" w:eastAsia="宋体" w:cs="Times New Roman"/>
                <w:b/>
                <w:bCs/>
                <w:szCs w:val="21"/>
                <w:shd w:val="clear" w:color="auto" w:fill="FFFFFF"/>
              </w:rPr>
              <w:t>：公司在股东回报方面的规划与执行情况如何？</w:t>
            </w:r>
          </w:p>
          <w:p w14:paraId="3B8C83FB">
            <w:pPr>
              <w:widowControl/>
              <w:spacing w:before="50" w:line="360" w:lineRule="auto"/>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公司始终高度重视投资者回报，坚持实施积极、稳健的现金分红政策。2022年至2024年，公司累计现金分红约1.65亿元（含税），分别占各年归母净利润的38.15%、31.27%和59.97%。2025年度，公司拟派发现金红利（包括中期已分配的现金红利）1.2亿元（含税），占当年归母净利润的54.68%。同时，公司在2025年推出了《未来三年（2025年-2027年）股东分红回报规划》，落实打造“长期、稳定、可持续”的股东价值回报机制。回购方面，公司2024年完成上一轮回购计划，累计使用资金4,999.12万元回购股份280.48万股，2025年4月至2026年3月完成新一轮回购，累计使用资金5,000.53万元，回购211.96万股。</w:t>
            </w:r>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083768C1">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vAlign w:val="center"/>
          </w:tcPr>
          <w:p w14:paraId="4AABA313">
            <w:pPr>
              <w:widowControl/>
              <w:spacing w:before="156" w:beforeLines="50" w:after="156" w:afterLines="50" w:line="360" w:lineRule="auto"/>
              <w:jc w:val="left"/>
              <w:rPr>
                <w:rFonts w:ascii="Times New Roman" w:hAnsi="Times New Roman" w:eastAsia="宋体" w:cs="Times New Roman"/>
                <w:sz w:val="24"/>
                <w:szCs w:val="22"/>
              </w:rPr>
            </w:pPr>
            <w:r>
              <w:rPr>
                <w:rFonts w:ascii="Times New Roman" w:hAnsi="Times New Roman" w:eastAsia="宋体"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7386BBCB">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vAlign w:val="center"/>
          </w:tcPr>
          <w:p w14:paraId="3A337049">
            <w:pPr>
              <w:widowControl/>
              <w:spacing w:before="156" w:beforeLines="50" w:after="156" w:afterLines="50" w:line="360" w:lineRule="auto"/>
              <w:jc w:val="left"/>
              <w:rPr>
                <w:rFonts w:ascii="Times New Roman" w:hAnsi="Times New Roman" w:eastAsia="宋体" w:cs="Times New Roman"/>
                <w:sz w:val="24"/>
                <w:szCs w:val="22"/>
              </w:rPr>
            </w:pPr>
            <w:r>
              <w:rPr>
                <w:rFonts w:ascii="Times New Roman" w:hAnsi="Times New Roman" w:eastAsia="宋体" w:cs="Times New Roman"/>
                <w:bCs/>
                <w:iCs/>
                <w:sz w:val="24"/>
                <w:lang w:bidi="ar"/>
              </w:rPr>
              <w:t>《陕西莱特光电材料股份有限公司2026年5月8日参会名单》</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643CB199">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vAlign w:val="center"/>
          </w:tcPr>
          <w:p w14:paraId="687C01F9">
            <w:pPr>
              <w:widowControl/>
              <w:spacing w:before="156" w:beforeLines="50" w:after="156" w:afterLines="50" w:line="360" w:lineRule="auto"/>
              <w:jc w:val="left"/>
              <w:rPr>
                <w:rFonts w:ascii="Times New Roman" w:hAnsi="Times New Roman" w:eastAsia="宋体" w:cs="Times New Roman"/>
                <w:iCs/>
                <w:sz w:val="24"/>
              </w:rPr>
            </w:pPr>
            <w:r>
              <w:rPr>
                <w:rFonts w:ascii="Times New Roman" w:hAnsi="Times New Roman" w:eastAsia="宋体" w:cs="Times New Roman"/>
                <w:bCs/>
                <w:iCs/>
                <w:sz w:val="24"/>
                <w:lang w:bidi="ar"/>
              </w:rPr>
              <w:t>2026年5月8日</w:t>
            </w:r>
          </w:p>
        </w:tc>
      </w:tr>
    </w:tbl>
    <w:p w14:paraId="74E5812F">
      <w:r>
        <w:br w:type="page"/>
      </w:r>
    </w:p>
    <w:p w14:paraId="15DFFA60">
      <w:pPr>
        <w:widowControl/>
        <w:jc w:val="left"/>
        <w:rPr>
          <w:rFonts w:ascii="Times New Roman" w:hAnsi="Times New Roman" w:cs="Times New Roman"/>
          <w:sz w:val="24"/>
        </w:rPr>
      </w:pPr>
      <w:r>
        <w:rPr>
          <w:rFonts w:ascii="Times New Roman" w:hAnsi="Times New Roman" w:cs="Times New Roman"/>
          <w:b/>
          <w:sz w:val="24"/>
          <w:lang w:bidi="ar"/>
        </w:rPr>
        <w:t>附件：</w:t>
      </w:r>
    </w:p>
    <w:p w14:paraId="499C46F5">
      <w:pPr>
        <w:jc w:val="center"/>
        <w:rPr>
          <w:rFonts w:ascii="Times New Roman" w:hAnsi="Times New Roman" w:cs="Times New Roman"/>
          <w:b/>
          <w:sz w:val="24"/>
          <w:szCs w:val="22"/>
          <w:lang w:bidi="ar"/>
        </w:rPr>
      </w:pPr>
      <w:r>
        <w:rPr>
          <w:rFonts w:hint="eastAsia" w:ascii="Times New Roman" w:hAnsi="Times New Roman" w:cs="Times New Roman"/>
          <w:b/>
          <w:sz w:val="24"/>
          <w:szCs w:val="22"/>
          <w:lang w:bidi="ar"/>
        </w:rPr>
        <w:t>陕西莱特光电材料股份有限公司2026年5月8日参会名单</w:t>
      </w:r>
    </w:p>
    <w:p w14:paraId="4BB6D030">
      <w:pPr>
        <w:jc w:val="center"/>
        <w:rPr>
          <w:rFonts w:ascii="Times New Roman" w:hAnsi="Times New Roman" w:cs="Times New Roman"/>
          <w:b/>
          <w:sz w:val="24"/>
          <w:szCs w:val="22"/>
          <w:lang w:bidi="ar"/>
        </w:rPr>
      </w:pPr>
    </w:p>
    <w:tbl>
      <w:tblPr>
        <w:tblStyle w:val="9"/>
        <w:tblW w:w="6990" w:type="dxa"/>
        <w:jc w:val="center"/>
        <w:tblLayout w:type="autofit"/>
        <w:tblCellMar>
          <w:top w:w="0" w:type="dxa"/>
          <w:left w:w="108" w:type="dxa"/>
          <w:bottom w:w="0" w:type="dxa"/>
          <w:right w:w="108" w:type="dxa"/>
        </w:tblCellMar>
      </w:tblPr>
      <w:tblGrid>
        <w:gridCol w:w="1080"/>
        <w:gridCol w:w="2415"/>
        <w:gridCol w:w="1080"/>
        <w:gridCol w:w="2415"/>
      </w:tblGrid>
      <w:tr w14:paraId="172C8617">
        <w:tblPrEx>
          <w:tblCellMar>
            <w:top w:w="0" w:type="dxa"/>
            <w:left w:w="108" w:type="dxa"/>
            <w:bottom w:w="0" w:type="dxa"/>
            <w:right w:w="108" w:type="dxa"/>
          </w:tblCellMar>
        </w:tblPrEx>
        <w:trPr>
          <w:trHeight w:val="285" w:hRule="atLeast"/>
          <w:jc w:val="center"/>
        </w:trPr>
        <w:tc>
          <w:tcPr>
            <w:tcW w:w="1080" w:type="dxa"/>
            <w:tcBorders>
              <w:top w:val="single" w:color="000000" w:sz="8" w:space="0"/>
              <w:left w:val="single" w:color="000000" w:sz="8" w:space="0"/>
              <w:bottom w:val="single" w:color="000000" w:sz="8" w:space="0"/>
              <w:right w:val="single" w:color="000000" w:sz="8" w:space="0"/>
            </w:tcBorders>
            <w:noWrap/>
            <w:vAlign w:val="center"/>
          </w:tcPr>
          <w:p w14:paraId="66AACFCF">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2415" w:type="dxa"/>
            <w:tcBorders>
              <w:top w:val="single" w:color="000000" w:sz="8" w:space="0"/>
              <w:left w:val="nil"/>
              <w:bottom w:val="single" w:color="000000" w:sz="8" w:space="0"/>
              <w:right w:val="single" w:color="000000" w:sz="8" w:space="0"/>
            </w:tcBorders>
            <w:noWrap/>
            <w:vAlign w:val="center"/>
          </w:tcPr>
          <w:p w14:paraId="72902E3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机构名称</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097C6B38">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2415" w:type="dxa"/>
            <w:tcBorders>
              <w:top w:val="single" w:color="000000" w:sz="8" w:space="0"/>
              <w:left w:val="nil"/>
              <w:bottom w:val="single" w:color="000000" w:sz="8" w:space="0"/>
              <w:right w:val="single" w:color="000000" w:sz="8" w:space="0"/>
            </w:tcBorders>
            <w:noWrap/>
            <w:vAlign w:val="center"/>
          </w:tcPr>
          <w:p w14:paraId="00852E0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机构名称</w:t>
            </w:r>
          </w:p>
        </w:tc>
      </w:tr>
      <w:tr w14:paraId="687E0129">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BBEDD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0" w:type="auto"/>
            <w:tcBorders>
              <w:top w:val="nil"/>
              <w:left w:val="nil"/>
              <w:bottom w:val="single" w:color="000000" w:sz="8" w:space="0"/>
              <w:right w:val="single" w:color="000000" w:sz="8" w:space="0"/>
            </w:tcBorders>
            <w:noWrap/>
            <w:vAlign w:val="center"/>
          </w:tcPr>
          <w:p w14:paraId="4CEBF6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浦银安盛基金</w:t>
            </w:r>
          </w:p>
        </w:tc>
        <w:tc>
          <w:tcPr>
            <w:tcW w:w="0" w:type="auto"/>
            <w:tcBorders>
              <w:top w:val="nil"/>
              <w:left w:val="single" w:color="000000" w:sz="8" w:space="0"/>
              <w:bottom w:val="single" w:color="000000" w:sz="8" w:space="0"/>
              <w:right w:val="single" w:color="000000" w:sz="8" w:space="0"/>
            </w:tcBorders>
            <w:noWrap/>
            <w:vAlign w:val="center"/>
          </w:tcPr>
          <w:p w14:paraId="6F8888A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26</w:t>
            </w:r>
          </w:p>
        </w:tc>
        <w:tc>
          <w:tcPr>
            <w:tcW w:w="0" w:type="auto"/>
            <w:tcBorders>
              <w:top w:val="nil"/>
              <w:left w:val="nil"/>
              <w:bottom w:val="single" w:color="000000" w:sz="8" w:space="0"/>
              <w:right w:val="single" w:color="000000" w:sz="8" w:space="0"/>
            </w:tcBorders>
            <w:noWrap/>
            <w:vAlign w:val="center"/>
          </w:tcPr>
          <w:p w14:paraId="1BE7EB0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辰星投资</w:t>
            </w:r>
          </w:p>
        </w:tc>
      </w:tr>
      <w:tr w14:paraId="347FB75B">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6A630F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0" w:type="auto"/>
            <w:tcBorders>
              <w:top w:val="nil"/>
              <w:left w:val="nil"/>
              <w:bottom w:val="single" w:color="000000" w:sz="8" w:space="0"/>
              <w:right w:val="single" w:color="000000" w:sz="8" w:space="0"/>
            </w:tcBorders>
            <w:noWrap/>
            <w:vAlign w:val="center"/>
          </w:tcPr>
          <w:p w14:paraId="17B7ABF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南昌产投基金</w:t>
            </w:r>
          </w:p>
        </w:tc>
        <w:tc>
          <w:tcPr>
            <w:tcW w:w="0" w:type="auto"/>
            <w:tcBorders>
              <w:top w:val="nil"/>
              <w:left w:val="single" w:color="000000" w:sz="8" w:space="0"/>
              <w:bottom w:val="single" w:color="000000" w:sz="8" w:space="0"/>
              <w:right w:val="single" w:color="000000" w:sz="8" w:space="0"/>
            </w:tcBorders>
            <w:noWrap/>
            <w:vAlign w:val="center"/>
          </w:tcPr>
          <w:p w14:paraId="281FAB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w:t>
            </w:r>
          </w:p>
        </w:tc>
        <w:tc>
          <w:tcPr>
            <w:tcW w:w="0" w:type="auto"/>
            <w:tcBorders>
              <w:top w:val="nil"/>
              <w:left w:val="nil"/>
              <w:bottom w:val="single" w:color="000000" w:sz="8" w:space="0"/>
              <w:right w:val="single" w:color="000000" w:sz="8" w:space="0"/>
            </w:tcBorders>
            <w:noWrap/>
            <w:vAlign w:val="center"/>
          </w:tcPr>
          <w:p w14:paraId="73A371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暖逸欣投资</w:t>
            </w:r>
          </w:p>
        </w:tc>
      </w:tr>
      <w:tr w14:paraId="4F9DEF93">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0DC9B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0" w:type="auto"/>
            <w:tcBorders>
              <w:top w:val="nil"/>
              <w:left w:val="nil"/>
              <w:bottom w:val="single" w:color="000000" w:sz="8" w:space="0"/>
              <w:right w:val="single" w:color="000000" w:sz="8" w:space="0"/>
            </w:tcBorders>
            <w:noWrap/>
            <w:vAlign w:val="center"/>
          </w:tcPr>
          <w:p w14:paraId="5613D17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平安基金</w:t>
            </w:r>
          </w:p>
        </w:tc>
        <w:tc>
          <w:tcPr>
            <w:tcW w:w="0" w:type="auto"/>
            <w:tcBorders>
              <w:top w:val="nil"/>
              <w:left w:val="single" w:color="000000" w:sz="8" w:space="0"/>
              <w:bottom w:val="single" w:color="000000" w:sz="8" w:space="0"/>
              <w:right w:val="single" w:color="000000" w:sz="8" w:space="0"/>
            </w:tcBorders>
            <w:noWrap/>
            <w:vAlign w:val="center"/>
          </w:tcPr>
          <w:p w14:paraId="25993C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28</w:t>
            </w:r>
          </w:p>
        </w:tc>
        <w:tc>
          <w:tcPr>
            <w:tcW w:w="0" w:type="auto"/>
            <w:tcBorders>
              <w:top w:val="nil"/>
              <w:left w:val="nil"/>
              <w:bottom w:val="single" w:color="000000" w:sz="8" w:space="0"/>
              <w:right w:val="single" w:color="000000" w:sz="8" w:space="0"/>
            </w:tcBorders>
            <w:noWrap/>
            <w:vAlign w:val="center"/>
          </w:tcPr>
          <w:p w14:paraId="17C4D4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上海利位投资</w:t>
            </w:r>
          </w:p>
        </w:tc>
      </w:tr>
      <w:tr w14:paraId="6A5ACC42">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A1011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0" w:type="auto"/>
            <w:tcBorders>
              <w:top w:val="nil"/>
              <w:left w:val="nil"/>
              <w:bottom w:val="single" w:color="000000" w:sz="8" w:space="0"/>
              <w:right w:val="single" w:color="000000" w:sz="8" w:space="0"/>
            </w:tcBorders>
            <w:noWrap/>
            <w:vAlign w:val="center"/>
          </w:tcPr>
          <w:p w14:paraId="367BCB9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国寿安保基金</w:t>
            </w:r>
          </w:p>
        </w:tc>
        <w:tc>
          <w:tcPr>
            <w:tcW w:w="0" w:type="auto"/>
            <w:tcBorders>
              <w:top w:val="nil"/>
              <w:left w:val="single" w:color="000000" w:sz="8" w:space="0"/>
              <w:bottom w:val="single" w:color="000000" w:sz="8" w:space="0"/>
              <w:right w:val="single" w:color="000000" w:sz="8" w:space="0"/>
            </w:tcBorders>
            <w:noWrap/>
            <w:vAlign w:val="center"/>
          </w:tcPr>
          <w:p w14:paraId="3530E1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29</w:t>
            </w:r>
          </w:p>
        </w:tc>
        <w:tc>
          <w:tcPr>
            <w:tcW w:w="0" w:type="auto"/>
            <w:tcBorders>
              <w:top w:val="nil"/>
              <w:left w:val="nil"/>
              <w:bottom w:val="single" w:color="000000" w:sz="8" w:space="0"/>
              <w:right w:val="single" w:color="000000" w:sz="8" w:space="0"/>
            </w:tcBorders>
            <w:noWrap/>
            <w:vAlign w:val="center"/>
          </w:tcPr>
          <w:p w14:paraId="09CBBE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陕西终南投资</w:t>
            </w:r>
          </w:p>
        </w:tc>
      </w:tr>
      <w:tr w14:paraId="4971749D">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CBE73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0" w:type="auto"/>
            <w:tcBorders>
              <w:top w:val="nil"/>
              <w:left w:val="nil"/>
              <w:bottom w:val="single" w:color="000000" w:sz="8" w:space="0"/>
              <w:right w:val="single" w:color="000000" w:sz="8" w:space="0"/>
            </w:tcBorders>
            <w:noWrap/>
            <w:vAlign w:val="center"/>
          </w:tcPr>
          <w:p w14:paraId="4C3409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睿远基金</w:t>
            </w:r>
          </w:p>
        </w:tc>
        <w:tc>
          <w:tcPr>
            <w:tcW w:w="0" w:type="auto"/>
            <w:tcBorders>
              <w:top w:val="nil"/>
              <w:left w:val="single" w:color="000000" w:sz="8" w:space="0"/>
              <w:bottom w:val="single" w:color="000000" w:sz="8" w:space="0"/>
              <w:right w:val="single" w:color="000000" w:sz="8" w:space="0"/>
            </w:tcBorders>
            <w:noWrap/>
            <w:vAlign w:val="center"/>
          </w:tcPr>
          <w:p w14:paraId="1A10B9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w:t>
            </w:r>
          </w:p>
        </w:tc>
        <w:tc>
          <w:tcPr>
            <w:tcW w:w="0" w:type="auto"/>
            <w:tcBorders>
              <w:top w:val="nil"/>
              <w:left w:val="nil"/>
              <w:bottom w:val="single" w:color="000000" w:sz="8" w:space="0"/>
              <w:right w:val="single" w:color="000000" w:sz="8" w:space="0"/>
            </w:tcBorders>
            <w:noWrap/>
            <w:vAlign w:val="center"/>
          </w:tcPr>
          <w:p w14:paraId="51F261D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群益投信</w:t>
            </w:r>
          </w:p>
        </w:tc>
      </w:tr>
      <w:tr w14:paraId="589AFE30">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38E84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0" w:type="auto"/>
            <w:tcBorders>
              <w:top w:val="nil"/>
              <w:left w:val="nil"/>
              <w:bottom w:val="single" w:color="000000" w:sz="8" w:space="0"/>
              <w:right w:val="single" w:color="000000" w:sz="8" w:space="0"/>
            </w:tcBorders>
            <w:noWrap/>
            <w:vAlign w:val="center"/>
          </w:tcPr>
          <w:p w14:paraId="1975E44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兆顺基金</w:t>
            </w:r>
          </w:p>
        </w:tc>
        <w:tc>
          <w:tcPr>
            <w:tcW w:w="0" w:type="auto"/>
            <w:tcBorders>
              <w:top w:val="nil"/>
              <w:left w:val="single" w:color="000000" w:sz="8" w:space="0"/>
              <w:bottom w:val="single" w:color="000000" w:sz="8" w:space="0"/>
              <w:right w:val="single" w:color="000000" w:sz="8" w:space="0"/>
            </w:tcBorders>
            <w:noWrap/>
            <w:vAlign w:val="center"/>
          </w:tcPr>
          <w:p w14:paraId="3EBCC3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w:t>
            </w:r>
          </w:p>
        </w:tc>
        <w:tc>
          <w:tcPr>
            <w:tcW w:w="0" w:type="auto"/>
            <w:tcBorders>
              <w:top w:val="nil"/>
              <w:left w:val="nil"/>
              <w:bottom w:val="single" w:color="000000" w:sz="8" w:space="0"/>
              <w:right w:val="single" w:color="000000" w:sz="8" w:space="0"/>
            </w:tcBorders>
            <w:noWrap/>
            <w:vAlign w:val="center"/>
          </w:tcPr>
          <w:p w14:paraId="6995BB6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华夏财富创新</w:t>
            </w:r>
          </w:p>
        </w:tc>
      </w:tr>
      <w:tr w14:paraId="64B24D30">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DAE54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0" w:type="auto"/>
            <w:tcBorders>
              <w:top w:val="nil"/>
              <w:left w:val="nil"/>
              <w:bottom w:val="single" w:color="000000" w:sz="8" w:space="0"/>
              <w:right w:val="single" w:color="000000" w:sz="8" w:space="0"/>
            </w:tcBorders>
            <w:noWrap/>
            <w:vAlign w:val="center"/>
          </w:tcPr>
          <w:p w14:paraId="7ACDCB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诺德基金</w:t>
            </w:r>
          </w:p>
        </w:tc>
        <w:tc>
          <w:tcPr>
            <w:tcW w:w="0" w:type="auto"/>
            <w:tcBorders>
              <w:top w:val="nil"/>
              <w:left w:val="single" w:color="000000" w:sz="8" w:space="0"/>
              <w:bottom w:val="single" w:color="000000" w:sz="8" w:space="0"/>
              <w:right w:val="single" w:color="000000" w:sz="8" w:space="0"/>
            </w:tcBorders>
            <w:noWrap/>
            <w:vAlign w:val="center"/>
          </w:tcPr>
          <w:p w14:paraId="3E0329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w:t>
            </w:r>
          </w:p>
        </w:tc>
        <w:tc>
          <w:tcPr>
            <w:tcW w:w="0" w:type="auto"/>
            <w:tcBorders>
              <w:top w:val="nil"/>
              <w:left w:val="nil"/>
              <w:bottom w:val="single" w:color="000000" w:sz="8" w:space="0"/>
              <w:right w:val="single" w:color="000000" w:sz="8" w:space="0"/>
            </w:tcBorders>
            <w:noWrap/>
            <w:vAlign w:val="center"/>
          </w:tcPr>
          <w:p w14:paraId="62C680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中新融创</w:t>
            </w:r>
          </w:p>
        </w:tc>
      </w:tr>
      <w:tr w14:paraId="7AB9D330">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9DB34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0" w:type="auto"/>
            <w:tcBorders>
              <w:top w:val="nil"/>
              <w:left w:val="nil"/>
              <w:bottom w:val="single" w:color="000000" w:sz="8" w:space="0"/>
              <w:right w:val="single" w:color="000000" w:sz="8" w:space="0"/>
            </w:tcBorders>
            <w:noWrap/>
            <w:vAlign w:val="center"/>
          </w:tcPr>
          <w:p w14:paraId="0324D8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人保资产</w:t>
            </w:r>
          </w:p>
        </w:tc>
        <w:tc>
          <w:tcPr>
            <w:tcW w:w="0" w:type="auto"/>
            <w:tcBorders>
              <w:top w:val="nil"/>
              <w:left w:val="single" w:color="000000" w:sz="8" w:space="0"/>
              <w:bottom w:val="single" w:color="000000" w:sz="8" w:space="0"/>
              <w:right w:val="single" w:color="000000" w:sz="8" w:space="0"/>
            </w:tcBorders>
            <w:noWrap/>
            <w:vAlign w:val="center"/>
          </w:tcPr>
          <w:p w14:paraId="5DFDB7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33</w:t>
            </w:r>
          </w:p>
        </w:tc>
        <w:tc>
          <w:tcPr>
            <w:tcW w:w="0" w:type="auto"/>
            <w:tcBorders>
              <w:top w:val="nil"/>
              <w:left w:val="nil"/>
              <w:bottom w:val="single" w:color="000000" w:sz="8" w:space="0"/>
              <w:right w:val="single" w:color="000000" w:sz="8" w:space="0"/>
            </w:tcBorders>
            <w:noWrap/>
            <w:vAlign w:val="center"/>
          </w:tcPr>
          <w:p w14:paraId="513056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浙商银行</w:t>
            </w:r>
          </w:p>
        </w:tc>
      </w:tr>
      <w:tr w14:paraId="7DC7F6DC">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D12D2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0" w:type="auto"/>
            <w:tcBorders>
              <w:top w:val="nil"/>
              <w:left w:val="nil"/>
              <w:bottom w:val="single" w:color="000000" w:sz="8" w:space="0"/>
              <w:right w:val="single" w:color="000000" w:sz="8" w:space="0"/>
            </w:tcBorders>
            <w:noWrap/>
            <w:vAlign w:val="center"/>
          </w:tcPr>
          <w:p w14:paraId="310934B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太平资产</w:t>
            </w:r>
          </w:p>
        </w:tc>
        <w:tc>
          <w:tcPr>
            <w:tcW w:w="0" w:type="auto"/>
            <w:tcBorders>
              <w:top w:val="nil"/>
              <w:left w:val="single" w:color="000000" w:sz="8" w:space="0"/>
              <w:bottom w:val="single" w:color="000000" w:sz="8" w:space="0"/>
              <w:right w:val="single" w:color="000000" w:sz="8" w:space="0"/>
            </w:tcBorders>
            <w:noWrap/>
            <w:vAlign w:val="center"/>
          </w:tcPr>
          <w:p w14:paraId="3488D8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34</w:t>
            </w:r>
          </w:p>
        </w:tc>
        <w:tc>
          <w:tcPr>
            <w:tcW w:w="0" w:type="auto"/>
            <w:tcBorders>
              <w:top w:val="nil"/>
              <w:left w:val="nil"/>
              <w:bottom w:val="single" w:color="000000" w:sz="8" w:space="0"/>
              <w:right w:val="single" w:color="000000" w:sz="8" w:space="0"/>
            </w:tcBorders>
            <w:noWrap/>
            <w:vAlign w:val="center"/>
          </w:tcPr>
          <w:p w14:paraId="259DE5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明世伙伴</w:t>
            </w:r>
          </w:p>
        </w:tc>
      </w:tr>
      <w:tr w14:paraId="0B1108B1">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6CB51C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0" w:type="auto"/>
            <w:tcBorders>
              <w:top w:val="nil"/>
              <w:left w:val="nil"/>
              <w:bottom w:val="single" w:color="000000" w:sz="8" w:space="0"/>
              <w:right w:val="single" w:color="000000" w:sz="8" w:space="0"/>
            </w:tcBorders>
            <w:noWrap/>
            <w:vAlign w:val="center"/>
          </w:tcPr>
          <w:p w14:paraId="3B4DEC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名禹资产</w:t>
            </w:r>
          </w:p>
        </w:tc>
        <w:tc>
          <w:tcPr>
            <w:tcW w:w="0" w:type="auto"/>
            <w:tcBorders>
              <w:top w:val="nil"/>
              <w:left w:val="single" w:color="000000" w:sz="8" w:space="0"/>
              <w:bottom w:val="single" w:color="000000" w:sz="8" w:space="0"/>
              <w:right w:val="single" w:color="000000" w:sz="8" w:space="0"/>
            </w:tcBorders>
            <w:noWrap/>
            <w:vAlign w:val="center"/>
          </w:tcPr>
          <w:p w14:paraId="44D06E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35</w:t>
            </w:r>
          </w:p>
        </w:tc>
        <w:tc>
          <w:tcPr>
            <w:tcW w:w="0" w:type="auto"/>
            <w:tcBorders>
              <w:top w:val="nil"/>
              <w:left w:val="nil"/>
              <w:bottom w:val="single" w:color="000000" w:sz="8" w:space="0"/>
              <w:right w:val="single" w:color="000000" w:sz="8" w:space="0"/>
            </w:tcBorders>
            <w:noWrap/>
            <w:vAlign w:val="center"/>
          </w:tcPr>
          <w:p w14:paraId="19AE034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东方睿石</w:t>
            </w:r>
          </w:p>
        </w:tc>
      </w:tr>
      <w:tr w14:paraId="0A695C4D">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6630B9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0" w:type="auto"/>
            <w:tcBorders>
              <w:top w:val="nil"/>
              <w:left w:val="nil"/>
              <w:bottom w:val="single" w:color="000000" w:sz="8" w:space="0"/>
              <w:right w:val="single" w:color="000000" w:sz="8" w:space="0"/>
            </w:tcBorders>
            <w:noWrap/>
            <w:vAlign w:val="center"/>
          </w:tcPr>
          <w:p w14:paraId="7D0F367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中意资产</w:t>
            </w:r>
          </w:p>
        </w:tc>
        <w:tc>
          <w:tcPr>
            <w:tcW w:w="0" w:type="auto"/>
            <w:tcBorders>
              <w:top w:val="nil"/>
              <w:left w:val="single" w:color="000000" w:sz="8" w:space="0"/>
              <w:bottom w:val="single" w:color="000000" w:sz="8" w:space="0"/>
              <w:right w:val="single" w:color="000000" w:sz="8" w:space="0"/>
            </w:tcBorders>
            <w:noWrap/>
            <w:vAlign w:val="center"/>
          </w:tcPr>
          <w:p w14:paraId="7801FF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36</w:t>
            </w:r>
          </w:p>
        </w:tc>
        <w:tc>
          <w:tcPr>
            <w:tcW w:w="0" w:type="auto"/>
            <w:tcBorders>
              <w:top w:val="nil"/>
              <w:left w:val="nil"/>
              <w:bottom w:val="single" w:color="000000" w:sz="8" w:space="0"/>
              <w:right w:val="single" w:color="000000" w:sz="8" w:space="0"/>
            </w:tcBorders>
            <w:noWrap/>
            <w:vAlign w:val="center"/>
          </w:tcPr>
          <w:p w14:paraId="753E47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林芝恒瑞泰富</w:t>
            </w:r>
          </w:p>
        </w:tc>
      </w:tr>
      <w:tr w14:paraId="5EA6F12C">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60A81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0" w:type="auto"/>
            <w:tcBorders>
              <w:top w:val="nil"/>
              <w:left w:val="nil"/>
              <w:bottom w:val="single" w:color="000000" w:sz="8" w:space="0"/>
              <w:right w:val="single" w:color="000000" w:sz="8" w:space="0"/>
            </w:tcBorders>
            <w:noWrap/>
            <w:vAlign w:val="center"/>
          </w:tcPr>
          <w:p w14:paraId="24D92C6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伯兄资产</w:t>
            </w:r>
          </w:p>
        </w:tc>
        <w:tc>
          <w:tcPr>
            <w:tcW w:w="0" w:type="auto"/>
            <w:tcBorders>
              <w:top w:val="nil"/>
              <w:left w:val="single" w:color="000000" w:sz="8" w:space="0"/>
              <w:bottom w:val="single" w:color="000000" w:sz="8" w:space="0"/>
              <w:right w:val="single" w:color="000000" w:sz="8" w:space="0"/>
            </w:tcBorders>
            <w:noWrap/>
            <w:vAlign w:val="center"/>
          </w:tcPr>
          <w:p w14:paraId="46FDFC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37</w:t>
            </w:r>
          </w:p>
        </w:tc>
        <w:tc>
          <w:tcPr>
            <w:tcW w:w="0" w:type="auto"/>
            <w:tcBorders>
              <w:top w:val="nil"/>
              <w:left w:val="nil"/>
              <w:bottom w:val="single" w:color="000000" w:sz="8" w:space="0"/>
              <w:right w:val="single" w:color="000000" w:sz="8" w:space="0"/>
            </w:tcBorders>
            <w:noWrap/>
            <w:vAlign w:val="center"/>
          </w:tcPr>
          <w:p w14:paraId="012F037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水璞私募</w:t>
            </w:r>
          </w:p>
        </w:tc>
      </w:tr>
      <w:tr w14:paraId="03277877">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21BEE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0" w:type="auto"/>
            <w:tcBorders>
              <w:top w:val="nil"/>
              <w:left w:val="nil"/>
              <w:bottom w:val="single" w:color="000000" w:sz="8" w:space="0"/>
              <w:right w:val="single" w:color="000000" w:sz="8" w:space="0"/>
            </w:tcBorders>
            <w:noWrap/>
            <w:vAlign w:val="center"/>
          </w:tcPr>
          <w:p w14:paraId="16ED2F8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国华兴益资产</w:t>
            </w:r>
          </w:p>
        </w:tc>
        <w:tc>
          <w:tcPr>
            <w:tcW w:w="0" w:type="auto"/>
            <w:tcBorders>
              <w:top w:val="nil"/>
              <w:left w:val="single" w:color="000000" w:sz="8" w:space="0"/>
              <w:bottom w:val="single" w:color="000000" w:sz="8" w:space="0"/>
              <w:right w:val="single" w:color="000000" w:sz="8" w:space="0"/>
            </w:tcBorders>
            <w:noWrap/>
            <w:vAlign w:val="center"/>
          </w:tcPr>
          <w:p w14:paraId="58A9AE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38</w:t>
            </w:r>
          </w:p>
        </w:tc>
        <w:tc>
          <w:tcPr>
            <w:tcW w:w="0" w:type="auto"/>
            <w:tcBorders>
              <w:top w:val="nil"/>
              <w:left w:val="nil"/>
              <w:bottom w:val="single" w:color="000000" w:sz="8" w:space="0"/>
              <w:right w:val="single" w:color="000000" w:sz="8" w:space="0"/>
            </w:tcBorders>
            <w:noWrap/>
            <w:vAlign w:val="center"/>
          </w:tcPr>
          <w:p w14:paraId="61B2F4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弘康人寿</w:t>
            </w:r>
          </w:p>
        </w:tc>
      </w:tr>
      <w:tr w14:paraId="3E76A67E">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721B73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0" w:type="auto"/>
            <w:tcBorders>
              <w:top w:val="nil"/>
              <w:left w:val="nil"/>
              <w:bottom w:val="single" w:color="000000" w:sz="8" w:space="0"/>
              <w:right w:val="single" w:color="000000" w:sz="8" w:space="0"/>
            </w:tcBorders>
            <w:noWrap/>
            <w:vAlign w:val="center"/>
          </w:tcPr>
          <w:p w14:paraId="57136C4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为顺正新资产</w:t>
            </w:r>
          </w:p>
        </w:tc>
        <w:tc>
          <w:tcPr>
            <w:tcW w:w="0" w:type="auto"/>
            <w:tcBorders>
              <w:top w:val="nil"/>
              <w:left w:val="single" w:color="000000" w:sz="8" w:space="0"/>
              <w:bottom w:val="single" w:color="000000" w:sz="8" w:space="0"/>
              <w:right w:val="single" w:color="000000" w:sz="8" w:space="0"/>
            </w:tcBorders>
            <w:noWrap/>
            <w:vAlign w:val="center"/>
          </w:tcPr>
          <w:p w14:paraId="026967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39</w:t>
            </w:r>
          </w:p>
        </w:tc>
        <w:tc>
          <w:tcPr>
            <w:tcW w:w="0" w:type="auto"/>
            <w:tcBorders>
              <w:top w:val="nil"/>
              <w:left w:val="nil"/>
              <w:bottom w:val="single" w:color="000000" w:sz="8" w:space="0"/>
              <w:right w:val="single" w:color="000000" w:sz="8" w:space="0"/>
            </w:tcBorders>
            <w:noWrap/>
            <w:vAlign w:val="center"/>
          </w:tcPr>
          <w:p w14:paraId="6B65882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上银理财</w:t>
            </w:r>
          </w:p>
        </w:tc>
      </w:tr>
      <w:tr w14:paraId="487B1C9F">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3BFAE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w:t>
            </w:r>
          </w:p>
        </w:tc>
        <w:tc>
          <w:tcPr>
            <w:tcW w:w="0" w:type="auto"/>
            <w:tcBorders>
              <w:top w:val="nil"/>
              <w:left w:val="nil"/>
              <w:bottom w:val="single" w:color="000000" w:sz="8" w:space="0"/>
              <w:right w:val="single" w:color="000000" w:sz="8" w:space="0"/>
            </w:tcBorders>
            <w:noWrap/>
            <w:vAlign w:val="center"/>
          </w:tcPr>
          <w:p w14:paraId="43EE4B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瀑布资产</w:t>
            </w:r>
          </w:p>
        </w:tc>
        <w:tc>
          <w:tcPr>
            <w:tcW w:w="0" w:type="auto"/>
            <w:tcBorders>
              <w:top w:val="nil"/>
              <w:left w:val="single" w:color="000000" w:sz="8" w:space="0"/>
              <w:bottom w:val="single" w:color="000000" w:sz="8" w:space="0"/>
              <w:right w:val="single" w:color="000000" w:sz="8" w:space="0"/>
            </w:tcBorders>
            <w:noWrap/>
            <w:vAlign w:val="center"/>
          </w:tcPr>
          <w:p w14:paraId="3DBC23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40</w:t>
            </w:r>
          </w:p>
        </w:tc>
        <w:tc>
          <w:tcPr>
            <w:tcW w:w="0" w:type="auto"/>
            <w:tcBorders>
              <w:top w:val="nil"/>
              <w:left w:val="nil"/>
              <w:bottom w:val="single" w:color="000000" w:sz="8" w:space="0"/>
              <w:right w:val="single" w:color="000000" w:sz="8" w:space="0"/>
            </w:tcBorders>
            <w:noWrap/>
            <w:vAlign w:val="center"/>
          </w:tcPr>
          <w:p w14:paraId="4AB4191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万向创投</w:t>
            </w:r>
          </w:p>
        </w:tc>
      </w:tr>
      <w:tr w14:paraId="3D7F90A3">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19B12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w:t>
            </w:r>
          </w:p>
        </w:tc>
        <w:tc>
          <w:tcPr>
            <w:tcW w:w="0" w:type="auto"/>
            <w:tcBorders>
              <w:top w:val="nil"/>
              <w:left w:val="nil"/>
              <w:bottom w:val="single" w:color="000000" w:sz="8" w:space="0"/>
              <w:right w:val="single" w:color="000000" w:sz="8" w:space="0"/>
            </w:tcBorders>
            <w:noWrap/>
            <w:vAlign w:val="center"/>
          </w:tcPr>
          <w:p w14:paraId="580BB19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乘是资产</w:t>
            </w:r>
          </w:p>
        </w:tc>
        <w:tc>
          <w:tcPr>
            <w:tcW w:w="0" w:type="auto"/>
            <w:tcBorders>
              <w:top w:val="nil"/>
              <w:left w:val="single" w:color="000000" w:sz="8" w:space="0"/>
              <w:bottom w:val="single" w:color="000000" w:sz="8" w:space="0"/>
              <w:right w:val="single" w:color="000000" w:sz="8" w:space="0"/>
            </w:tcBorders>
            <w:noWrap/>
            <w:vAlign w:val="center"/>
          </w:tcPr>
          <w:p w14:paraId="377D27C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41</w:t>
            </w:r>
          </w:p>
        </w:tc>
        <w:tc>
          <w:tcPr>
            <w:tcW w:w="0" w:type="auto"/>
            <w:tcBorders>
              <w:top w:val="nil"/>
              <w:left w:val="nil"/>
              <w:bottom w:val="single" w:color="000000" w:sz="8" w:space="0"/>
              <w:right w:val="single" w:color="000000" w:sz="8" w:space="0"/>
            </w:tcBorders>
            <w:noWrap/>
            <w:vAlign w:val="center"/>
          </w:tcPr>
          <w:p w14:paraId="07CE03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鸿途私募</w:t>
            </w:r>
          </w:p>
        </w:tc>
      </w:tr>
      <w:tr w14:paraId="3E29176D">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7E5CB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w:t>
            </w:r>
          </w:p>
        </w:tc>
        <w:tc>
          <w:tcPr>
            <w:tcW w:w="0" w:type="auto"/>
            <w:tcBorders>
              <w:top w:val="nil"/>
              <w:left w:val="nil"/>
              <w:bottom w:val="single" w:color="000000" w:sz="8" w:space="0"/>
              <w:right w:val="single" w:color="000000" w:sz="8" w:space="0"/>
            </w:tcBorders>
            <w:noWrap/>
            <w:vAlign w:val="center"/>
          </w:tcPr>
          <w:p w14:paraId="10DF2AD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益和源资产</w:t>
            </w:r>
          </w:p>
        </w:tc>
        <w:tc>
          <w:tcPr>
            <w:tcW w:w="0" w:type="auto"/>
            <w:tcBorders>
              <w:top w:val="nil"/>
              <w:left w:val="single" w:color="000000" w:sz="8" w:space="0"/>
              <w:bottom w:val="single" w:color="000000" w:sz="8" w:space="0"/>
              <w:right w:val="single" w:color="000000" w:sz="8" w:space="0"/>
            </w:tcBorders>
            <w:noWrap/>
            <w:vAlign w:val="center"/>
          </w:tcPr>
          <w:p w14:paraId="39843B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42</w:t>
            </w:r>
          </w:p>
        </w:tc>
        <w:tc>
          <w:tcPr>
            <w:tcW w:w="0" w:type="auto"/>
            <w:tcBorders>
              <w:top w:val="nil"/>
              <w:left w:val="nil"/>
              <w:bottom w:val="single" w:color="000000" w:sz="8" w:space="0"/>
              <w:right w:val="single" w:color="000000" w:sz="8" w:space="0"/>
            </w:tcBorders>
            <w:noWrap/>
            <w:vAlign w:val="center"/>
          </w:tcPr>
          <w:p w14:paraId="2315C3F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紫金信托</w:t>
            </w:r>
          </w:p>
        </w:tc>
      </w:tr>
      <w:tr w14:paraId="32CB6E8A">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D4CED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18</w:t>
            </w:r>
          </w:p>
        </w:tc>
        <w:tc>
          <w:tcPr>
            <w:tcW w:w="0" w:type="auto"/>
            <w:tcBorders>
              <w:top w:val="nil"/>
              <w:left w:val="nil"/>
              <w:bottom w:val="single" w:color="000000" w:sz="8" w:space="0"/>
              <w:right w:val="single" w:color="000000" w:sz="8" w:space="0"/>
            </w:tcBorders>
            <w:noWrap/>
            <w:vAlign w:val="center"/>
          </w:tcPr>
          <w:p w14:paraId="5299E0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财通证券资管</w:t>
            </w:r>
          </w:p>
        </w:tc>
        <w:tc>
          <w:tcPr>
            <w:tcW w:w="0" w:type="auto"/>
            <w:tcBorders>
              <w:top w:val="nil"/>
              <w:left w:val="single" w:color="000000" w:sz="8" w:space="0"/>
              <w:bottom w:val="single" w:color="000000" w:sz="8" w:space="0"/>
              <w:right w:val="single" w:color="000000" w:sz="8" w:space="0"/>
            </w:tcBorders>
            <w:noWrap/>
            <w:vAlign w:val="center"/>
          </w:tcPr>
          <w:p w14:paraId="5ACA48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w:t>
            </w:r>
          </w:p>
        </w:tc>
        <w:tc>
          <w:tcPr>
            <w:tcW w:w="0" w:type="auto"/>
            <w:tcBorders>
              <w:top w:val="nil"/>
              <w:left w:val="nil"/>
              <w:bottom w:val="single" w:color="000000" w:sz="8" w:space="0"/>
              <w:right w:val="single" w:color="000000" w:sz="8" w:space="0"/>
            </w:tcBorders>
            <w:noWrap/>
            <w:vAlign w:val="center"/>
          </w:tcPr>
          <w:p w14:paraId="4D7A381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长江证券</w:t>
            </w:r>
          </w:p>
        </w:tc>
      </w:tr>
      <w:tr w14:paraId="204E4263">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87051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w:t>
            </w:r>
          </w:p>
        </w:tc>
        <w:tc>
          <w:tcPr>
            <w:tcW w:w="0" w:type="auto"/>
            <w:tcBorders>
              <w:top w:val="nil"/>
              <w:left w:val="nil"/>
              <w:bottom w:val="single" w:color="000000" w:sz="8" w:space="0"/>
              <w:right w:val="single" w:color="000000" w:sz="8" w:space="0"/>
            </w:tcBorders>
            <w:noWrap/>
            <w:vAlign w:val="center"/>
          </w:tcPr>
          <w:p w14:paraId="1DCD062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恒邦兆丰资管</w:t>
            </w:r>
          </w:p>
        </w:tc>
        <w:tc>
          <w:tcPr>
            <w:tcW w:w="0" w:type="auto"/>
            <w:tcBorders>
              <w:top w:val="nil"/>
              <w:left w:val="single" w:color="000000" w:sz="8" w:space="0"/>
              <w:bottom w:val="single" w:color="000000" w:sz="8" w:space="0"/>
              <w:right w:val="single" w:color="000000" w:sz="8" w:space="0"/>
            </w:tcBorders>
            <w:noWrap/>
            <w:vAlign w:val="center"/>
          </w:tcPr>
          <w:p w14:paraId="7F3DCD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44</w:t>
            </w:r>
          </w:p>
        </w:tc>
        <w:tc>
          <w:tcPr>
            <w:tcW w:w="0" w:type="auto"/>
            <w:tcBorders>
              <w:top w:val="nil"/>
              <w:left w:val="nil"/>
              <w:bottom w:val="single" w:color="000000" w:sz="8" w:space="0"/>
              <w:right w:val="single" w:color="000000" w:sz="8" w:space="0"/>
            </w:tcBorders>
            <w:noWrap/>
            <w:vAlign w:val="center"/>
          </w:tcPr>
          <w:p w14:paraId="3119AC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国都证券</w:t>
            </w:r>
          </w:p>
        </w:tc>
      </w:tr>
      <w:tr w14:paraId="6E809CCC">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9CB7D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0" w:type="auto"/>
            <w:tcBorders>
              <w:top w:val="nil"/>
              <w:left w:val="nil"/>
              <w:bottom w:val="single" w:color="000000" w:sz="8" w:space="0"/>
              <w:right w:val="single" w:color="000000" w:sz="8" w:space="0"/>
            </w:tcBorders>
            <w:noWrap/>
            <w:vAlign w:val="center"/>
          </w:tcPr>
          <w:p w14:paraId="22557F2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中信另类投资</w:t>
            </w:r>
          </w:p>
        </w:tc>
        <w:tc>
          <w:tcPr>
            <w:tcW w:w="0" w:type="auto"/>
            <w:tcBorders>
              <w:top w:val="nil"/>
              <w:left w:val="single" w:color="000000" w:sz="8" w:space="0"/>
              <w:bottom w:val="single" w:color="000000" w:sz="8" w:space="0"/>
              <w:right w:val="single" w:color="000000" w:sz="8" w:space="0"/>
            </w:tcBorders>
            <w:noWrap/>
            <w:vAlign w:val="center"/>
          </w:tcPr>
          <w:p w14:paraId="661908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45</w:t>
            </w:r>
          </w:p>
        </w:tc>
        <w:tc>
          <w:tcPr>
            <w:tcW w:w="0" w:type="auto"/>
            <w:tcBorders>
              <w:top w:val="nil"/>
              <w:left w:val="nil"/>
              <w:bottom w:val="single" w:color="000000" w:sz="8" w:space="0"/>
              <w:right w:val="single" w:color="000000" w:sz="8" w:space="0"/>
            </w:tcBorders>
            <w:noWrap/>
            <w:vAlign w:val="center"/>
          </w:tcPr>
          <w:p w14:paraId="5F105FC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东北证券</w:t>
            </w:r>
          </w:p>
        </w:tc>
      </w:tr>
      <w:tr w14:paraId="3B3827D7">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6B91532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w:t>
            </w:r>
          </w:p>
        </w:tc>
        <w:tc>
          <w:tcPr>
            <w:tcW w:w="0" w:type="auto"/>
            <w:tcBorders>
              <w:top w:val="nil"/>
              <w:left w:val="nil"/>
              <w:bottom w:val="single" w:color="000000" w:sz="8" w:space="0"/>
              <w:right w:val="single" w:color="000000" w:sz="8" w:space="0"/>
            </w:tcBorders>
            <w:noWrap/>
            <w:vAlign w:val="center"/>
          </w:tcPr>
          <w:p w14:paraId="5D1DB0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广金投资</w:t>
            </w:r>
          </w:p>
        </w:tc>
        <w:tc>
          <w:tcPr>
            <w:tcW w:w="0" w:type="auto"/>
            <w:tcBorders>
              <w:top w:val="nil"/>
              <w:left w:val="single" w:color="000000" w:sz="8" w:space="0"/>
              <w:bottom w:val="single" w:color="000000" w:sz="8" w:space="0"/>
              <w:right w:val="single" w:color="000000" w:sz="8" w:space="0"/>
            </w:tcBorders>
            <w:noWrap/>
            <w:vAlign w:val="center"/>
          </w:tcPr>
          <w:p w14:paraId="206610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46</w:t>
            </w:r>
          </w:p>
        </w:tc>
        <w:tc>
          <w:tcPr>
            <w:tcW w:w="0" w:type="auto"/>
            <w:tcBorders>
              <w:top w:val="nil"/>
              <w:left w:val="nil"/>
              <w:bottom w:val="single" w:color="000000" w:sz="8" w:space="0"/>
              <w:right w:val="single" w:color="000000" w:sz="8" w:space="0"/>
            </w:tcBorders>
            <w:noWrap/>
            <w:vAlign w:val="center"/>
          </w:tcPr>
          <w:p w14:paraId="0272DE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浙商证券</w:t>
            </w:r>
          </w:p>
        </w:tc>
      </w:tr>
      <w:tr w14:paraId="4E413406">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CB372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w:t>
            </w:r>
          </w:p>
        </w:tc>
        <w:tc>
          <w:tcPr>
            <w:tcW w:w="0" w:type="auto"/>
            <w:tcBorders>
              <w:top w:val="nil"/>
              <w:left w:val="nil"/>
              <w:bottom w:val="single" w:color="000000" w:sz="8" w:space="0"/>
              <w:right w:val="single" w:color="000000" w:sz="8" w:space="0"/>
            </w:tcBorders>
            <w:noWrap/>
            <w:vAlign w:val="center"/>
          </w:tcPr>
          <w:p w14:paraId="69BBEE1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禾永投资</w:t>
            </w:r>
          </w:p>
        </w:tc>
        <w:tc>
          <w:tcPr>
            <w:tcW w:w="0" w:type="auto"/>
            <w:tcBorders>
              <w:top w:val="nil"/>
              <w:left w:val="single" w:color="000000" w:sz="8" w:space="0"/>
              <w:bottom w:val="single" w:color="000000" w:sz="8" w:space="0"/>
              <w:right w:val="single" w:color="000000" w:sz="8" w:space="0"/>
            </w:tcBorders>
            <w:noWrap/>
            <w:vAlign w:val="center"/>
          </w:tcPr>
          <w:p w14:paraId="5C10AC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47</w:t>
            </w:r>
          </w:p>
        </w:tc>
        <w:tc>
          <w:tcPr>
            <w:tcW w:w="0" w:type="auto"/>
            <w:tcBorders>
              <w:top w:val="nil"/>
              <w:left w:val="nil"/>
              <w:bottom w:val="single" w:color="000000" w:sz="8" w:space="0"/>
              <w:right w:val="single" w:color="000000" w:sz="8" w:space="0"/>
            </w:tcBorders>
            <w:noWrap/>
            <w:vAlign w:val="center"/>
          </w:tcPr>
          <w:p w14:paraId="7F978E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财通证券</w:t>
            </w:r>
          </w:p>
        </w:tc>
      </w:tr>
      <w:tr w14:paraId="7CC0ABE8">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33919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w:t>
            </w:r>
          </w:p>
        </w:tc>
        <w:tc>
          <w:tcPr>
            <w:tcW w:w="0" w:type="auto"/>
            <w:tcBorders>
              <w:top w:val="nil"/>
              <w:left w:val="nil"/>
              <w:bottom w:val="single" w:color="000000" w:sz="8" w:space="0"/>
              <w:right w:val="single" w:color="000000" w:sz="8" w:space="0"/>
            </w:tcBorders>
            <w:noWrap/>
            <w:vAlign w:val="center"/>
          </w:tcPr>
          <w:p w14:paraId="4DD12F9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汐泰投资</w:t>
            </w:r>
          </w:p>
        </w:tc>
        <w:tc>
          <w:tcPr>
            <w:tcW w:w="0" w:type="auto"/>
            <w:tcBorders>
              <w:top w:val="nil"/>
              <w:left w:val="single" w:color="000000" w:sz="8" w:space="0"/>
              <w:bottom w:val="single" w:color="000000" w:sz="8" w:space="0"/>
              <w:right w:val="single" w:color="000000" w:sz="8" w:space="0"/>
            </w:tcBorders>
            <w:noWrap/>
            <w:vAlign w:val="center"/>
          </w:tcPr>
          <w:p w14:paraId="6C64CF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48</w:t>
            </w:r>
          </w:p>
        </w:tc>
        <w:tc>
          <w:tcPr>
            <w:tcW w:w="0" w:type="auto"/>
            <w:tcBorders>
              <w:top w:val="nil"/>
              <w:left w:val="nil"/>
              <w:bottom w:val="single" w:color="000000" w:sz="8" w:space="0"/>
              <w:right w:val="single" w:color="000000" w:sz="8" w:space="0"/>
            </w:tcBorders>
            <w:noWrap/>
            <w:vAlign w:val="center"/>
          </w:tcPr>
          <w:p w14:paraId="3AFDEFE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国联民生证券</w:t>
            </w:r>
          </w:p>
        </w:tc>
      </w:tr>
      <w:tr w14:paraId="7492B473">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D4B7A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w:t>
            </w:r>
          </w:p>
        </w:tc>
        <w:tc>
          <w:tcPr>
            <w:tcW w:w="0" w:type="auto"/>
            <w:tcBorders>
              <w:top w:val="nil"/>
              <w:left w:val="nil"/>
              <w:bottom w:val="single" w:color="000000" w:sz="8" w:space="0"/>
              <w:right w:val="single" w:color="000000" w:sz="8" w:space="0"/>
            </w:tcBorders>
            <w:noWrap/>
            <w:vAlign w:val="center"/>
          </w:tcPr>
          <w:p w14:paraId="30BB887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江苏瑞华投资</w:t>
            </w:r>
          </w:p>
        </w:tc>
        <w:tc>
          <w:tcPr>
            <w:tcW w:w="0" w:type="auto"/>
            <w:tcBorders>
              <w:top w:val="nil"/>
              <w:left w:val="single" w:color="000000" w:sz="8" w:space="0"/>
              <w:bottom w:val="single" w:color="000000" w:sz="8" w:space="0"/>
              <w:right w:val="single" w:color="000000" w:sz="8" w:space="0"/>
            </w:tcBorders>
            <w:noWrap/>
            <w:vAlign w:val="center"/>
          </w:tcPr>
          <w:p w14:paraId="47AB98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49</w:t>
            </w:r>
          </w:p>
        </w:tc>
        <w:tc>
          <w:tcPr>
            <w:tcW w:w="0" w:type="auto"/>
            <w:tcBorders>
              <w:top w:val="nil"/>
              <w:left w:val="nil"/>
              <w:bottom w:val="single" w:color="000000" w:sz="8" w:space="0"/>
              <w:right w:val="single" w:color="000000" w:sz="8" w:space="0"/>
            </w:tcBorders>
            <w:noWrap/>
            <w:vAlign w:val="center"/>
          </w:tcPr>
          <w:p w14:paraId="0ED5C56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国金证券</w:t>
            </w:r>
          </w:p>
        </w:tc>
      </w:tr>
      <w:tr w14:paraId="71382638">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4D4CF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w:t>
            </w:r>
          </w:p>
        </w:tc>
        <w:tc>
          <w:tcPr>
            <w:tcW w:w="0" w:type="auto"/>
            <w:tcBorders>
              <w:top w:val="nil"/>
              <w:left w:val="nil"/>
              <w:bottom w:val="single" w:color="000000" w:sz="8" w:space="0"/>
              <w:right w:val="single" w:color="000000" w:sz="8" w:space="0"/>
            </w:tcBorders>
            <w:noWrap/>
            <w:vAlign w:val="center"/>
          </w:tcPr>
          <w:p w14:paraId="27F7594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泾溪投资</w:t>
            </w:r>
          </w:p>
        </w:tc>
        <w:tc>
          <w:tcPr>
            <w:tcW w:w="0" w:type="auto"/>
            <w:tcBorders>
              <w:top w:val="nil"/>
              <w:left w:val="single" w:color="000000" w:sz="8" w:space="0"/>
              <w:bottom w:val="single" w:color="000000" w:sz="8" w:space="0"/>
              <w:right w:val="single" w:color="000000" w:sz="8" w:space="0"/>
            </w:tcBorders>
            <w:noWrap/>
            <w:vAlign w:val="center"/>
          </w:tcPr>
          <w:p w14:paraId="079AAF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50</w:t>
            </w:r>
          </w:p>
        </w:tc>
        <w:tc>
          <w:tcPr>
            <w:tcW w:w="0" w:type="auto"/>
            <w:tcBorders>
              <w:top w:val="nil"/>
              <w:left w:val="nil"/>
              <w:bottom w:val="single" w:color="000000" w:sz="8" w:space="0"/>
              <w:right w:val="single" w:color="000000" w:sz="8" w:space="0"/>
            </w:tcBorders>
            <w:noWrap/>
            <w:vAlign w:val="center"/>
          </w:tcPr>
          <w:p w14:paraId="4931D04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中信证券</w:t>
            </w:r>
          </w:p>
        </w:tc>
      </w:tr>
    </w:tbl>
    <w:p w14:paraId="466E7135">
      <w:pPr>
        <w:rPr>
          <w:rFonts w:ascii="Times New Roman" w:hAnsi="Times New Roman" w:cs="Times New Roman"/>
          <w:b/>
          <w:sz w:val="24"/>
          <w:szCs w:val="22"/>
          <w:lang w:bidi="ar"/>
        </w:rPr>
      </w:pPr>
    </w:p>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NTc1ZTljNDAyZWZmMjY1MGU1Yjg1NzBlODhmZmMifQ=="/>
  </w:docVars>
  <w:rsids>
    <w:rsidRoot w:val="09ED5870"/>
    <w:rsid w:val="00003283"/>
    <w:rsid w:val="0000515D"/>
    <w:rsid w:val="0002409A"/>
    <w:rsid w:val="0016293D"/>
    <w:rsid w:val="0023619C"/>
    <w:rsid w:val="00237321"/>
    <w:rsid w:val="00270F5B"/>
    <w:rsid w:val="00276EFF"/>
    <w:rsid w:val="002870D4"/>
    <w:rsid w:val="00303410"/>
    <w:rsid w:val="003523A7"/>
    <w:rsid w:val="003559FE"/>
    <w:rsid w:val="003E6839"/>
    <w:rsid w:val="0042313A"/>
    <w:rsid w:val="004403D8"/>
    <w:rsid w:val="00450E4E"/>
    <w:rsid w:val="00493FFD"/>
    <w:rsid w:val="0049500B"/>
    <w:rsid w:val="004A0AB6"/>
    <w:rsid w:val="004A7620"/>
    <w:rsid w:val="004D0B18"/>
    <w:rsid w:val="00561F8B"/>
    <w:rsid w:val="0060627F"/>
    <w:rsid w:val="006223CE"/>
    <w:rsid w:val="006B449C"/>
    <w:rsid w:val="006C2882"/>
    <w:rsid w:val="006C294A"/>
    <w:rsid w:val="006C654E"/>
    <w:rsid w:val="006E2548"/>
    <w:rsid w:val="007148CA"/>
    <w:rsid w:val="00746C9F"/>
    <w:rsid w:val="00753D24"/>
    <w:rsid w:val="007E2E16"/>
    <w:rsid w:val="00815C71"/>
    <w:rsid w:val="00861C2E"/>
    <w:rsid w:val="008D1B2D"/>
    <w:rsid w:val="008E0848"/>
    <w:rsid w:val="008E4F51"/>
    <w:rsid w:val="0091145E"/>
    <w:rsid w:val="0093731C"/>
    <w:rsid w:val="009F42EF"/>
    <w:rsid w:val="00A54C05"/>
    <w:rsid w:val="00A5717D"/>
    <w:rsid w:val="00A84A3B"/>
    <w:rsid w:val="00AA4350"/>
    <w:rsid w:val="00B13BFE"/>
    <w:rsid w:val="00B85029"/>
    <w:rsid w:val="00C24C9F"/>
    <w:rsid w:val="00C35E18"/>
    <w:rsid w:val="00CE1C6F"/>
    <w:rsid w:val="00CE7835"/>
    <w:rsid w:val="00D348A8"/>
    <w:rsid w:val="00D532C9"/>
    <w:rsid w:val="00D63776"/>
    <w:rsid w:val="00D707EA"/>
    <w:rsid w:val="00D92C52"/>
    <w:rsid w:val="00DD6F03"/>
    <w:rsid w:val="00E11A32"/>
    <w:rsid w:val="00E32B36"/>
    <w:rsid w:val="00E503E9"/>
    <w:rsid w:val="00E63C4F"/>
    <w:rsid w:val="00E83E8E"/>
    <w:rsid w:val="00EB1320"/>
    <w:rsid w:val="00EB4EAC"/>
    <w:rsid w:val="00F10F74"/>
    <w:rsid w:val="00F17F97"/>
    <w:rsid w:val="00F62C66"/>
    <w:rsid w:val="010D7DD7"/>
    <w:rsid w:val="012F41F1"/>
    <w:rsid w:val="01975CC6"/>
    <w:rsid w:val="01D83502"/>
    <w:rsid w:val="02012CA2"/>
    <w:rsid w:val="020B3382"/>
    <w:rsid w:val="024B505A"/>
    <w:rsid w:val="02510197"/>
    <w:rsid w:val="02647ECA"/>
    <w:rsid w:val="0296107E"/>
    <w:rsid w:val="029A6F7D"/>
    <w:rsid w:val="03825496"/>
    <w:rsid w:val="039C3694"/>
    <w:rsid w:val="03F31506"/>
    <w:rsid w:val="04636074"/>
    <w:rsid w:val="04D81A19"/>
    <w:rsid w:val="053022E6"/>
    <w:rsid w:val="05314A48"/>
    <w:rsid w:val="05F371F7"/>
    <w:rsid w:val="062956B3"/>
    <w:rsid w:val="07991C98"/>
    <w:rsid w:val="08323B19"/>
    <w:rsid w:val="08BB5C63"/>
    <w:rsid w:val="094D1160"/>
    <w:rsid w:val="09ED5870"/>
    <w:rsid w:val="0BDB744F"/>
    <w:rsid w:val="0D972EDF"/>
    <w:rsid w:val="0F245B41"/>
    <w:rsid w:val="0F344D93"/>
    <w:rsid w:val="0FAE1344"/>
    <w:rsid w:val="10376C29"/>
    <w:rsid w:val="10D95CB2"/>
    <w:rsid w:val="11C81806"/>
    <w:rsid w:val="11DC7A7D"/>
    <w:rsid w:val="11EB4770"/>
    <w:rsid w:val="1235128D"/>
    <w:rsid w:val="13256902"/>
    <w:rsid w:val="13E25769"/>
    <w:rsid w:val="155C2C83"/>
    <w:rsid w:val="16493207"/>
    <w:rsid w:val="16E41182"/>
    <w:rsid w:val="170D42EA"/>
    <w:rsid w:val="17451C21"/>
    <w:rsid w:val="17FF2717"/>
    <w:rsid w:val="187A7FF0"/>
    <w:rsid w:val="188A51D8"/>
    <w:rsid w:val="18B0021C"/>
    <w:rsid w:val="190A1374"/>
    <w:rsid w:val="193F7174"/>
    <w:rsid w:val="19CA28B1"/>
    <w:rsid w:val="19CC6629"/>
    <w:rsid w:val="19DE010A"/>
    <w:rsid w:val="1B4E3592"/>
    <w:rsid w:val="1C9117EA"/>
    <w:rsid w:val="1EBB0A1A"/>
    <w:rsid w:val="1ED657E9"/>
    <w:rsid w:val="1FB042F7"/>
    <w:rsid w:val="1FCF2ABC"/>
    <w:rsid w:val="1FF22B62"/>
    <w:rsid w:val="204838A0"/>
    <w:rsid w:val="206F7D0E"/>
    <w:rsid w:val="208A6C03"/>
    <w:rsid w:val="20D93EC2"/>
    <w:rsid w:val="218C2377"/>
    <w:rsid w:val="21A17A85"/>
    <w:rsid w:val="22032E04"/>
    <w:rsid w:val="233F7989"/>
    <w:rsid w:val="24D941F5"/>
    <w:rsid w:val="25951FC5"/>
    <w:rsid w:val="260C3E00"/>
    <w:rsid w:val="26924756"/>
    <w:rsid w:val="26AE7782"/>
    <w:rsid w:val="26C30DB4"/>
    <w:rsid w:val="27124820"/>
    <w:rsid w:val="277568BD"/>
    <w:rsid w:val="278D304E"/>
    <w:rsid w:val="27ED0DB2"/>
    <w:rsid w:val="285514BC"/>
    <w:rsid w:val="29064F88"/>
    <w:rsid w:val="299D3B3E"/>
    <w:rsid w:val="29F95B61"/>
    <w:rsid w:val="2A083855"/>
    <w:rsid w:val="2B8F5708"/>
    <w:rsid w:val="2C8E0BFD"/>
    <w:rsid w:val="2D2B320F"/>
    <w:rsid w:val="2ECD6C74"/>
    <w:rsid w:val="2F827A5E"/>
    <w:rsid w:val="2FAC781C"/>
    <w:rsid w:val="2FC33BD3"/>
    <w:rsid w:val="2FCF07C9"/>
    <w:rsid w:val="30375A1D"/>
    <w:rsid w:val="30444C19"/>
    <w:rsid w:val="31181CFC"/>
    <w:rsid w:val="31C16726"/>
    <w:rsid w:val="31EA5447"/>
    <w:rsid w:val="329F26D5"/>
    <w:rsid w:val="32AF043E"/>
    <w:rsid w:val="32B55A55"/>
    <w:rsid w:val="32C4038E"/>
    <w:rsid w:val="3325691E"/>
    <w:rsid w:val="33D939C5"/>
    <w:rsid w:val="33DB598F"/>
    <w:rsid w:val="3577566A"/>
    <w:rsid w:val="35B91294"/>
    <w:rsid w:val="35BB5A93"/>
    <w:rsid w:val="36D53788"/>
    <w:rsid w:val="381402C8"/>
    <w:rsid w:val="38E250CA"/>
    <w:rsid w:val="39447B32"/>
    <w:rsid w:val="39B32F0A"/>
    <w:rsid w:val="3A4122C4"/>
    <w:rsid w:val="3A485400"/>
    <w:rsid w:val="3A8D5509"/>
    <w:rsid w:val="3B8161B9"/>
    <w:rsid w:val="3BE21884"/>
    <w:rsid w:val="3C241E9D"/>
    <w:rsid w:val="3C4340D1"/>
    <w:rsid w:val="3D1553DB"/>
    <w:rsid w:val="3D584C3D"/>
    <w:rsid w:val="3D9A2417"/>
    <w:rsid w:val="3E481E73"/>
    <w:rsid w:val="3FDD6172"/>
    <w:rsid w:val="3FED4F6D"/>
    <w:rsid w:val="3FFD026B"/>
    <w:rsid w:val="40302BBE"/>
    <w:rsid w:val="40F65123"/>
    <w:rsid w:val="41B62D25"/>
    <w:rsid w:val="4348021F"/>
    <w:rsid w:val="438147D1"/>
    <w:rsid w:val="442D1A71"/>
    <w:rsid w:val="447F5EC2"/>
    <w:rsid w:val="450A60D4"/>
    <w:rsid w:val="45CD0A54"/>
    <w:rsid w:val="46811BA9"/>
    <w:rsid w:val="47871694"/>
    <w:rsid w:val="47E66258"/>
    <w:rsid w:val="48FB5D34"/>
    <w:rsid w:val="49867CF3"/>
    <w:rsid w:val="499F0DB5"/>
    <w:rsid w:val="49B54134"/>
    <w:rsid w:val="4A5F3BCC"/>
    <w:rsid w:val="4B1E2FE1"/>
    <w:rsid w:val="4C69403F"/>
    <w:rsid w:val="4CC21042"/>
    <w:rsid w:val="4E010709"/>
    <w:rsid w:val="4F4827ED"/>
    <w:rsid w:val="509947B0"/>
    <w:rsid w:val="50AF5D81"/>
    <w:rsid w:val="511B6F73"/>
    <w:rsid w:val="51B31BC1"/>
    <w:rsid w:val="52162767"/>
    <w:rsid w:val="52611934"/>
    <w:rsid w:val="531E7A45"/>
    <w:rsid w:val="536F35A6"/>
    <w:rsid w:val="539B439B"/>
    <w:rsid w:val="53D363C1"/>
    <w:rsid w:val="552C5BF2"/>
    <w:rsid w:val="55387588"/>
    <w:rsid w:val="5554620A"/>
    <w:rsid w:val="55BB2AD2"/>
    <w:rsid w:val="56293EE0"/>
    <w:rsid w:val="56D7393C"/>
    <w:rsid w:val="573C35C9"/>
    <w:rsid w:val="575013A1"/>
    <w:rsid w:val="57D72BAF"/>
    <w:rsid w:val="5875340D"/>
    <w:rsid w:val="58ED5175"/>
    <w:rsid w:val="5A094754"/>
    <w:rsid w:val="5A981634"/>
    <w:rsid w:val="5B6641ED"/>
    <w:rsid w:val="5BCA77AB"/>
    <w:rsid w:val="5C013209"/>
    <w:rsid w:val="5C166CB5"/>
    <w:rsid w:val="5C3B671B"/>
    <w:rsid w:val="5CEC655B"/>
    <w:rsid w:val="5D026789"/>
    <w:rsid w:val="5D543665"/>
    <w:rsid w:val="5D8B2B27"/>
    <w:rsid w:val="5E6617A9"/>
    <w:rsid w:val="5F7A2286"/>
    <w:rsid w:val="5F917744"/>
    <w:rsid w:val="602120CC"/>
    <w:rsid w:val="602364FC"/>
    <w:rsid w:val="60A06CB7"/>
    <w:rsid w:val="61461FA8"/>
    <w:rsid w:val="61CE1DDF"/>
    <w:rsid w:val="624125B1"/>
    <w:rsid w:val="624B51DE"/>
    <w:rsid w:val="62A06426"/>
    <w:rsid w:val="62D41677"/>
    <w:rsid w:val="64836EB1"/>
    <w:rsid w:val="649C0675"/>
    <w:rsid w:val="64A07A63"/>
    <w:rsid w:val="64FD020B"/>
    <w:rsid w:val="65FE49D8"/>
    <w:rsid w:val="66032739"/>
    <w:rsid w:val="660B3D1D"/>
    <w:rsid w:val="66A240CC"/>
    <w:rsid w:val="66EE22FA"/>
    <w:rsid w:val="67584625"/>
    <w:rsid w:val="68A11FFC"/>
    <w:rsid w:val="68A51AEC"/>
    <w:rsid w:val="696C260A"/>
    <w:rsid w:val="698B4480"/>
    <w:rsid w:val="699C3992"/>
    <w:rsid w:val="6A5512F0"/>
    <w:rsid w:val="6A8F2708"/>
    <w:rsid w:val="6AB73D58"/>
    <w:rsid w:val="6AD541DF"/>
    <w:rsid w:val="6BFB1A23"/>
    <w:rsid w:val="6C150EE6"/>
    <w:rsid w:val="6CF7043C"/>
    <w:rsid w:val="6D183A32"/>
    <w:rsid w:val="6D4D62AE"/>
    <w:rsid w:val="6D947F8B"/>
    <w:rsid w:val="6DD51A85"/>
    <w:rsid w:val="6E7F693B"/>
    <w:rsid w:val="6EDE7344"/>
    <w:rsid w:val="6F2474E3"/>
    <w:rsid w:val="6FDE58E3"/>
    <w:rsid w:val="70AB3BE8"/>
    <w:rsid w:val="70C66AA3"/>
    <w:rsid w:val="70ED2282"/>
    <w:rsid w:val="71016B88"/>
    <w:rsid w:val="71AF05F5"/>
    <w:rsid w:val="72874010"/>
    <w:rsid w:val="72AC0553"/>
    <w:rsid w:val="73B7063C"/>
    <w:rsid w:val="7428537F"/>
    <w:rsid w:val="743B2FB6"/>
    <w:rsid w:val="749B50F4"/>
    <w:rsid w:val="750A09BD"/>
    <w:rsid w:val="751A15A2"/>
    <w:rsid w:val="75232716"/>
    <w:rsid w:val="75F60CA4"/>
    <w:rsid w:val="76452218"/>
    <w:rsid w:val="7846246B"/>
    <w:rsid w:val="79490272"/>
    <w:rsid w:val="79654980"/>
    <w:rsid w:val="7A124B07"/>
    <w:rsid w:val="7A8E3997"/>
    <w:rsid w:val="7ADF6568"/>
    <w:rsid w:val="7B0A7816"/>
    <w:rsid w:val="7B260758"/>
    <w:rsid w:val="7B7219CA"/>
    <w:rsid w:val="7B9E6925"/>
    <w:rsid w:val="7BAF2C7A"/>
    <w:rsid w:val="7D2F777E"/>
    <w:rsid w:val="7DDA3B8E"/>
    <w:rsid w:val="7E3F39F1"/>
    <w:rsid w:val="7E654E1C"/>
    <w:rsid w:val="7EFB200E"/>
    <w:rsid w:val="7F08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99"/>
    <w:rPr>
      <w:rFonts w:ascii="宋体" w:hAnsi="Courier New"/>
      <w:szCs w:val="21"/>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5"/>
    <w:qFormat/>
    <w:uiPriority w:val="0"/>
    <w:rPr>
      <w:rFonts w:asciiTheme="minorHAnsi" w:hAnsiTheme="minorHAnsi" w:eastAsiaTheme="minorEastAsia" w:cstheme="minorBidi"/>
      <w:kern w:val="2"/>
      <w:sz w:val="18"/>
      <w:szCs w:val="18"/>
    </w:rPr>
  </w:style>
  <w:style w:type="paragraph" w:customStyle="1" w:styleId="15">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3579</Words>
  <Characters>3948</Characters>
  <Lines>141</Lines>
  <Paragraphs>165</Paragraphs>
  <TotalTime>62</TotalTime>
  <ScaleCrop>false</ScaleCrop>
  <LinksUpToDate>false</LinksUpToDate>
  <CharactersWithSpaces>4098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2026-05-08T08:58:00Z</dcterms:created>
  <dc:creator>张尊睿</dc:creator>
  <cp:lastModifiedBy>张尊睿</cp:lastModifiedBy>
  <dcterms:modified xsi:type="dcterms:W3CDTF">2026-05-09T02:45:59Z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A5CF3FC8CA284D4ABF3A70396BE2D877_13</vt:lpwstr>
  </property>
  <property fmtid="{D5CDD505-2E9C-101B-9397-08002B2CF9AE}" pid="4" name="KSOTemplateDocerSaveRecord">
    <vt:lpwstr>eyJoZGlkIjoiOTZhN2FhNjJiOGQwOGUyOWUxYjBiMDhkMmY4NjgyMzMiLCJ1c2VySWQiOiIxMDczODMxODQxIn0=</vt:lpwstr>
  </property>
</Properties>
</file>