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542278">
      <w:pPr>
        <w:spacing w:before="156" w:beforeLines="50" w:after="156" w:afterLines="50" w:line="400" w:lineRule="exact"/>
        <w:rPr>
          <w:rFonts w:eastAsiaTheme="minorEastAsia"/>
          <w:bCs/>
          <w:iCs/>
          <w:sz w:val="24"/>
        </w:rPr>
      </w:pPr>
      <w:r>
        <w:rPr>
          <w:rFonts w:hint="eastAsia" w:eastAsiaTheme="minorEastAsia"/>
          <w:bCs/>
          <w:iCs/>
          <w:sz w:val="24"/>
        </w:rPr>
        <w:t>证券代码：688139</w:t>
      </w:r>
      <w:r>
        <w:rPr>
          <w:rFonts w:eastAsiaTheme="minorEastAsia"/>
          <w:bCs/>
          <w:iCs/>
          <w:sz w:val="24"/>
        </w:rPr>
        <w:t xml:space="preserve">                                 </w:t>
      </w:r>
      <w:r>
        <w:rPr>
          <w:rFonts w:hint="eastAsia" w:eastAsiaTheme="minorEastAsia"/>
          <w:bCs/>
          <w:iCs/>
          <w:sz w:val="24"/>
        </w:rPr>
        <w:t xml:space="preserve">   证券简称：海尔生物</w:t>
      </w:r>
    </w:p>
    <w:p w14:paraId="6EBB0698">
      <w:pPr>
        <w:spacing w:before="156" w:beforeLines="50" w:after="156" w:afterLines="50" w:line="400" w:lineRule="exact"/>
        <w:jc w:val="center"/>
        <w:rPr>
          <w:rFonts w:eastAsiaTheme="minorEastAsia"/>
          <w:b/>
          <w:bCs/>
          <w:iCs/>
          <w:sz w:val="30"/>
          <w:szCs w:val="30"/>
        </w:rPr>
      </w:pPr>
      <w:r>
        <w:rPr>
          <w:rFonts w:hint="eastAsia" w:eastAsiaTheme="minorEastAsia"/>
          <w:b/>
          <w:bCs/>
          <w:iCs/>
          <w:sz w:val="30"/>
          <w:szCs w:val="30"/>
        </w:rPr>
        <w:t>青岛海尔生物医疗股份有限公司</w:t>
      </w:r>
    </w:p>
    <w:p w14:paraId="17F8ED7B">
      <w:pPr>
        <w:spacing w:before="156" w:beforeLines="50" w:after="156" w:afterLines="50" w:line="400" w:lineRule="exact"/>
        <w:jc w:val="center"/>
        <w:rPr>
          <w:rFonts w:eastAsiaTheme="minorEastAsia"/>
          <w:b/>
          <w:bCs/>
          <w:iCs/>
          <w:sz w:val="30"/>
          <w:szCs w:val="30"/>
        </w:rPr>
      </w:pPr>
      <w:r>
        <w:rPr>
          <w:rFonts w:hint="eastAsia" w:eastAsiaTheme="minorEastAsia"/>
          <w:b/>
          <w:bCs/>
          <w:iCs/>
          <w:sz w:val="30"/>
          <w:szCs w:val="30"/>
        </w:rPr>
        <w:t>投资者关系活动记录表</w:t>
      </w:r>
    </w:p>
    <w:p w14:paraId="43BB4FB1">
      <w:pPr>
        <w:spacing w:line="400" w:lineRule="exact"/>
        <w:rPr>
          <w:rFonts w:eastAsiaTheme="minorEastAsia"/>
          <w:bCs/>
          <w:iCs/>
          <w:sz w:val="24"/>
          <w:szCs w:val="24"/>
        </w:rPr>
      </w:pPr>
      <w:r>
        <w:rPr>
          <w:rFonts w:eastAsiaTheme="minorEastAsia"/>
          <w:bCs/>
          <w:iCs/>
          <w:sz w:val="24"/>
          <w:szCs w:val="24"/>
        </w:rPr>
        <w:t xml:space="preserve">                                                    </w:t>
      </w:r>
      <w:r>
        <w:rPr>
          <w:rFonts w:hint="eastAsia" w:eastAsiaTheme="minorEastAsia"/>
          <w:bCs/>
          <w:iCs/>
          <w:sz w:val="24"/>
          <w:szCs w:val="24"/>
        </w:rPr>
        <w:t xml:space="preserve">  </w:t>
      </w:r>
      <w:r>
        <w:rPr>
          <w:rFonts w:eastAsiaTheme="minorEastAsia"/>
          <w:bCs/>
          <w:iCs/>
          <w:sz w:val="24"/>
          <w:szCs w:val="24"/>
        </w:rPr>
        <w:t xml:space="preserve">  </w:t>
      </w:r>
      <w:r>
        <w:rPr>
          <w:rFonts w:hint="eastAsia" w:eastAsiaTheme="minorEastAsia"/>
          <w:bCs/>
          <w:iCs/>
          <w:sz w:val="24"/>
          <w:szCs w:val="24"/>
        </w:rPr>
        <w:t>编号：</w:t>
      </w:r>
      <w:r>
        <w:rPr>
          <w:rFonts w:eastAsiaTheme="minorEastAsia"/>
          <w:bCs/>
          <w:iCs/>
          <w:sz w:val="24"/>
          <w:szCs w:val="24"/>
        </w:rPr>
        <w:t>2026-006</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614"/>
      </w:tblGrid>
      <w:tr w14:paraId="1C648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08" w:type="dxa"/>
            <w:tcBorders>
              <w:top w:val="single" w:color="auto" w:sz="4" w:space="0"/>
              <w:left w:val="single" w:color="auto" w:sz="4" w:space="0"/>
              <w:bottom w:val="single" w:color="auto" w:sz="4" w:space="0"/>
              <w:right w:val="single" w:color="auto" w:sz="4" w:space="0"/>
            </w:tcBorders>
          </w:tcPr>
          <w:p w14:paraId="03ED0223">
            <w:pPr>
              <w:spacing w:line="360" w:lineRule="auto"/>
              <w:rPr>
                <w:rFonts w:eastAsiaTheme="minorEastAsia"/>
                <w:b/>
                <w:bCs/>
                <w:iCs/>
                <w:sz w:val="24"/>
                <w:szCs w:val="24"/>
              </w:rPr>
            </w:pPr>
            <w:r>
              <w:rPr>
                <w:rFonts w:hint="eastAsia" w:eastAsiaTheme="minorEastAsia"/>
                <w:b/>
                <w:bCs/>
                <w:iCs/>
                <w:sz w:val="24"/>
                <w:szCs w:val="24"/>
              </w:rPr>
              <w:t>投资者关系活动类别</w:t>
            </w:r>
          </w:p>
          <w:p w14:paraId="36779B1C">
            <w:pPr>
              <w:spacing w:line="360" w:lineRule="auto"/>
              <w:rPr>
                <w:rFonts w:eastAsiaTheme="minorEastAsia"/>
                <w:b/>
                <w:bCs/>
                <w:iCs/>
                <w:sz w:val="24"/>
                <w:szCs w:val="24"/>
              </w:rPr>
            </w:pPr>
          </w:p>
        </w:tc>
        <w:tc>
          <w:tcPr>
            <w:tcW w:w="6614" w:type="dxa"/>
            <w:tcBorders>
              <w:top w:val="single" w:color="auto" w:sz="4" w:space="0"/>
              <w:left w:val="single" w:color="auto" w:sz="4" w:space="0"/>
              <w:bottom w:val="single" w:color="auto" w:sz="4" w:space="0"/>
              <w:right w:val="single" w:color="auto" w:sz="4" w:space="0"/>
            </w:tcBorders>
          </w:tcPr>
          <w:p w14:paraId="258642F6">
            <w:pPr>
              <w:spacing w:line="360" w:lineRule="auto"/>
              <w:rPr>
                <w:rFonts w:eastAsiaTheme="minorEastAsia"/>
                <w:bCs/>
                <w:iCs/>
                <w:sz w:val="24"/>
                <w:szCs w:val="24"/>
              </w:rPr>
            </w:pPr>
            <w:r>
              <w:rPr>
                <w:rFonts w:hint="eastAsia" w:eastAsiaTheme="minorEastAsia"/>
                <w:bCs/>
                <w:iCs/>
                <w:sz w:val="24"/>
                <w:szCs w:val="24"/>
              </w:rPr>
              <w:t>□</w:t>
            </w:r>
            <w:r>
              <w:rPr>
                <w:rFonts w:hint="eastAsia" w:eastAsiaTheme="minorEastAsia"/>
                <w:sz w:val="24"/>
                <w:szCs w:val="24"/>
              </w:rPr>
              <w:t xml:space="preserve">特定对象调研       </w:t>
            </w:r>
            <w:r>
              <w:rPr>
                <w:rFonts w:hint="eastAsia" w:eastAsiaTheme="minorEastAsia"/>
                <w:bCs/>
                <w:iCs/>
                <w:sz w:val="24"/>
                <w:szCs w:val="24"/>
              </w:rPr>
              <w:t>□</w:t>
            </w:r>
            <w:r>
              <w:rPr>
                <w:rFonts w:hint="eastAsia" w:eastAsiaTheme="minorEastAsia"/>
                <w:sz w:val="24"/>
                <w:szCs w:val="24"/>
              </w:rPr>
              <w:t>分析师会议</w:t>
            </w:r>
          </w:p>
          <w:p w14:paraId="2AC39D47">
            <w:pPr>
              <w:spacing w:line="360" w:lineRule="auto"/>
              <w:rPr>
                <w:rFonts w:eastAsiaTheme="minorEastAsia"/>
                <w:bCs/>
                <w:iCs/>
                <w:sz w:val="24"/>
                <w:szCs w:val="24"/>
              </w:rPr>
            </w:pPr>
            <w:r>
              <w:rPr>
                <w:rFonts w:hint="eastAsia" w:eastAsiaTheme="minorEastAsia"/>
                <w:bCs/>
                <w:iCs/>
                <w:sz w:val="24"/>
                <w:szCs w:val="24"/>
              </w:rPr>
              <w:t>□</w:t>
            </w:r>
            <w:r>
              <w:rPr>
                <w:rFonts w:hint="eastAsia" w:eastAsiaTheme="minorEastAsia"/>
                <w:sz w:val="24"/>
                <w:szCs w:val="24"/>
              </w:rPr>
              <w:t xml:space="preserve">媒体采访            </w:t>
            </w:r>
            <w:r>
              <w:rPr>
                <w:rFonts w:hint="eastAsia" w:eastAsiaTheme="minorEastAsia"/>
                <w:bCs/>
                <w:iCs/>
                <w:sz w:val="24"/>
                <w:szCs w:val="24"/>
              </w:rPr>
              <w:sym w:font="Wingdings 2" w:char="0052"/>
            </w:r>
            <w:r>
              <w:rPr>
                <w:rFonts w:hint="eastAsia" w:eastAsiaTheme="minorEastAsia"/>
                <w:sz w:val="24"/>
                <w:szCs w:val="24"/>
              </w:rPr>
              <w:t>业绩说明会</w:t>
            </w:r>
          </w:p>
          <w:p w14:paraId="2D757254">
            <w:pPr>
              <w:spacing w:line="360" w:lineRule="auto"/>
              <w:rPr>
                <w:rFonts w:eastAsiaTheme="minorEastAsia"/>
                <w:bCs/>
                <w:iCs/>
                <w:sz w:val="24"/>
                <w:szCs w:val="24"/>
              </w:rPr>
            </w:pPr>
            <w:r>
              <w:rPr>
                <w:rFonts w:hint="eastAsia" w:eastAsiaTheme="minorEastAsia"/>
                <w:bCs/>
                <w:iCs/>
                <w:sz w:val="24"/>
                <w:szCs w:val="24"/>
              </w:rPr>
              <w:t>□</w:t>
            </w:r>
            <w:r>
              <w:rPr>
                <w:rFonts w:hint="eastAsia" w:eastAsiaTheme="minorEastAsia"/>
                <w:sz w:val="24"/>
                <w:szCs w:val="24"/>
              </w:rPr>
              <w:t xml:space="preserve">新闻发布会          </w:t>
            </w:r>
            <w:r>
              <w:rPr>
                <w:rFonts w:hint="eastAsia" w:eastAsiaTheme="minorEastAsia"/>
                <w:bCs/>
                <w:iCs/>
                <w:sz w:val="24"/>
                <w:szCs w:val="24"/>
              </w:rPr>
              <w:t>□</w:t>
            </w:r>
            <w:r>
              <w:rPr>
                <w:rFonts w:hint="eastAsia" w:eastAsiaTheme="minorEastAsia"/>
                <w:sz w:val="24"/>
                <w:szCs w:val="24"/>
              </w:rPr>
              <w:t>路演活动</w:t>
            </w:r>
          </w:p>
          <w:p w14:paraId="0DAFC993">
            <w:pPr>
              <w:tabs>
                <w:tab w:val="left" w:pos="3045"/>
                <w:tab w:val="center" w:pos="3199"/>
              </w:tabs>
              <w:spacing w:line="360" w:lineRule="auto"/>
              <w:rPr>
                <w:rFonts w:eastAsiaTheme="minorEastAsia"/>
                <w:bCs/>
                <w:iCs/>
                <w:sz w:val="24"/>
                <w:szCs w:val="24"/>
              </w:rPr>
            </w:pPr>
            <w:r>
              <w:rPr>
                <w:rFonts w:hint="eastAsia" w:eastAsiaTheme="minorEastAsia"/>
                <w:bCs/>
                <w:iCs/>
                <w:sz w:val="24"/>
                <w:szCs w:val="24"/>
              </w:rPr>
              <w:t>□</w:t>
            </w:r>
            <w:r>
              <w:rPr>
                <w:rFonts w:hint="eastAsia" w:eastAsiaTheme="minorEastAsia"/>
                <w:sz w:val="24"/>
                <w:szCs w:val="24"/>
              </w:rPr>
              <w:t xml:space="preserve">现场参观            </w:t>
            </w:r>
            <w:r>
              <w:rPr>
                <w:rFonts w:hint="eastAsia" w:eastAsiaTheme="minorEastAsia"/>
                <w:bCs/>
                <w:iCs/>
                <w:sz w:val="24"/>
                <w:szCs w:val="24"/>
              </w:rPr>
              <w:t>□</w:t>
            </w:r>
            <w:r>
              <w:rPr>
                <w:rFonts w:hint="eastAsia" w:eastAsiaTheme="minorEastAsia"/>
                <w:sz w:val="24"/>
                <w:szCs w:val="24"/>
              </w:rPr>
              <w:t>电话会议</w:t>
            </w:r>
          </w:p>
          <w:p w14:paraId="2BD4C3B3">
            <w:pPr>
              <w:tabs>
                <w:tab w:val="center" w:pos="3199"/>
              </w:tabs>
              <w:spacing w:line="360" w:lineRule="auto"/>
              <w:rPr>
                <w:rFonts w:eastAsiaTheme="minorEastAsia"/>
                <w:bCs/>
                <w:iCs/>
                <w:sz w:val="24"/>
                <w:szCs w:val="24"/>
              </w:rPr>
            </w:pPr>
            <w:r>
              <w:rPr>
                <w:rFonts w:hint="eastAsia" w:eastAsiaTheme="minorEastAsia"/>
                <w:bCs/>
                <w:iCs/>
                <w:sz w:val="24"/>
                <w:szCs w:val="24"/>
              </w:rPr>
              <w:t>□</w:t>
            </w:r>
            <w:r>
              <w:rPr>
                <w:rFonts w:hint="eastAsia" w:eastAsiaTheme="minorEastAsia"/>
                <w:sz w:val="24"/>
                <w:szCs w:val="24"/>
              </w:rPr>
              <w:t>其他（</w:t>
            </w:r>
            <w:r>
              <w:rPr>
                <w:rFonts w:hint="eastAsia" w:eastAsiaTheme="minorEastAsia"/>
                <w:sz w:val="24"/>
                <w:szCs w:val="24"/>
                <w:u w:val="single"/>
              </w:rPr>
              <w:t>请文字说明其他活动内容）</w:t>
            </w:r>
          </w:p>
        </w:tc>
      </w:tr>
      <w:tr w14:paraId="58E36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14:paraId="576E69F5">
            <w:pPr>
              <w:spacing w:line="360" w:lineRule="auto"/>
              <w:rPr>
                <w:rFonts w:eastAsiaTheme="minorEastAsia"/>
                <w:b/>
                <w:bCs/>
                <w:iCs/>
                <w:sz w:val="24"/>
                <w:szCs w:val="24"/>
              </w:rPr>
            </w:pPr>
            <w:r>
              <w:rPr>
                <w:rFonts w:hint="eastAsia" w:eastAsiaTheme="minorEastAsia"/>
                <w:b/>
                <w:bCs/>
                <w:iCs/>
                <w:sz w:val="24"/>
                <w:szCs w:val="24"/>
              </w:rPr>
              <w:t>参与单位名称</w:t>
            </w:r>
          </w:p>
        </w:tc>
        <w:tc>
          <w:tcPr>
            <w:tcW w:w="6614" w:type="dxa"/>
            <w:tcBorders>
              <w:top w:val="single" w:color="auto" w:sz="4" w:space="0"/>
              <w:left w:val="single" w:color="auto" w:sz="4" w:space="0"/>
              <w:bottom w:val="single" w:color="auto" w:sz="4" w:space="0"/>
              <w:right w:val="single" w:color="auto" w:sz="4" w:space="0"/>
            </w:tcBorders>
            <w:shd w:val="clear" w:color="auto" w:fill="auto"/>
          </w:tcPr>
          <w:p w14:paraId="41E3BD56">
            <w:pPr>
              <w:widowControl/>
              <w:jc w:val="left"/>
              <w:rPr>
                <w:rFonts w:ascii="宋体" w:hAnsi="宋体" w:cs="宋体"/>
                <w:kern w:val="0"/>
                <w:sz w:val="24"/>
                <w:szCs w:val="24"/>
              </w:rPr>
            </w:pPr>
            <w:r>
              <w:rPr>
                <w:rFonts w:hint="eastAsia" w:ascii="宋体" w:hAnsi="宋体" w:cs="宋体"/>
                <w:kern w:val="0"/>
                <w:sz w:val="24"/>
                <w:szCs w:val="24"/>
              </w:rPr>
              <w:t>投资者网上提问</w:t>
            </w:r>
          </w:p>
        </w:tc>
      </w:tr>
      <w:tr w14:paraId="0739C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908" w:type="dxa"/>
            <w:tcBorders>
              <w:top w:val="single" w:color="auto" w:sz="4" w:space="0"/>
              <w:left w:val="single" w:color="auto" w:sz="4" w:space="0"/>
              <w:bottom w:val="single" w:color="auto" w:sz="4" w:space="0"/>
              <w:right w:val="single" w:color="auto" w:sz="4" w:space="0"/>
            </w:tcBorders>
            <w:vAlign w:val="center"/>
          </w:tcPr>
          <w:p w14:paraId="26882889">
            <w:pPr>
              <w:spacing w:line="360" w:lineRule="auto"/>
              <w:rPr>
                <w:rFonts w:eastAsiaTheme="minorEastAsia"/>
                <w:b/>
                <w:bCs/>
                <w:iCs/>
                <w:sz w:val="24"/>
                <w:szCs w:val="24"/>
              </w:rPr>
            </w:pPr>
            <w:r>
              <w:rPr>
                <w:rFonts w:hint="eastAsia" w:eastAsiaTheme="minorEastAsia"/>
                <w:b/>
                <w:bCs/>
                <w:iCs/>
                <w:sz w:val="24"/>
                <w:szCs w:val="24"/>
              </w:rPr>
              <w:t>时间</w:t>
            </w:r>
          </w:p>
        </w:tc>
        <w:tc>
          <w:tcPr>
            <w:tcW w:w="6614" w:type="dxa"/>
            <w:tcBorders>
              <w:top w:val="single" w:color="auto" w:sz="4" w:space="0"/>
              <w:left w:val="single" w:color="auto" w:sz="4" w:space="0"/>
              <w:bottom w:val="single" w:color="auto" w:sz="4" w:space="0"/>
              <w:right w:val="single" w:color="auto" w:sz="4" w:space="0"/>
            </w:tcBorders>
            <w:vAlign w:val="center"/>
          </w:tcPr>
          <w:p w14:paraId="5087DD18">
            <w:pPr>
              <w:spacing w:line="360" w:lineRule="auto"/>
              <w:rPr>
                <w:rFonts w:eastAsiaTheme="minorEastAsia"/>
                <w:bCs/>
                <w:iCs/>
                <w:sz w:val="24"/>
                <w:szCs w:val="24"/>
              </w:rPr>
            </w:pPr>
            <w:r>
              <w:rPr>
                <w:rFonts w:hint="eastAsia" w:eastAsiaTheme="minorEastAsia"/>
                <w:bCs/>
                <w:iCs/>
                <w:sz w:val="24"/>
                <w:szCs w:val="24"/>
              </w:rPr>
              <w:t>202</w:t>
            </w:r>
            <w:r>
              <w:rPr>
                <w:rFonts w:eastAsiaTheme="minorEastAsia"/>
                <w:bCs/>
                <w:iCs/>
                <w:sz w:val="24"/>
                <w:szCs w:val="24"/>
              </w:rPr>
              <w:t>6</w:t>
            </w:r>
            <w:r>
              <w:rPr>
                <w:rFonts w:hint="eastAsia" w:eastAsiaTheme="minorEastAsia"/>
                <w:bCs/>
                <w:iCs/>
                <w:sz w:val="24"/>
                <w:szCs w:val="24"/>
              </w:rPr>
              <w:t>年5月8日（周五）下午1</w:t>
            </w:r>
            <w:r>
              <w:rPr>
                <w:rFonts w:eastAsiaTheme="minorEastAsia"/>
                <w:bCs/>
                <w:iCs/>
                <w:sz w:val="24"/>
                <w:szCs w:val="24"/>
              </w:rPr>
              <w:t>5</w:t>
            </w:r>
            <w:r>
              <w:rPr>
                <w:rFonts w:hint="eastAsia" w:eastAsiaTheme="minorEastAsia"/>
                <w:bCs/>
                <w:iCs/>
                <w:sz w:val="24"/>
                <w:szCs w:val="24"/>
              </w:rPr>
              <w:t>：0</w:t>
            </w:r>
            <w:r>
              <w:rPr>
                <w:rFonts w:eastAsiaTheme="minorEastAsia"/>
                <w:bCs/>
                <w:iCs/>
                <w:sz w:val="24"/>
                <w:szCs w:val="24"/>
              </w:rPr>
              <w:t>0</w:t>
            </w:r>
            <w:r>
              <w:rPr>
                <w:rFonts w:hint="eastAsia" w:eastAsiaTheme="minorEastAsia"/>
                <w:bCs/>
                <w:iCs/>
                <w:sz w:val="24"/>
                <w:szCs w:val="24"/>
              </w:rPr>
              <w:t>—1</w:t>
            </w:r>
            <w:r>
              <w:rPr>
                <w:rFonts w:eastAsiaTheme="minorEastAsia"/>
                <w:bCs/>
                <w:iCs/>
                <w:sz w:val="24"/>
                <w:szCs w:val="24"/>
              </w:rPr>
              <w:t>7</w:t>
            </w:r>
            <w:r>
              <w:rPr>
                <w:rFonts w:hint="eastAsia" w:eastAsiaTheme="minorEastAsia"/>
                <w:bCs/>
                <w:iCs/>
                <w:sz w:val="24"/>
                <w:szCs w:val="24"/>
              </w:rPr>
              <w:t>：0</w:t>
            </w:r>
            <w:r>
              <w:rPr>
                <w:rFonts w:eastAsiaTheme="minorEastAsia"/>
                <w:bCs/>
                <w:iCs/>
                <w:sz w:val="24"/>
                <w:szCs w:val="24"/>
              </w:rPr>
              <w:t>0</w:t>
            </w:r>
          </w:p>
        </w:tc>
      </w:tr>
      <w:tr w14:paraId="5CDB4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4F78109E">
            <w:pPr>
              <w:spacing w:line="360" w:lineRule="auto"/>
              <w:rPr>
                <w:rFonts w:eastAsiaTheme="minorEastAsia"/>
                <w:b/>
                <w:bCs/>
                <w:iCs/>
                <w:sz w:val="24"/>
                <w:szCs w:val="24"/>
              </w:rPr>
            </w:pPr>
            <w:r>
              <w:rPr>
                <w:rFonts w:hint="eastAsia" w:eastAsiaTheme="minorEastAsia"/>
                <w:b/>
                <w:bCs/>
                <w:iCs/>
                <w:sz w:val="24"/>
                <w:szCs w:val="24"/>
              </w:rPr>
              <w:t>参会方式</w:t>
            </w:r>
          </w:p>
        </w:tc>
        <w:tc>
          <w:tcPr>
            <w:tcW w:w="6614" w:type="dxa"/>
            <w:tcBorders>
              <w:top w:val="single" w:color="auto" w:sz="4" w:space="0"/>
              <w:left w:val="single" w:color="auto" w:sz="4" w:space="0"/>
              <w:bottom w:val="single" w:color="auto" w:sz="4" w:space="0"/>
              <w:right w:val="single" w:color="auto" w:sz="4" w:space="0"/>
            </w:tcBorders>
            <w:vAlign w:val="center"/>
          </w:tcPr>
          <w:p w14:paraId="4C2259C9">
            <w:pPr>
              <w:spacing w:line="360" w:lineRule="auto"/>
              <w:rPr>
                <w:rFonts w:eastAsiaTheme="minorEastAsia"/>
                <w:bCs/>
                <w:iCs/>
                <w:sz w:val="24"/>
                <w:szCs w:val="24"/>
              </w:rPr>
            </w:pPr>
            <w:r>
              <w:rPr>
                <w:rFonts w:hint="eastAsia" w:eastAsiaTheme="minorEastAsia"/>
                <w:bCs/>
                <w:iCs/>
                <w:sz w:val="24"/>
                <w:szCs w:val="24"/>
              </w:rPr>
              <w:t>公司通过全景网“投资者关系互动平台”（https://ir.p5w.net）采用网络远程的方式召开业绩说明会</w:t>
            </w:r>
          </w:p>
        </w:tc>
      </w:tr>
      <w:tr w14:paraId="38F3A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14:paraId="6410250D">
            <w:pPr>
              <w:spacing w:line="360" w:lineRule="auto"/>
              <w:rPr>
                <w:rFonts w:eastAsiaTheme="minorEastAsia"/>
                <w:b/>
                <w:bCs/>
                <w:iCs/>
                <w:sz w:val="24"/>
                <w:szCs w:val="24"/>
              </w:rPr>
            </w:pPr>
            <w:r>
              <w:rPr>
                <w:rFonts w:hint="eastAsia" w:eastAsiaTheme="minorEastAsia"/>
                <w:b/>
                <w:bCs/>
                <w:iCs/>
                <w:sz w:val="24"/>
                <w:szCs w:val="24"/>
              </w:rPr>
              <w:t>上市公司接待人员姓名</w:t>
            </w:r>
          </w:p>
        </w:tc>
        <w:tc>
          <w:tcPr>
            <w:tcW w:w="6614" w:type="dxa"/>
            <w:tcBorders>
              <w:top w:val="single" w:color="auto" w:sz="4" w:space="0"/>
              <w:left w:val="single" w:color="auto" w:sz="4" w:space="0"/>
              <w:bottom w:val="single" w:color="auto" w:sz="4" w:space="0"/>
              <w:right w:val="single" w:color="auto" w:sz="4" w:space="0"/>
            </w:tcBorders>
          </w:tcPr>
          <w:p w14:paraId="2F07D4D1">
            <w:pPr>
              <w:spacing w:line="360" w:lineRule="auto"/>
              <w:rPr>
                <w:rFonts w:eastAsiaTheme="minorEastAsia"/>
                <w:bCs/>
                <w:iCs/>
                <w:sz w:val="24"/>
                <w:szCs w:val="24"/>
              </w:rPr>
            </w:pPr>
            <w:r>
              <w:rPr>
                <w:rFonts w:hint="eastAsia" w:eastAsiaTheme="minorEastAsia"/>
                <w:bCs/>
                <w:iCs/>
                <w:sz w:val="24"/>
                <w:szCs w:val="24"/>
              </w:rPr>
              <w:t>1、董事，首席执行官刘占杰</w:t>
            </w:r>
          </w:p>
          <w:p w14:paraId="683BAFA4">
            <w:pPr>
              <w:spacing w:line="360" w:lineRule="auto"/>
              <w:rPr>
                <w:rFonts w:eastAsiaTheme="minorEastAsia"/>
                <w:bCs/>
                <w:iCs/>
                <w:sz w:val="24"/>
                <w:szCs w:val="24"/>
              </w:rPr>
            </w:pPr>
            <w:r>
              <w:rPr>
                <w:rFonts w:hint="eastAsia" w:eastAsiaTheme="minorEastAsia"/>
                <w:bCs/>
                <w:iCs/>
                <w:sz w:val="24"/>
                <w:szCs w:val="24"/>
              </w:rPr>
              <w:t>2、首席财务官莫瑞娟</w:t>
            </w:r>
          </w:p>
          <w:p w14:paraId="5A6A3EAF">
            <w:pPr>
              <w:spacing w:line="360" w:lineRule="auto"/>
              <w:rPr>
                <w:rFonts w:eastAsiaTheme="minorEastAsia"/>
                <w:bCs/>
                <w:iCs/>
                <w:sz w:val="24"/>
                <w:szCs w:val="24"/>
              </w:rPr>
            </w:pPr>
            <w:r>
              <w:rPr>
                <w:rFonts w:hint="eastAsia" w:eastAsiaTheme="minorEastAsia"/>
                <w:bCs/>
                <w:iCs/>
                <w:sz w:val="24"/>
                <w:szCs w:val="24"/>
              </w:rPr>
              <w:t>3、董事会秘书黄艳莉</w:t>
            </w:r>
          </w:p>
        </w:tc>
      </w:tr>
      <w:tr w14:paraId="39B99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908" w:type="dxa"/>
            <w:tcBorders>
              <w:top w:val="single" w:color="auto" w:sz="4" w:space="0"/>
              <w:left w:val="single" w:color="auto" w:sz="4" w:space="0"/>
              <w:bottom w:val="single" w:color="auto" w:sz="4" w:space="0"/>
              <w:right w:val="single" w:color="auto" w:sz="4" w:space="0"/>
            </w:tcBorders>
            <w:vAlign w:val="center"/>
          </w:tcPr>
          <w:p w14:paraId="4981A274">
            <w:pPr>
              <w:spacing w:line="480" w:lineRule="atLeast"/>
              <w:rPr>
                <w:rFonts w:eastAsiaTheme="minorEastAsia"/>
                <w:b/>
                <w:bCs/>
                <w:iCs/>
                <w:sz w:val="24"/>
                <w:szCs w:val="24"/>
              </w:rPr>
            </w:pPr>
            <w:r>
              <w:rPr>
                <w:rFonts w:hint="eastAsia" w:eastAsiaTheme="minorEastAsia"/>
                <w:b/>
                <w:bCs/>
                <w:iCs/>
                <w:sz w:val="24"/>
                <w:szCs w:val="24"/>
              </w:rPr>
              <w:t>投资者关系活动主要内容介绍</w:t>
            </w:r>
          </w:p>
        </w:tc>
        <w:tc>
          <w:tcPr>
            <w:tcW w:w="6614" w:type="dxa"/>
            <w:tcBorders>
              <w:top w:val="single" w:color="auto" w:sz="4" w:space="0"/>
              <w:left w:val="single" w:color="auto" w:sz="4" w:space="0"/>
              <w:bottom w:val="single" w:color="auto" w:sz="4" w:space="0"/>
              <w:right w:val="single" w:color="auto" w:sz="4" w:space="0"/>
            </w:tcBorders>
          </w:tcPr>
          <w:p w14:paraId="3341396C">
            <w:pPr>
              <w:spacing w:before="156" w:beforeLines="50" w:line="400" w:lineRule="exact"/>
              <w:ind w:firstLine="482" w:firstLineChars="200"/>
              <w:rPr>
                <w:rFonts w:ascii="宋体" w:hAnsi="宋体" w:cs="方正仿宋_GB2312"/>
                <w:b/>
                <w:sz w:val="24"/>
                <w:szCs w:val="24"/>
              </w:rPr>
            </w:pPr>
            <w:r>
              <w:rPr>
                <w:rFonts w:hint="eastAsia" w:ascii="宋体" w:hAnsi="宋体" w:cs="方正仿宋_GB2312"/>
                <w:b/>
                <w:sz w:val="24"/>
                <w:szCs w:val="24"/>
              </w:rPr>
              <w:t>问题一：请问公司对于收并购的子公司，如何赋能其未来进一步的产品研发？</w:t>
            </w:r>
          </w:p>
          <w:p w14:paraId="5FE2DB07">
            <w:pPr>
              <w:spacing w:before="156" w:beforeLines="50" w:line="400" w:lineRule="exact"/>
              <w:ind w:firstLine="480" w:firstLineChars="200"/>
              <w:jc w:val="left"/>
              <w:rPr>
                <w:rFonts w:ascii="宋体" w:hAnsi="宋体" w:cs="方正仿宋_GB2312"/>
                <w:sz w:val="24"/>
                <w:szCs w:val="24"/>
              </w:rPr>
            </w:pPr>
            <w:r>
              <w:rPr>
                <w:rFonts w:hint="eastAsia" w:ascii="宋体" w:hAnsi="宋体" w:cs="方正仿宋_GB2312"/>
                <w:sz w:val="24"/>
                <w:szCs w:val="24"/>
              </w:rPr>
              <w:t>答：尊敬的投资者您好，公司至今已经开展了6起核心产业并购，不仅通过产品线的拓展做深了用户价值，更在实践中锻造了系统性的并购整合能力。公司围绕用户需求持续丰富产品方案矩阵、拓宽业务边界，2025年国内市场复购用户占比达40%。在实战中，公司逐渐构筑起涵盖“选/并/补/强”的“同心圆”并购与运营体系，通过供应链、研发与市场体系的全球协同，实现了并购业务两个“30”的突破，即并购业务对公司收入贡献超30%，并购业务整体收入复合增长率约30%。</w:t>
            </w:r>
          </w:p>
          <w:p w14:paraId="3CC46400">
            <w:pPr>
              <w:spacing w:before="156" w:beforeLines="50" w:line="400" w:lineRule="exact"/>
              <w:ind w:firstLine="480" w:firstLineChars="200"/>
              <w:rPr>
                <w:rFonts w:hint="eastAsia" w:ascii="宋体" w:hAnsi="宋体" w:cs="方正仿宋_GB2312"/>
                <w:sz w:val="24"/>
                <w:szCs w:val="24"/>
              </w:rPr>
            </w:pPr>
            <w:r>
              <w:rPr>
                <w:rFonts w:hint="eastAsia" w:ascii="宋体" w:hAnsi="宋体" w:cs="方正仿宋_GB2312"/>
                <w:sz w:val="24"/>
                <w:szCs w:val="24"/>
              </w:rPr>
              <w:t>在同心圆体系的赋能下，智慧用药产业（海尔生物医疗科技（苏州）公司）通过技术平台的交叉融合，研发产品管线扩增至并购前的2倍，营业收入复合增长率实现高双位数，并依托上市公司海外渠道，积极布局东南亚、欧洲市场，成为国产品牌出海领跑者。分析仪器业务（上海元析仪器）自并购后研发技术管线扩增至并购前的1倍，发明专利获授数量增长近3倍，核心产品分别位居国产第一、第二市场份额，整合效应初步显现。血液技术产业（海尔血技（重庆））在一次性使用去白细胞塑料血袋取得III类医疗器械注册证的基础上，进一步获得国内首张血浆分离设备欧盟MDR认证，加快血液技术产业出海步伐，并购后复合增长率达双位数（2020年-2025年），产能提升2倍，稳居中国第一市场地位。液氮罐业务（海尔生物医疗科技（成都））自2018年并购后营业收入复合增长率超20%，建成亚太地区最大的液氮罐生产基地，依托上市公司渠道复用，其产品方案远销海外，获得英国高校科研机构及美国生物制药企业的认可。感谢您的关注！</w:t>
            </w:r>
          </w:p>
          <w:p w14:paraId="4DB9BEC2">
            <w:pPr>
              <w:spacing w:line="400" w:lineRule="exact"/>
              <w:ind w:firstLine="482" w:firstLineChars="200"/>
              <w:rPr>
                <w:rFonts w:ascii="宋体" w:hAnsi="宋体" w:cs="方正仿宋_GB2312"/>
                <w:b/>
                <w:sz w:val="24"/>
                <w:szCs w:val="24"/>
              </w:rPr>
            </w:pPr>
            <w:r>
              <w:rPr>
                <w:rFonts w:hint="eastAsia" w:ascii="宋体" w:hAnsi="宋体" w:cs="方正仿宋_GB2312"/>
                <w:b/>
                <w:sz w:val="24"/>
                <w:szCs w:val="24"/>
              </w:rPr>
              <w:t>问题二：全自动细胞工作站市场情况怎么样，是公司未来的增长点吗？</w:t>
            </w:r>
          </w:p>
          <w:p w14:paraId="69D7E7D3">
            <w:pPr>
              <w:spacing w:line="400" w:lineRule="exact"/>
              <w:ind w:firstLine="480" w:firstLineChars="200"/>
              <w:rPr>
                <w:rFonts w:ascii="宋体" w:hAnsi="宋体" w:cs="方正仿宋_GB2312"/>
                <w:sz w:val="24"/>
                <w:szCs w:val="24"/>
              </w:rPr>
            </w:pPr>
            <w:r>
              <w:rPr>
                <w:rFonts w:hint="eastAsia" w:ascii="宋体" w:hAnsi="宋体" w:cs="方正仿宋_GB2312"/>
                <w:sz w:val="24"/>
                <w:szCs w:val="24"/>
              </w:rPr>
              <w:t>答：尊敬的投资者您好，随着818号令《生物医学新技术临床研究和临床转化应用管理条例》等相关条例的推出，细胞治疗领域作为精准医疗的重要方向将迎来合规发展的黄金时代。在传统模式中，细胞培养主要依赖人力，然而这也造成了产能低下、差异显著、易于污染、难以追溯以及质量无法控制等弊端。针对上述难题，海尔生物的全自动AI细胞培养工作站对细胞制备的全流程进行了重塑。通过营造全封闭的A级动态洁净环境，细胞活率达到了≥95%；所有细胞培养步骤实现了自动化与一体化，智能体“AI 细胞之眼”与自动化设备紧密配合，能够 24 小时不间断地进行细胞识别与辅助分析，批次差异≤4%；这个过程中AI实时监控所有数据，一旦出现异常便可自主决策调整，全流程自动记录数据并可追溯，这些数据成为研发以及合规的重要资料，生产效率提升了150%以上。这项技术已荣获国家“颠覆性技术创新大赛”最高奖项以及“山东省科技进步一等奖”，并已在多家顶尖细胞药企或研发机构得到应用。</w:t>
            </w:r>
          </w:p>
          <w:p w14:paraId="1AE57135">
            <w:pPr>
              <w:spacing w:before="156" w:beforeLines="50" w:line="400" w:lineRule="exact"/>
              <w:ind w:firstLine="480" w:firstLineChars="200"/>
              <w:rPr>
                <w:rFonts w:hint="eastAsia" w:ascii="宋体" w:hAnsi="宋体" w:cs="方正仿宋_GB2312"/>
                <w:sz w:val="24"/>
                <w:szCs w:val="24"/>
              </w:rPr>
            </w:pPr>
            <w:r>
              <w:rPr>
                <w:rFonts w:hint="eastAsia" w:ascii="宋体" w:hAnsi="宋体" w:cs="方正仿宋_GB2312"/>
                <w:sz w:val="24"/>
                <w:szCs w:val="24"/>
              </w:rPr>
              <w:t>AI自动化为用户带来的不仅仅是优化，而可能是颠覆式效率革新。截至2</w:t>
            </w:r>
            <w:r>
              <w:rPr>
                <w:rFonts w:ascii="宋体" w:hAnsi="宋体" w:cs="方正仿宋_GB2312"/>
                <w:sz w:val="24"/>
                <w:szCs w:val="24"/>
              </w:rPr>
              <w:t>025</w:t>
            </w:r>
            <w:r>
              <w:rPr>
                <w:rFonts w:hint="eastAsia" w:ascii="宋体" w:hAnsi="宋体" w:cs="方正仿宋_GB2312"/>
                <w:sz w:val="24"/>
                <w:szCs w:val="24"/>
              </w:rPr>
              <w:t>年，含全自动细胞培养工作站在内，公司AI相关收入占整体收入比重达15%，较2024年提升2.5个百分点。感谢您的关注！</w:t>
            </w:r>
          </w:p>
          <w:p w14:paraId="4CB41362">
            <w:pPr>
              <w:spacing w:before="156" w:beforeLines="50" w:line="400" w:lineRule="exact"/>
              <w:ind w:firstLine="482" w:firstLineChars="200"/>
              <w:rPr>
                <w:rFonts w:ascii="宋体" w:hAnsi="宋体"/>
                <w:sz w:val="24"/>
                <w:szCs w:val="24"/>
              </w:rPr>
            </w:pPr>
            <w:r>
              <w:rPr>
                <w:rFonts w:hint="eastAsia" w:ascii="宋体" w:hAnsi="宋体" w:cs="方正仿宋_GB2312"/>
                <w:b/>
                <w:sz w:val="24"/>
                <w:szCs w:val="24"/>
              </w:rPr>
              <w:t>问题三：上海研发中心是做什么研发？</w:t>
            </w:r>
          </w:p>
          <w:p w14:paraId="33586367">
            <w:pPr>
              <w:spacing w:line="400" w:lineRule="exact"/>
              <w:ind w:firstLine="480" w:firstLineChars="200"/>
              <w:rPr>
                <w:rFonts w:hint="eastAsia" w:ascii="宋体" w:hAnsi="宋体" w:cs="方正仿宋_GB2312"/>
                <w:sz w:val="24"/>
                <w:szCs w:val="24"/>
              </w:rPr>
            </w:pPr>
            <w:r>
              <w:rPr>
                <w:rFonts w:hint="eastAsia" w:ascii="宋体" w:hAnsi="宋体" w:cs="方正仿宋_GB2312"/>
                <w:sz w:val="24"/>
                <w:szCs w:val="24"/>
              </w:rPr>
              <w:t>答：尊敬的投资者您好，上海研发中心的设立是为了支撑公司AI+战略的落地，实现从单品物联向AI+产品一体化、AI+场景一体化，最终实现AI+全链路一体化的演进。上海研发中心将作为AI+场景一体化及AI+全链路一体化阶段的顶层设计中心，负责全链路数智化的技术攻关，并通过与遨博、紫东太初、阿里云等伙伴的战略合作，共同构建“AI+数据+机器人+设备+应用”的生态共创平台。</w:t>
            </w:r>
          </w:p>
          <w:p w14:paraId="60EA4739">
            <w:pPr>
              <w:spacing w:line="400" w:lineRule="exact"/>
              <w:ind w:firstLine="480" w:firstLineChars="200"/>
              <w:rPr>
                <w:rFonts w:ascii="宋体" w:hAnsi="宋体" w:cs="方正仿宋_GB2312"/>
                <w:sz w:val="24"/>
                <w:szCs w:val="24"/>
              </w:rPr>
            </w:pPr>
            <w:r>
              <w:rPr>
                <w:rFonts w:hint="eastAsia" w:ascii="宋体" w:hAnsi="宋体" w:cs="方正仿宋_GB2312"/>
                <w:sz w:val="24"/>
                <w:szCs w:val="24"/>
              </w:rPr>
              <w:t>2025年，公司AI相关收入占整体收入比重达15%，较2024年提升2.5个百分点；搭载“AI细胞之眼”全自动细胞工作站获工信部“颠覆性技术创新大赛”最高奖项优胜奖；搭载AI辅助决策系统的药房解决方案，已在多家大型医疗机构落地应用。感谢您的关注！</w:t>
            </w:r>
          </w:p>
          <w:p w14:paraId="4D6468A0">
            <w:pPr>
              <w:spacing w:before="156" w:beforeLines="50" w:line="400" w:lineRule="exact"/>
              <w:ind w:firstLine="482" w:firstLineChars="200"/>
              <w:rPr>
                <w:rFonts w:ascii="宋体" w:hAnsi="宋体"/>
                <w:sz w:val="24"/>
                <w:szCs w:val="24"/>
              </w:rPr>
            </w:pPr>
            <w:r>
              <w:rPr>
                <w:rFonts w:hint="eastAsia" w:ascii="宋体" w:hAnsi="宋体" w:cs="方正仿宋_GB2312"/>
                <w:b/>
                <w:sz w:val="24"/>
                <w:szCs w:val="24"/>
              </w:rPr>
              <w:t>问题四：公司制冷产品不能切入液冷领域吗</w:t>
            </w:r>
          </w:p>
          <w:p w14:paraId="3B191C6E">
            <w:pPr>
              <w:spacing w:line="400" w:lineRule="exact"/>
              <w:ind w:firstLine="480" w:firstLineChars="200"/>
              <w:rPr>
                <w:rFonts w:ascii="宋体" w:hAnsi="宋体" w:cs="方正仿宋_GB2312"/>
                <w:sz w:val="24"/>
                <w:szCs w:val="24"/>
              </w:rPr>
            </w:pPr>
            <w:r>
              <w:rPr>
                <w:rFonts w:hint="eastAsia" w:ascii="宋体" w:hAnsi="宋体" w:cs="方正仿宋_GB2312"/>
                <w:sz w:val="24"/>
                <w:szCs w:val="24"/>
              </w:rPr>
              <w:t>答：尊敬的投资者您好，公司正在构建多元科创体系，以自研、共研、孵化等方式布局新一代制冷技术，建立全温域制冷能力，在巩固低温存储全球引领地位的同时，探索低温技术在前沿科技领域的应用拓展。具体内容请您参考《海尔生物2025年年度报告》，感谢您的关注！</w:t>
            </w:r>
          </w:p>
          <w:p w14:paraId="36E28D49">
            <w:pPr>
              <w:spacing w:before="156" w:beforeLines="50" w:line="400" w:lineRule="exact"/>
              <w:ind w:firstLine="482" w:firstLineChars="200"/>
              <w:rPr>
                <w:rFonts w:ascii="宋体" w:hAnsi="宋体" w:cs="方正仿宋_GB2312"/>
                <w:b/>
                <w:sz w:val="24"/>
                <w:szCs w:val="24"/>
              </w:rPr>
            </w:pPr>
            <w:r>
              <w:rPr>
                <w:rFonts w:hint="eastAsia" w:ascii="宋体" w:hAnsi="宋体" w:cs="方正仿宋_GB2312"/>
                <w:b/>
                <w:sz w:val="24"/>
                <w:szCs w:val="24"/>
              </w:rPr>
              <w:t>问题</w:t>
            </w:r>
            <w:r>
              <w:rPr>
                <w:rFonts w:hint="eastAsia" w:ascii="宋体" w:hAnsi="宋体" w:cs="方正仿宋_GB2312"/>
                <w:b/>
                <w:sz w:val="24"/>
                <w:szCs w:val="24"/>
                <w:lang w:val="en-US" w:eastAsia="zh-CN"/>
              </w:rPr>
              <w:t>五</w:t>
            </w:r>
            <w:r>
              <w:rPr>
                <w:rFonts w:hint="eastAsia" w:ascii="宋体" w:hAnsi="宋体" w:cs="方正仿宋_GB2312"/>
                <w:b/>
                <w:sz w:val="24"/>
                <w:szCs w:val="24"/>
              </w:rPr>
              <w:t>：公司产品能应用于半导体产业吗？</w:t>
            </w:r>
          </w:p>
          <w:p w14:paraId="064C443D">
            <w:pPr>
              <w:spacing w:before="156" w:beforeLines="50" w:line="400" w:lineRule="exact"/>
              <w:ind w:firstLine="480" w:firstLineChars="200"/>
              <w:rPr>
                <w:rFonts w:hint="eastAsia" w:ascii="宋体" w:hAnsi="宋体" w:cs="方正仿宋_GB2312"/>
                <w:sz w:val="24"/>
                <w:szCs w:val="24"/>
              </w:rPr>
            </w:pPr>
            <w:r>
              <w:rPr>
                <w:rFonts w:hint="eastAsia" w:ascii="宋体" w:hAnsi="宋体" w:cs="方正仿宋_GB2312"/>
                <w:sz w:val="24"/>
                <w:szCs w:val="24"/>
              </w:rPr>
              <w:t>答：尊敬的投资者您好，公司秉承“科技守护生命”的使命，锚定“全球信赖的生命科学世界级品牌”的愿景，致力于成为全球引领的一体化生命科学工具与智能生产力平台提供商。同时，公司聚焦全球用户需求，正构建多元科创体系，以自研、共研、孵化等方式布局新一代制冷技术，建立全温域制冷能力，在巩固低温存储全球引领地位的同时，探索低温技术在前沿科技领域的应用拓展。具体内容请您参考《海尔生物2025年年度报告》，感谢您的关注！</w:t>
            </w:r>
          </w:p>
          <w:p w14:paraId="778EE7DD">
            <w:pPr>
              <w:spacing w:line="400" w:lineRule="exact"/>
              <w:ind w:firstLine="482" w:firstLineChars="200"/>
              <w:rPr>
                <w:rFonts w:ascii="宋体" w:hAnsi="宋体" w:cs="方正仿宋_GB2312"/>
                <w:b/>
                <w:sz w:val="24"/>
                <w:szCs w:val="24"/>
              </w:rPr>
            </w:pPr>
            <w:r>
              <w:rPr>
                <w:rFonts w:hint="eastAsia" w:ascii="宋体" w:hAnsi="宋体" w:cs="方正仿宋_GB2312"/>
                <w:b/>
                <w:sz w:val="24"/>
                <w:szCs w:val="24"/>
              </w:rPr>
              <w:t>问题</w:t>
            </w:r>
            <w:r>
              <w:rPr>
                <w:rFonts w:hint="eastAsia" w:ascii="宋体" w:hAnsi="宋体" w:cs="方正仿宋_GB2312"/>
                <w:b/>
                <w:sz w:val="24"/>
                <w:szCs w:val="24"/>
                <w:lang w:val="en-US" w:eastAsia="zh-CN"/>
              </w:rPr>
              <w:t>六</w:t>
            </w:r>
            <w:r>
              <w:rPr>
                <w:rFonts w:hint="eastAsia" w:ascii="宋体" w:hAnsi="宋体" w:cs="方正仿宋_GB2312"/>
                <w:b/>
                <w:sz w:val="24"/>
                <w:szCs w:val="24"/>
              </w:rPr>
              <w:t>：公司海外市场的发展历程是怎样的？凭什么能长期维持高增长？</w:t>
            </w:r>
          </w:p>
          <w:p w14:paraId="20C146B2">
            <w:pPr>
              <w:spacing w:line="400" w:lineRule="exact"/>
              <w:ind w:firstLine="480" w:firstLineChars="200"/>
              <w:rPr>
                <w:rFonts w:hint="eastAsia" w:ascii="宋体" w:hAnsi="宋体" w:cs="方正仿宋_GB2312"/>
                <w:sz w:val="24"/>
                <w:szCs w:val="24"/>
              </w:rPr>
            </w:pPr>
            <w:r>
              <w:rPr>
                <w:rFonts w:hint="eastAsia" w:ascii="宋体" w:hAnsi="宋体" w:cs="方正仿宋_GB2312"/>
                <w:sz w:val="24"/>
                <w:szCs w:val="24"/>
              </w:rPr>
              <w:t>答：尊敬的投资者您好，公司有信心保持海外业务的持续快速增长，主要基于海尔生物长期以来形成的海外竞争优势，以及清晰的海外增长战略。</w:t>
            </w:r>
          </w:p>
          <w:p w14:paraId="197DB6A8">
            <w:pPr>
              <w:spacing w:line="400" w:lineRule="exact"/>
              <w:ind w:firstLine="480" w:firstLineChars="200"/>
              <w:rPr>
                <w:rFonts w:hint="eastAsia" w:ascii="宋体" w:hAnsi="宋体" w:cs="方正仿宋_GB2312"/>
                <w:sz w:val="24"/>
                <w:szCs w:val="24"/>
              </w:rPr>
            </w:pPr>
            <w:r>
              <w:rPr>
                <w:rFonts w:hint="eastAsia" w:ascii="宋体" w:hAnsi="宋体" w:cs="方正仿宋_GB2312"/>
                <w:sz w:val="24"/>
                <w:szCs w:val="24"/>
              </w:rPr>
              <w:t>海尔生物出海十余年，经历了从抓项目机会，到布局网络能力，再到在地化深耕3个阶段，始终保持领先一步，过去十年复合增长率超过20%。目前，公司已经在全球160多个国家建设超800家活跃网络，新品类在网络生态中加速发展，在地化进程发展迅猛，在欧洲已经落地仓储、服务、销售、营销、应用支持、企划等终端能力，在美国、南亚、东亚、东南亚等核心区域也在分布部署。</w:t>
            </w:r>
          </w:p>
          <w:p w14:paraId="13E678EA">
            <w:pPr>
              <w:spacing w:line="400" w:lineRule="exact"/>
              <w:ind w:firstLine="480" w:firstLineChars="200"/>
              <w:rPr>
                <w:rFonts w:ascii="宋体" w:hAnsi="宋体" w:cs="方正仿宋_GB2312"/>
                <w:sz w:val="24"/>
                <w:szCs w:val="24"/>
              </w:rPr>
            </w:pPr>
            <w:r>
              <w:rPr>
                <w:rFonts w:hint="eastAsia" w:ascii="宋体" w:hAnsi="宋体" w:cs="方正仿宋_GB2312"/>
                <w:sz w:val="24"/>
                <w:szCs w:val="24"/>
              </w:rPr>
              <w:t>未来，公司海外业务的增长主要来自3个方面：</w:t>
            </w:r>
          </w:p>
          <w:p w14:paraId="03A1FBF4">
            <w:pPr>
              <w:spacing w:line="400" w:lineRule="exact"/>
              <w:ind w:firstLine="480" w:firstLineChars="200"/>
              <w:rPr>
                <w:rFonts w:hint="eastAsia" w:ascii="宋体" w:hAnsi="宋体" w:cs="方正仿宋_GB2312"/>
                <w:sz w:val="24"/>
                <w:szCs w:val="24"/>
              </w:rPr>
            </w:pPr>
            <w:r>
              <w:rPr>
                <w:rFonts w:hint="eastAsia" w:ascii="宋体" w:hAnsi="宋体" w:cs="方正仿宋_GB2312"/>
                <w:sz w:val="24"/>
                <w:szCs w:val="24"/>
              </w:rPr>
              <w:t>（1）体量大的成熟市场和增量大的新兴市场。一季度公司德国、澳大利亚、加拿大等高端核心市场增速超50%，东欧、南亚、巴西等新兴增量市场增速亮眼翻倍增长。在欧美为主的存量市场，通过高端系列牵引实现了高速增长，但是从市场体量来看，即使是公司最具优势的超低温品类，市场占比仍然不足10%，发展空间巨大。在亚太、东欧、拉美等增量市场，凭借场景方案能力和丰富的产品矩阵，抓住新建医疗机构、科研机构、生物制药等发展机会，区域规模快速拉升。</w:t>
            </w:r>
          </w:p>
          <w:p w14:paraId="784B7523">
            <w:pPr>
              <w:spacing w:line="400" w:lineRule="exact"/>
              <w:ind w:firstLine="480" w:firstLineChars="200"/>
              <w:rPr>
                <w:rFonts w:hint="eastAsia" w:ascii="宋体" w:hAnsi="宋体" w:cs="方正仿宋_GB2312"/>
                <w:sz w:val="24"/>
                <w:szCs w:val="24"/>
              </w:rPr>
            </w:pPr>
            <w:r>
              <w:rPr>
                <w:rFonts w:hint="eastAsia" w:ascii="宋体" w:hAnsi="宋体" w:cs="方正仿宋_GB2312"/>
                <w:sz w:val="24"/>
                <w:szCs w:val="24"/>
              </w:rPr>
              <w:t>（2）景气度高的制药用户。一季度，除了医疗、科研、工业等用户，海尔生物积极耕耘生物制药领域，并且取得积极效果。截至目前，公司已经进入6家全球Top25的药企，在新加坡、瑞士、德国、意大利、丹麦等8个国家打开市场，交付低温存储及实验室解决方案类产品4</w:t>
            </w:r>
            <w:r>
              <w:rPr>
                <w:rFonts w:ascii="宋体" w:hAnsi="宋体" w:cs="方正仿宋_GB2312"/>
                <w:sz w:val="24"/>
                <w:szCs w:val="24"/>
              </w:rPr>
              <w:t>00</w:t>
            </w:r>
            <w:r>
              <w:rPr>
                <w:rFonts w:hint="eastAsia" w:ascii="宋体" w:hAnsi="宋体" w:cs="方正仿宋_GB2312"/>
                <w:sz w:val="24"/>
                <w:szCs w:val="24"/>
              </w:rPr>
              <w:t>余台。未来在精准医疗、细胞基因治疗等新兴赛道的高速发展下，该垂直领域会持续带来增量。</w:t>
            </w:r>
          </w:p>
          <w:p w14:paraId="6B869A09">
            <w:pPr>
              <w:spacing w:before="156" w:beforeLines="50" w:line="400" w:lineRule="exact"/>
              <w:ind w:firstLine="480" w:firstLineChars="200"/>
              <w:rPr>
                <w:rFonts w:ascii="宋体" w:hAnsi="宋体" w:cs="方正仿宋_GB2312"/>
                <w:sz w:val="24"/>
                <w:szCs w:val="24"/>
              </w:rPr>
            </w:pPr>
            <w:r>
              <w:rPr>
                <w:rFonts w:hint="eastAsia" w:ascii="宋体" w:hAnsi="宋体" w:cs="方正仿宋_GB2312"/>
                <w:sz w:val="24"/>
                <w:szCs w:val="24"/>
              </w:rPr>
              <w:t>（3）创新品类。在国际巨头研发投入缩减，管线萎缩的情况下，海尔生物充分发挥科创优势，除了低温产品在7个国家份额登顶，离心纯化、消毒灭菌、生物培养、空气安全、血液技术、自动化、纯水、冻干、冻融等管线产品逐步丰富，在海外市场实现了多品类的高速增长，其中离心机、培养箱持续落地智利、马来西亚、巴基斯坦、比利时等国家并实现规模翻番增长，新品类血浆速冻机、血小板震荡箱也于近日落地巴西、坦桑尼亚等国家。</w:t>
            </w:r>
          </w:p>
          <w:p w14:paraId="445F4089">
            <w:pPr>
              <w:spacing w:before="156" w:beforeLines="50" w:line="400" w:lineRule="exact"/>
              <w:ind w:firstLine="480" w:firstLineChars="200"/>
              <w:rPr>
                <w:rFonts w:ascii="宋体" w:hAnsi="宋体" w:cs="方正仿宋_GB2312"/>
                <w:sz w:val="24"/>
                <w:szCs w:val="24"/>
              </w:rPr>
            </w:pPr>
            <w:r>
              <w:rPr>
                <w:rFonts w:hint="eastAsia" w:ascii="宋体" w:hAnsi="宋体" w:cs="方正仿宋_GB2312"/>
                <w:sz w:val="24"/>
                <w:szCs w:val="24"/>
              </w:rPr>
              <w:t>展望未来，公司将坚定“双50”目标（即海外收入占比不低于50%，海外收入中新产业占比不低于50%），聚焦欧洲、亚太等区域的重点国家深化在地能力建设。通过研发、产品、营销、服务、团队的深度在地化，攻坚头部用户，从产品出海向场景方案出海升级，加速全球纵深布局。感谢您的关注！</w:t>
            </w:r>
          </w:p>
          <w:p w14:paraId="5BB9EAC1">
            <w:pPr>
              <w:spacing w:before="156" w:beforeLines="50" w:line="400" w:lineRule="exact"/>
              <w:ind w:firstLine="482" w:firstLineChars="200"/>
              <w:rPr>
                <w:rFonts w:ascii="宋体" w:hAnsi="宋体" w:cs="方正仿宋_GB2312"/>
                <w:b/>
                <w:sz w:val="24"/>
                <w:szCs w:val="24"/>
              </w:rPr>
            </w:pPr>
            <w:r>
              <w:rPr>
                <w:rFonts w:hint="eastAsia" w:ascii="宋体" w:hAnsi="宋体" w:cs="方正仿宋_GB2312"/>
                <w:b/>
                <w:sz w:val="24"/>
                <w:szCs w:val="24"/>
              </w:rPr>
              <w:t>问题</w:t>
            </w:r>
            <w:r>
              <w:rPr>
                <w:rFonts w:hint="eastAsia" w:ascii="宋体" w:hAnsi="宋体" w:cs="方正仿宋_GB2312"/>
                <w:b/>
                <w:sz w:val="24"/>
                <w:szCs w:val="24"/>
                <w:lang w:val="en-US" w:eastAsia="zh-CN"/>
              </w:rPr>
              <w:t>七</w:t>
            </w:r>
            <w:r>
              <w:rPr>
                <w:rFonts w:hint="eastAsia" w:ascii="宋体" w:hAnsi="宋体" w:cs="方正仿宋_GB2312"/>
                <w:b/>
                <w:sz w:val="24"/>
                <w:szCs w:val="24"/>
              </w:rPr>
              <w:t>：公司Q1财报中强调营收和利润双环比增长，并以此作为‘业绩拐点’的证据。但回溯公司过去三年的财报，Q1通常是全年利润的绝对高点，而非起点.既然今年Q1利润0.79亿同比去年1.1亿和前年1.37亿都在缩减，且并未达到往年的常规水平，这种基于‘季节性高点’产生的环比增长，究竟是业务的真实反转，还是用来对冲同比下滑的负面舆情？公司认为接下来的季度能打破‘前高后低’的历史惯例，实现业绩预期的依据是什么？</w:t>
            </w:r>
          </w:p>
          <w:p w14:paraId="066FD990">
            <w:pPr>
              <w:spacing w:before="156" w:beforeLines="50" w:line="400" w:lineRule="exact"/>
              <w:ind w:firstLine="480" w:firstLineChars="200"/>
              <w:rPr>
                <w:rFonts w:hint="eastAsia" w:ascii="宋体" w:hAnsi="宋体" w:cs="方正仿宋_GB2312"/>
                <w:sz w:val="24"/>
                <w:szCs w:val="24"/>
              </w:rPr>
            </w:pPr>
            <w:r>
              <w:rPr>
                <w:rFonts w:hint="eastAsia" w:ascii="宋体" w:hAnsi="宋体" w:cs="方正仿宋_GB2312"/>
                <w:sz w:val="24"/>
                <w:szCs w:val="24"/>
              </w:rPr>
              <w:t>答：尊敬的投资者您好，受2020年全球公共卫生事件的影响，过去几年公司收入的季度间分布与行业常态有所偏离，预计自2026年起随行业常态化发展逐渐回归上、下半年收入“前低后高”的发展态势。公司利润端同比下滑主要系公司对海外和科技等中长期战略投入及汇兑损益波动所致。剔除汇兑损益影响后，2026年一季度归母净利润和扣非归母净利润均同比下降20.76%，毛利率较2025年全年提升0.76个百分点达到47.55%，叠加AI驱动下的全流程提效，归母净利润率较2025年提升1.42个百分点，扣非归母净利润率提升1.41个百分点。随着业务持续拓展以及去年同期基数分布变化的影响，二季度公司利润预计同比大幅增长，这将带动上半年利润同比增速明显改善，下半年利润同比增幅预计将明显高于上半年。全年来看，公司将全力实现员工持股计划中设定的收入考核目标，并继续兑现“利润端有望在2026年迎来拐点”的指引。</w:t>
            </w:r>
          </w:p>
          <w:p w14:paraId="0BFA2EED">
            <w:pPr>
              <w:spacing w:before="156" w:beforeLines="50" w:line="400" w:lineRule="exact"/>
              <w:ind w:firstLine="480" w:firstLineChars="200"/>
              <w:rPr>
                <w:rFonts w:hint="eastAsia" w:ascii="宋体" w:hAnsi="宋体" w:cs="方正仿宋_GB2312"/>
                <w:sz w:val="24"/>
                <w:szCs w:val="24"/>
              </w:rPr>
            </w:pPr>
            <w:r>
              <w:rPr>
                <w:rFonts w:hint="eastAsia" w:ascii="宋体" w:hAnsi="宋体" w:cs="方正仿宋_GB2312"/>
                <w:sz w:val="24"/>
                <w:szCs w:val="24"/>
              </w:rPr>
              <w:t>收入的内生发展主要依靠海外高增长、新产业持续增长、低温产业稳增长三个方面开展。海外业务基于区域拓展、高景气制药用户拓展和新品类拓展，全年高增长预期不变；新产业基于广阔的份额提升空间和产品竞争力，血液技术产业和智慧用药产业将持续双位数增长，实验室解决方案产业全年有望迎来增长的提速。低温产业今年一季度实现了连续第三个季度同比正增长，“正在走出底部”的结论将继续得到验证。</w:t>
            </w:r>
          </w:p>
          <w:p w14:paraId="17E6E3C3">
            <w:pPr>
              <w:spacing w:before="156" w:beforeLines="50" w:line="400" w:lineRule="exact"/>
              <w:ind w:firstLine="480" w:firstLineChars="200"/>
              <w:rPr>
                <w:rFonts w:hint="eastAsia" w:ascii="宋体" w:hAnsi="宋体" w:cs="方正仿宋_GB2312"/>
                <w:sz w:val="24"/>
                <w:szCs w:val="24"/>
              </w:rPr>
            </w:pPr>
            <w:r>
              <w:rPr>
                <w:rFonts w:hint="eastAsia" w:ascii="宋体" w:hAnsi="宋体" w:cs="方正仿宋_GB2312"/>
                <w:sz w:val="24"/>
                <w:szCs w:val="24"/>
              </w:rPr>
              <w:t>利润的持续改善主要通过产业结构优化、市场结构优化以及全流程提效实现。公司正在立足盈利能力优势市场与优势产业，重点聚焦海外市场，扩大用药和血技产业优势，持续优化利润结构；同时，积极推动实验室业务规模化拓展，并通过方案迭代持续提升自动化业务竞争力，多路径实现整体盈利水平稳步提升。</w:t>
            </w:r>
          </w:p>
          <w:p w14:paraId="4940F313">
            <w:pPr>
              <w:spacing w:before="156" w:beforeLines="50" w:line="400" w:lineRule="exact"/>
              <w:ind w:firstLine="480" w:firstLineChars="200"/>
              <w:rPr>
                <w:rFonts w:ascii="宋体" w:hAnsi="宋体" w:cs="方正仿宋_GB2312"/>
                <w:sz w:val="24"/>
                <w:szCs w:val="24"/>
              </w:rPr>
            </w:pPr>
            <w:r>
              <w:rPr>
                <w:rFonts w:hint="eastAsia" w:ascii="宋体" w:hAnsi="宋体" w:cs="方正仿宋_GB2312"/>
                <w:sz w:val="24"/>
                <w:szCs w:val="24"/>
              </w:rPr>
              <w:t>展望未来，公司将力争3年内实现“543”战略目标：即海外收入占比不低于50%，并购收入占比不低于40%，AI相关收入贡献不低于30%。基于此，公司会持续深化全球在地化布局，完善海外研发、营销与服务体系，推动全品类及场景方案出海，提升全球市场份额；同时依托成熟的平台式外延并购体系，拓宽新兴赛道增长空间；持续强化科技创新与 AI 技术场景融合，叠加组织能力升级与长效激励机制赋能，保障经营目标稳步落地。感谢您的关注！</w:t>
            </w:r>
          </w:p>
          <w:p w14:paraId="74B14487">
            <w:pPr>
              <w:spacing w:before="156" w:beforeLines="50" w:line="400" w:lineRule="exact"/>
              <w:ind w:firstLine="482" w:firstLineChars="200"/>
              <w:rPr>
                <w:rFonts w:ascii="宋体" w:hAnsi="宋体" w:cs="方正仿宋_GB2312"/>
                <w:sz w:val="24"/>
                <w:szCs w:val="24"/>
              </w:rPr>
            </w:pPr>
            <w:r>
              <w:rPr>
                <w:rFonts w:hint="eastAsia" w:ascii="宋体" w:hAnsi="宋体" w:cs="方正仿宋_GB2312"/>
                <w:b/>
                <w:sz w:val="24"/>
                <w:szCs w:val="24"/>
              </w:rPr>
              <w:t>问题</w:t>
            </w:r>
            <w:r>
              <w:rPr>
                <w:rFonts w:hint="eastAsia" w:ascii="宋体" w:hAnsi="宋体" w:cs="方正仿宋_GB2312"/>
                <w:b/>
                <w:sz w:val="24"/>
                <w:szCs w:val="24"/>
                <w:lang w:val="en-US" w:eastAsia="zh-CN"/>
              </w:rPr>
              <w:t>八</w:t>
            </w:r>
            <w:r>
              <w:rPr>
                <w:rFonts w:hint="eastAsia" w:ascii="宋体" w:hAnsi="宋体" w:cs="方正仿宋_GB2312"/>
                <w:b/>
                <w:sz w:val="24"/>
                <w:szCs w:val="24"/>
              </w:rPr>
              <w:t>：既然去年已经完成了欧洲项目的交付，今年一季度有没有同规模的新项目接力？目前在手的百万级以上大订单储备情况究竟如何？欧洲自动化药房项目二期的收入确认方式是什么样的，是项目完成后再确认收入么？</w:t>
            </w:r>
          </w:p>
          <w:p w14:paraId="4F9ED911">
            <w:pPr>
              <w:spacing w:line="400" w:lineRule="exact"/>
              <w:ind w:firstLine="480" w:firstLineChars="200"/>
              <w:rPr>
                <w:rFonts w:ascii="宋体" w:hAnsi="宋体" w:cs="方正仿宋_GB2312"/>
                <w:sz w:val="24"/>
                <w:szCs w:val="24"/>
              </w:rPr>
            </w:pPr>
            <w:r>
              <w:rPr>
                <w:rFonts w:hint="eastAsia" w:ascii="宋体" w:hAnsi="宋体" w:cs="方正仿宋_GB2312"/>
                <w:sz w:val="24"/>
                <w:szCs w:val="24"/>
              </w:rPr>
              <w:t>答：尊敬的投资者您好，一季度公司海外业务营业收入同比微增0.14%，主要是因为去年一季度欧洲区的自动化药房项目对同期基数有影响，若剔除该影响后一季度海外业务同比增长26%。除自动化药房业务外，低温存储产品，离心机、培养箱等实验室产品增长强劲。除欧洲区外，非洲、亚洲、美洲等区域分别实现18%、64%、16%的增长；欧洲区受前述影响下滑31%，若剔除该影响则同比增长22%。</w:t>
            </w:r>
          </w:p>
          <w:p w14:paraId="6D0F07F5">
            <w:pPr>
              <w:spacing w:line="400" w:lineRule="exact"/>
              <w:ind w:firstLine="480" w:firstLineChars="200"/>
              <w:rPr>
                <w:rFonts w:ascii="宋体" w:hAnsi="宋体" w:cs="方正仿宋_GB2312"/>
                <w:sz w:val="24"/>
                <w:szCs w:val="24"/>
              </w:rPr>
            </w:pPr>
            <w:r>
              <w:rPr>
                <w:rFonts w:hint="eastAsia" w:ascii="宋体" w:hAnsi="宋体" w:cs="方正仿宋_GB2312"/>
                <w:sz w:val="24"/>
                <w:szCs w:val="24"/>
              </w:rPr>
              <w:t>当前，欧洲区自动化药房项目的二期正在按期推进。不仅在欧洲，智慧用药产业正在加速海外多区域布局，覆盖东南亚、非洲、中东等7个国家和地区，业务从单一自动化药房拓展至分包机等多品类，东南亚多国将在下半年陆续落地。截至一季度末在手订单增幅超过50%，全年有望延续双位数增长。关于项目收入的确认方式，公司严格按照相关会计准则和制度对收入进行确认，具体收入确认政策请详见《海尔生物202</w:t>
            </w:r>
            <w:r>
              <w:rPr>
                <w:rFonts w:ascii="宋体" w:hAnsi="宋体" w:cs="方正仿宋_GB2312"/>
                <w:sz w:val="24"/>
                <w:szCs w:val="24"/>
              </w:rPr>
              <w:t>5</w:t>
            </w:r>
            <w:r>
              <w:rPr>
                <w:rFonts w:hint="eastAsia" w:ascii="宋体" w:hAnsi="宋体" w:cs="方正仿宋_GB2312"/>
                <w:sz w:val="24"/>
                <w:szCs w:val="24"/>
              </w:rPr>
              <w:t>年年度报告》之“第八节/五/3</w:t>
            </w:r>
            <w:r>
              <w:rPr>
                <w:rFonts w:ascii="宋体" w:hAnsi="宋体" w:cs="方正仿宋_GB2312"/>
                <w:sz w:val="24"/>
                <w:szCs w:val="24"/>
              </w:rPr>
              <w:t>4</w:t>
            </w:r>
            <w:r>
              <w:rPr>
                <w:rFonts w:hint="eastAsia" w:ascii="宋体" w:hAnsi="宋体" w:cs="方正仿宋_GB2312"/>
                <w:sz w:val="24"/>
                <w:szCs w:val="24"/>
              </w:rPr>
              <w:t>/(1)”。感谢您的关注！</w:t>
            </w:r>
          </w:p>
          <w:p w14:paraId="696589E3">
            <w:pPr>
              <w:spacing w:before="156" w:beforeLines="50" w:line="400" w:lineRule="exact"/>
              <w:ind w:firstLine="482" w:firstLineChars="200"/>
              <w:rPr>
                <w:rFonts w:ascii="宋体" w:hAnsi="宋体" w:cs="方正仿宋_GB2312"/>
                <w:b/>
                <w:sz w:val="24"/>
                <w:szCs w:val="24"/>
              </w:rPr>
            </w:pPr>
            <w:r>
              <w:rPr>
                <w:rFonts w:hint="eastAsia" w:ascii="宋体" w:hAnsi="宋体" w:cs="方正仿宋_GB2312"/>
                <w:b/>
                <w:sz w:val="24"/>
                <w:szCs w:val="24"/>
              </w:rPr>
              <w:t>问题</w:t>
            </w:r>
            <w:r>
              <w:rPr>
                <w:rFonts w:hint="eastAsia" w:ascii="宋体" w:hAnsi="宋体" w:cs="方正仿宋_GB2312"/>
                <w:b/>
                <w:sz w:val="24"/>
                <w:szCs w:val="24"/>
                <w:lang w:val="en-US" w:eastAsia="zh-CN"/>
              </w:rPr>
              <w:t>九</w:t>
            </w:r>
            <w:r>
              <w:rPr>
                <w:rFonts w:hint="eastAsia" w:ascii="宋体" w:hAnsi="宋体" w:cs="方正仿宋_GB2312"/>
                <w:b/>
                <w:sz w:val="24"/>
                <w:szCs w:val="24"/>
              </w:rPr>
              <w:t>：公司的高端产品“十万转超速离心机”开始获得市场订单了么？</w:t>
            </w:r>
          </w:p>
          <w:p w14:paraId="7767B848">
            <w:pPr>
              <w:spacing w:line="400" w:lineRule="exact"/>
              <w:ind w:firstLine="480" w:firstLineChars="200"/>
              <w:rPr>
                <w:rFonts w:ascii="宋体" w:hAnsi="宋体" w:cs="方正仿宋_GB2312"/>
                <w:sz w:val="24"/>
                <w:szCs w:val="24"/>
              </w:rPr>
            </w:pPr>
            <w:r>
              <w:rPr>
                <w:rFonts w:hint="eastAsia" w:ascii="宋体" w:hAnsi="宋体" w:cs="方正仿宋_GB2312"/>
                <w:sz w:val="24"/>
                <w:szCs w:val="24"/>
              </w:rPr>
              <w:t>答：尊敬的投资者您好，超速离心机于今年上市，目前处于市场导入期，已经有多家生物科技企业、研究所等用户订单录入，预计自明年起逐渐进入规模化放量阶段。</w:t>
            </w:r>
          </w:p>
          <w:p w14:paraId="611594CB">
            <w:pPr>
              <w:spacing w:line="400" w:lineRule="exact"/>
              <w:ind w:firstLine="480" w:firstLineChars="200"/>
              <w:rPr>
                <w:rFonts w:ascii="宋体" w:hAnsi="宋体" w:cs="方正仿宋_GB2312"/>
                <w:sz w:val="24"/>
                <w:szCs w:val="24"/>
              </w:rPr>
            </w:pPr>
            <w:r>
              <w:rPr>
                <w:rFonts w:hint="eastAsia" w:ascii="宋体" w:hAnsi="宋体" w:cs="方正仿宋_GB2312"/>
                <w:sz w:val="24"/>
                <w:szCs w:val="24"/>
              </w:rPr>
              <w:t>整体来看，2</w:t>
            </w:r>
            <w:r>
              <w:rPr>
                <w:rFonts w:ascii="宋体" w:hAnsi="宋体" w:cs="方正仿宋_GB2312"/>
                <w:sz w:val="24"/>
                <w:szCs w:val="24"/>
              </w:rPr>
              <w:t>026</w:t>
            </w:r>
            <w:r>
              <w:rPr>
                <w:rFonts w:hint="eastAsia" w:ascii="宋体" w:hAnsi="宋体" w:cs="方正仿宋_GB2312"/>
                <w:sz w:val="24"/>
                <w:szCs w:val="24"/>
              </w:rPr>
              <w:t>年一季度公司实验室解决方案产业收入在同期高基数的背景下同比增长1.2%，这主要得益于公司前期布局逐步落地、效果显现，其中海外市场继续双位数增长，国内市场尽管行业仍然承压，但公司凭借差异化竞争优势实现了安全柜、培养箱、离心机等多类产品市场份额的提升。</w:t>
            </w:r>
          </w:p>
          <w:p w14:paraId="13FA2CA8">
            <w:pPr>
              <w:spacing w:line="400" w:lineRule="exact"/>
              <w:ind w:firstLine="480" w:firstLineChars="200"/>
              <w:rPr>
                <w:rFonts w:ascii="宋体" w:hAnsi="宋体" w:cs="方正仿宋_GB2312"/>
                <w:sz w:val="24"/>
                <w:szCs w:val="24"/>
              </w:rPr>
            </w:pPr>
            <w:r>
              <w:rPr>
                <w:rFonts w:hint="eastAsia" w:ascii="宋体" w:hAnsi="宋体" w:cs="方正仿宋_GB2312"/>
                <w:sz w:val="24"/>
                <w:szCs w:val="24"/>
              </w:rPr>
              <w:t>随着国产替代、自动化智能化升级以及全球生物科技及生物制药景气度的提升，都将带来持续的用户需求支撑，行业前景向好。在精准的产品和市场策略下，公司会发力市场拓展尤其是海外市场，推动离心机、培养箱等品类持续放量；加快从产品向方案的升级，满足用户对数智场景方案需求。</w:t>
            </w:r>
          </w:p>
          <w:p w14:paraId="1821F29F">
            <w:pPr>
              <w:spacing w:line="400" w:lineRule="exact"/>
              <w:rPr>
                <w:rFonts w:hint="eastAsia" w:ascii="宋体" w:hAnsi="宋体" w:cs="方正仿宋_GB2312"/>
                <w:sz w:val="24"/>
                <w:szCs w:val="24"/>
              </w:rPr>
            </w:pPr>
            <w:r>
              <w:rPr>
                <w:rFonts w:hint="eastAsia" w:ascii="宋体" w:hAnsi="宋体" w:cs="方正仿宋_GB2312"/>
                <w:sz w:val="24"/>
                <w:szCs w:val="24"/>
              </w:rPr>
              <w:t>全年来看，今年实验室解决方案产业将会实现收入增长的较大提速，并通过业务规模化的拓展实现实验室解决方案产业盈利水平的稳步提升。感谢您的关注！</w:t>
            </w:r>
          </w:p>
          <w:p w14:paraId="5FCFB420">
            <w:pPr>
              <w:spacing w:before="156" w:beforeLines="50" w:line="400" w:lineRule="exact"/>
              <w:ind w:firstLine="482" w:firstLineChars="200"/>
              <w:rPr>
                <w:rFonts w:hint="eastAsia" w:ascii="宋体" w:hAnsi="宋体" w:cs="方正仿宋_GB2312"/>
                <w:b/>
                <w:sz w:val="24"/>
                <w:szCs w:val="24"/>
              </w:rPr>
            </w:pPr>
            <w:r>
              <w:rPr>
                <w:rFonts w:hint="eastAsia" w:ascii="宋体" w:hAnsi="宋体" w:cs="方正仿宋_GB2312"/>
                <w:b/>
                <w:sz w:val="24"/>
                <w:szCs w:val="24"/>
              </w:rPr>
              <w:t>问题十</w:t>
            </w:r>
            <w:bookmarkStart w:id="0" w:name="_GoBack"/>
            <w:bookmarkEnd w:id="0"/>
            <w:r>
              <w:rPr>
                <w:rFonts w:hint="eastAsia" w:ascii="宋体" w:hAnsi="宋体" w:cs="方正仿宋_GB2312"/>
                <w:b/>
                <w:sz w:val="24"/>
                <w:szCs w:val="24"/>
              </w:rPr>
              <w:t>：请问公司为股东创造的价值在哪里？2</w:t>
            </w:r>
            <w:r>
              <w:rPr>
                <w:rFonts w:ascii="宋体" w:hAnsi="宋体" w:cs="方正仿宋_GB2312"/>
                <w:b/>
                <w:sz w:val="24"/>
                <w:szCs w:val="24"/>
              </w:rPr>
              <w:t>026</w:t>
            </w:r>
            <w:r>
              <w:rPr>
                <w:rFonts w:hint="eastAsia" w:ascii="宋体" w:hAnsi="宋体" w:cs="方正仿宋_GB2312"/>
                <w:b/>
                <w:sz w:val="24"/>
                <w:szCs w:val="24"/>
              </w:rPr>
              <w:t>年作为投资者应该如何预期？</w:t>
            </w:r>
          </w:p>
          <w:p w14:paraId="3006CE8B">
            <w:pPr>
              <w:spacing w:before="156" w:beforeLines="50" w:line="400" w:lineRule="exact"/>
              <w:ind w:firstLine="480" w:firstLineChars="200"/>
              <w:rPr>
                <w:rFonts w:ascii="宋体" w:hAnsi="宋体" w:cs="方正仿宋_GB2312"/>
                <w:sz w:val="24"/>
                <w:szCs w:val="24"/>
              </w:rPr>
            </w:pPr>
            <w:r>
              <w:rPr>
                <w:rFonts w:hint="eastAsia" w:ascii="宋体" w:hAnsi="宋体" w:cs="方正仿宋_GB2312"/>
                <w:sz w:val="24"/>
                <w:szCs w:val="24"/>
              </w:rPr>
              <w:t>答：尊敬的投资者您好，公司持续夯实经营基本面，增强长期价值创造能力，通过全球化、并购整合、科技创新等体系化能力建设，上市以来（2019-2025）收入复合增长率约为15%，海外市场复合增长率超过20%，新产业占公司主营业务收入的比重将近一半，并购业务对公司收入贡献超30%。2025年，面对复杂多变的全球和行业形势，公司坚持全球化发展和技术创新，收入端继23年下滑、24年企稳之后开始提速；利润端承压主要和公司为应对外部环境挑战而对全球化和创新的中长期战略投入有关，未来公司立足盈利能力优势市场与优势产业，重点聚焦海外市场，扩大产业优势，持续优化利润结构；积极推动实验室业务规模化拓展，并通过方案迭代持续提升自动化业务竞争力，多路径实现整体盈利水平稳步提升。</w:t>
            </w:r>
          </w:p>
          <w:p w14:paraId="4E26B595">
            <w:pPr>
              <w:spacing w:before="156" w:beforeLines="50" w:line="400" w:lineRule="exact"/>
              <w:ind w:firstLine="480" w:firstLineChars="200"/>
              <w:rPr>
                <w:rFonts w:hint="eastAsia" w:ascii="宋体" w:hAnsi="宋体" w:cs="方正仿宋_GB2312"/>
                <w:sz w:val="24"/>
                <w:szCs w:val="24"/>
              </w:rPr>
            </w:pPr>
            <w:r>
              <w:rPr>
                <w:rFonts w:hint="eastAsia" w:ascii="宋体" w:hAnsi="宋体" w:cs="方正仿宋_GB2312"/>
                <w:sz w:val="24"/>
                <w:szCs w:val="24"/>
              </w:rPr>
              <w:t>受2020年全球公共卫生事件的影响，过去几年公司收入的季度间分布与行业常态有所偏离，预计自2026年起随行业常态化发展逐渐回归上、下半年收入“前低后高”的发展态势，公司将全力实现员工持股计划中设定的收入考核目标，并继续兑现“利润端有望在2026年迎来拐点”的指引。</w:t>
            </w:r>
          </w:p>
          <w:p w14:paraId="3A47AD1A">
            <w:pPr>
              <w:spacing w:before="156" w:beforeLines="50" w:line="400" w:lineRule="exact"/>
              <w:ind w:firstLine="480" w:firstLineChars="200"/>
              <w:rPr>
                <w:rFonts w:hint="eastAsia" w:ascii="宋体" w:hAnsi="宋体" w:cs="方正仿宋_GB2312"/>
                <w:sz w:val="24"/>
                <w:szCs w:val="24"/>
              </w:rPr>
            </w:pPr>
            <w:r>
              <w:rPr>
                <w:rFonts w:hint="eastAsia" w:ascii="宋体" w:hAnsi="宋体" w:cs="方正仿宋_GB2312"/>
                <w:sz w:val="24"/>
                <w:szCs w:val="24"/>
              </w:rPr>
              <w:t>在此基础上，公司综合运用股权激励、现金分红、投资者关系管理、信息披露、股份回购等各种方式，自上市以来，公司已连续6年实施分红，累计分红7.88亿元人民币，现已推出2025年度分红方案，分红比例进一步提升为41.03%；公司实控人的一致行动人已三次增持公司股票，累计增持金额约3.84亿元；公司自身共推出了三轮股份回购计划，累计回购金额共计约2.5亿元，并于2026年1月6日注销部分已回购股份145.96万股。二级市场股价受多方面因素影响，公司将不断提升核心竞争力，努力为股东带来持续回报，并通过多渠道、多维度地分享公司的发展成果与特色优势，让市场更加全面地了解公司的价值所在。感谢您的关注和建议！</w:t>
            </w:r>
          </w:p>
        </w:tc>
      </w:tr>
      <w:tr w14:paraId="381D7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204FDC98">
            <w:pPr>
              <w:spacing w:line="480" w:lineRule="atLeast"/>
              <w:rPr>
                <w:rFonts w:eastAsiaTheme="minorEastAsia"/>
                <w:b/>
                <w:bCs/>
                <w:iCs/>
                <w:sz w:val="24"/>
                <w:szCs w:val="24"/>
              </w:rPr>
            </w:pPr>
            <w:r>
              <w:rPr>
                <w:rFonts w:hint="eastAsia" w:eastAsiaTheme="minorEastAsia"/>
                <w:b/>
                <w:bCs/>
                <w:iCs/>
                <w:sz w:val="24"/>
                <w:szCs w:val="24"/>
              </w:rPr>
              <w:t>附件清单</w:t>
            </w:r>
          </w:p>
        </w:tc>
        <w:tc>
          <w:tcPr>
            <w:tcW w:w="6614" w:type="dxa"/>
            <w:tcBorders>
              <w:top w:val="single" w:color="auto" w:sz="4" w:space="0"/>
              <w:left w:val="single" w:color="auto" w:sz="4" w:space="0"/>
              <w:bottom w:val="single" w:color="auto" w:sz="4" w:space="0"/>
              <w:right w:val="single" w:color="auto" w:sz="4" w:space="0"/>
            </w:tcBorders>
          </w:tcPr>
          <w:p w14:paraId="32CE86FD">
            <w:pPr>
              <w:spacing w:line="480" w:lineRule="atLeast"/>
              <w:rPr>
                <w:rFonts w:eastAsiaTheme="minorEastAsia"/>
                <w:bCs/>
                <w:iCs/>
                <w:sz w:val="24"/>
                <w:szCs w:val="24"/>
              </w:rPr>
            </w:pPr>
            <w:r>
              <w:rPr>
                <w:rFonts w:eastAsiaTheme="minorEastAsia"/>
                <w:bCs/>
                <w:iCs/>
                <w:sz w:val="24"/>
                <w:szCs w:val="24"/>
              </w:rPr>
              <w:t>无</w:t>
            </w:r>
          </w:p>
        </w:tc>
      </w:tr>
      <w:tr w14:paraId="2E325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5D0EDF82">
            <w:pPr>
              <w:spacing w:line="480" w:lineRule="atLeast"/>
              <w:rPr>
                <w:rFonts w:eastAsiaTheme="minorEastAsia"/>
                <w:b/>
                <w:bCs/>
                <w:iCs/>
                <w:sz w:val="24"/>
                <w:szCs w:val="24"/>
              </w:rPr>
            </w:pPr>
            <w:r>
              <w:rPr>
                <w:rFonts w:hint="eastAsia" w:eastAsiaTheme="minorEastAsia"/>
                <w:b/>
                <w:bCs/>
                <w:iCs/>
                <w:sz w:val="24"/>
                <w:szCs w:val="24"/>
              </w:rPr>
              <w:t>日期</w:t>
            </w:r>
          </w:p>
        </w:tc>
        <w:tc>
          <w:tcPr>
            <w:tcW w:w="6614" w:type="dxa"/>
            <w:tcBorders>
              <w:top w:val="single" w:color="auto" w:sz="4" w:space="0"/>
              <w:left w:val="single" w:color="auto" w:sz="4" w:space="0"/>
              <w:bottom w:val="single" w:color="auto" w:sz="4" w:space="0"/>
              <w:right w:val="single" w:color="auto" w:sz="4" w:space="0"/>
            </w:tcBorders>
          </w:tcPr>
          <w:p w14:paraId="1EA15479">
            <w:pPr>
              <w:spacing w:line="480" w:lineRule="atLeast"/>
              <w:rPr>
                <w:rFonts w:eastAsiaTheme="minorEastAsia"/>
                <w:bCs/>
                <w:iCs/>
                <w:sz w:val="24"/>
                <w:szCs w:val="24"/>
              </w:rPr>
            </w:pPr>
            <w:r>
              <w:rPr>
                <w:rFonts w:hint="eastAsia" w:eastAsiaTheme="minorEastAsia"/>
                <w:bCs/>
                <w:iCs/>
                <w:sz w:val="24"/>
                <w:szCs w:val="24"/>
              </w:rPr>
              <w:t>202</w:t>
            </w:r>
            <w:r>
              <w:rPr>
                <w:rFonts w:eastAsiaTheme="minorEastAsia"/>
                <w:bCs/>
                <w:iCs/>
                <w:sz w:val="24"/>
                <w:szCs w:val="24"/>
              </w:rPr>
              <w:t>6</w:t>
            </w:r>
            <w:r>
              <w:rPr>
                <w:rFonts w:hint="eastAsia" w:eastAsiaTheme="minorEastAsia"/>
                <w:bCs/>
                <w:iCs/>
                <w:sz w:val="24"/>
                <w:szCs w:val="24"/>
              </w:rPr>
              <w:t>年</w:t>
            </w:r>
            <w:r>
              <w:rPr>
                <w:rFonts w:eastAsiaTheme="minorEastAsia"/>
                <w:bCs/>
                <w:iCs/>
                <w:sz w:val="24"/>
                <w:szCs w:val="24"/>
              </w:rPr>
              <w:t>5</w:t>
            </w:r>
            <w:r>
              <w:rPr>
                <w:rFonts w:hint="eastAsia" w:eastAsiaTheme="minorEastAsia"/>
                <w:bCs/>
                <w:iCs/>
                <w:sz w:val="24"/>
                <w:szCs w:val="24"/>
              </w:rPr>
              <w:t>月8日</w:t>
            </w:r>
          </w:p>
        </w:tc>
      </w:tr>
    </w:tbl>
    <w:p w14:paraId="43914F80">
      <w:pPr>
        <w:widowControl/>
        <w:jc w:val="left"/>
        <w:rPr>
          <w:b/>
          <w:sz w:val="24"/>
        </w:rPr>
      </w:pPr>
    </w:p>
    <w:sectPr>
      <w:foot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embedRegular r:id="rId1" w:fontKey="{35DEE0F8-4B43-4853-BDAF-0CF7A49AB330}"/>
  </w:font>
  <w:font w:name="方正仿宋_GB2312">
    <w:panose1 w:val="02000000000000000000"/>
    <w:charset w:val="86"/>
    <w:family w:val="auto"/>
    <w:pitch w:val="default"/>
    <w:sig w:usb0="A00002BF" w:usb1="184F6CFA" w:usb2="00000012" w:usb3="00000000" w:csb0="00040001" w:csb1="00000000"/>
    <w:embedRegular r:id="rId2" w:fontKey="{DF269D34-D0B0-4E91-8DF4-DB06C02860B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0A7CD">
    <w:pPr>
      <w:pStyle w:val="14"/>
    </w:pPr>
  </w:p>
  <w:p w14:paraId="62B21A8B">
    <w:pPr>
      <w:pStyle w:val="1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4N2UwYmRiYjMzNGZhNWIxNTdlODQxZTRlNzBmN2YifQ=="/>
  </w:docVars>
  <w:rsids>
    <w:rsidRoot w:val="008D5491"/>
    <w:rsid w:val="000047B9"/>
    <w:rsid w:val="0000734D"/>
    <w:rsid w:val="00010D24"/>
    <w:rsid w:val="0001265F"/>
    <w:rsid w:val="000128D0"/>
    <w:rsid w:val="00013934"/>
    <w:rsid w:val="000151E0"/>
    <w:rsid w:val="00016A35"/>
    <w:rsid w:val="00017DAD"/>
    <w:rsid w:val="00020D06"/>
    <w:rsid w:val="000228C6"/>
    <w:rsid w:val="00022C29"/>
    <w:rsid w:val="00023EB9"/>
    <w:rsid w:val="0002765E"/>
    <w:rsid w:val="0003029C"/>
    <w:rsid w:val="00031606"/>
    <w:rsid w:val="00033A49"/>
    <w:rsid w:val="00035660"/>
    <w:rsid w:val="0003672C"/>
    <w:rsid w:val="000405A3"/>
    <w:rsid w:val="00040A0E"/>
    <w:rsid w:val="0004258A"/>
    <w:rsid w:val="00042EA6"/>
    <w:rsid w:val="000458D6"/>
    <w:rsid w:val="00045CCC"/>
    <w:rsid w:val="00046644"/>
    <w:rsid w:val="000468A3"/>
    <w:rsid w:val="00046E7E"/>
    <w:rsid w:val="000476B7"/>
    <w:rsid w:val="00052F09"/>
    <w:rsid w:val="000533ED"/>
    <w:rsid w:val="0005480F"/>
    <w:rsid w:val="00054DC2"/>
    <w:rsid w:val="00055D56"/>
    <w:rsid w:val="00056256"/>
    <w:rsid w:val="00056970"/>
    <w:rsid w:val="00056A4A"/>
    <w:rsid w:val="00057889"/>
    <w:rsid w:val="00060B13"/>
    <w:rsid w:val="000620C0"/>
    <w:rsid w:val="00062316"/>
    <w:rsid w:val="00064E4D"/>
    <w:rsid w:val="000657BC"/>
    <w:rsid w:val="000657DC"/>
    <w:rsid w:val="0006583F"/>
    <w:rsid w:val="000662E3"/>
    <w:rsid w:val="00066B88"/>
    <w:rsid w:val="00067430"/>
    <w:rsid w:val="000702B9"/>
    <w:rsid w:val="000733AA"/>
    <w:rsid w:val="000734ED"/>
    <w:rsid w:val="00074AD6"/>
    <w:rsid w:val="00074EA6"/>
    <w:rsid w:val="00075E68"/>
    <w:rsid w:val="000760E6"/>
    <w:rsid w:val="000776D9"/>
    <w:rsid w:val="00077DE7"/>
    <w:rsid w:val="00083292"/>
    <w:rsid w:val="00083E63"/>
    <w:rsid w:val="0008592C"/>
    <w:rsid w:val="00085DA7"/>
    <w:rsid w:val="00085F84"/>
    <w:rsid w:val="00085FE8"/>
    <w:rsid w:val="00086215"/>
    <w:rsid w:val="000864FC"/>
    <w:rsid w:val="000866F4"/>
    <w:rsid w:val="00087D94"/>
    <w:rsid w:val="00090613"/>
    <w:rsid w:val="000964B8"/>
    <w:rsid w:val="000A1587"/>
    <w:rsid w:val="000A54C3"/>
    <w:rsid w:val="000A6C75"/>
    <w:rsid w:val="000A7120"/>
    <w:rsid w:val="000A7C7A"/>
    <w:rsid w:val="000B2930"/>
    <w:rsid w:val="000B3921"/>
    <w:rsid w:val="000B47EB"/>
    <w:rsid w:val="000B6D47"/>
    <w:rsid w:val="000C11B0"/>
    <w:rsid w:val="000C1371"/>
    <w:rsid w:val="000C26F4"/>
    <w:rsid w:val="000C38CA"/>
    <w:rsid w:val="000C392A"/>
    <w:rsid w:val="000C461E"/>
    <w:rsid w:val="000C5A9A"/>
    <w:rsid w:val="000D0621"/>
    <w:rsid w:val="000D1B77"/>
    <w:rsid w:val="000D2089"/>
    <w:rsid w:val="000D3408"/>
    <w:rsid w:val="000D4AEF"/>
    <w:rsid w:val="000D5C05"/>
    <w:rsid w:val="000E05B3"/>
    <w:rsid w:val="000E1020"/>
    <w:rsid w:val="000E31F9"/>
    <w:rsid w:val="000E35AE"/>
    <w:rsid w:val="000E366F"/>
    <w:rsid w:val="000E3CD4"/>
    <w:rsid w:val="000E484D"/>
    <w:rsid w:val="000E641C"/>
    <w:rsid w:val="000E65F5"/>
    <w:rsid w:val="000E6817"/>
    <w:rsid w:val="000E75E7"/>
    <w:rsid w:val="000F0604"/>
    <w:rsid w:val="000F1B3F"/>
    <w:rsid w:val="000F2D23"/>
    <w:rsid w:val="000F3C61"/>
    <w:rsid w:val="000F59DD"/>
    <w:rsid w:val="00100628"/>
    <w:rsid w:val="001013E2"/>
    <w:rsid w:val="00104419"/>
    <w:rsid w:val="0010460F"/>
    <w:rsid w:val="00105B65"/>
    <w:rsid w:val="0010705A"/>
    <w:rsid w:val="0010706B"/>
    <w:rsid w:val="00107139"/>
    <w:rsid w:val="0011134F"/>
    <w:rsid w:val="001113FB"/>
    <w:rsid w:val="00113BEC"/>
    <w:rsid w:val="001140DF"/>
    <w:rsid w:val="0011540C"/>
    <w:rsid w:val="00117259"/>
    <w:rsid w:val="00117BE6"/>
    <w:rsid w:val="0012165B"/>
    <w:rsid w:val="0012392E"/>
    <w:rsid w:val="00124DBC"/>
    <w:rsid w:val="00125602"/>
    <w:rsid w:val="001273B5"/>
    <w:rsid w:val="00130D9E"/>
    <w:rsid w:val="00134E3F"/>
    <w:rsid w:val="00136991"/>
    <w:rsid w:val="00141859"/>
    <w:rsid w:val="00142A00"/>
    <w:rsid w:val="00144764"/>
    <w:rsid w:val="001465D5"/>
    <w:rsid w:val="0014675B"/>
    <w:rsid w:val="001469A8"/>
    <w:rsid w:val="001532DD"/>
    <w:rsid w:val="00155763"/>
    <w:rsid w:val="00155842"/>
    <w:rsid w:val="001561F4"/>
    <w:rsid w:val="00156888"/>
    <w:rsid w:val="00157FD8"/>
    <w:rsid w:val="0016122F"/>
    <w:rsid w:val="00161888"/>
    <w:rsid w:val="00161C13"/>
    <w:rsid w:val="00162302"/>
    <w:rsid w:val="00163868"/>
    <w:rsid w:val="001638B7"/>
    <w:rsid w:val="00164329"/>
    <w:rsid w:val="00164C31"/>
    <w:rsid w:val="00165484"/>
    <w:rsid w:val="00170FB3"/>
    <w:rsid w:val="00172EDB"/>
    <w:rsid w:val="0017567F"/>
    <w:rsid w:val="001771B3"/>
    <w:rsid w:val="0018013C"/>
    <w:rsid w:val="00182462"/>
    <w:rsid w:val="00182F54"/>
    <w:rsid w:val="00183247"/>
    <w:rsid w:val="001834D5"/>
    <w:rsid w:val="00185E78"/>
    <w:rsid w:val="0018607F"/>
    <w:rsid w:val="00187127"/>
    <w:rsid w:val="001873B7"/>
    <w:rsid w:val="001900D5"/>
    <w:rsid w:val="0019029A"/>
    <w:rsid w:val="0019036B"/>
    <w:rsid w:val="001914C9"/>
    <w:rsid w:val="001916AD"/>
    <w:rsid w:val="00193ABF"/>
    <w:rsid w:val="00195BBA"/>
    <w:rsid w:val="00197B14"/>
    <w:rsid w:val="001A0846"/>
    <w:rsid w:val="001A1C4B"/>
    <w:rsid w:val="001A45AB"/>
    <w:rsid w:val="001A4E93"/>
    <w:rsid w:val="001A6170"/>
    <w:rsid w:val="001A6231"/>
    <w:rsid w:val="001A7FEB"/>
    <w:rsid w:val="001B0D52"/>
    <w:rsid w:val="001B4E4F"/>
    <w:rsid w:val="001B5402"/>
    <w:rsid w:val="001B66D4"/>
    <w:rsid w:val="001B7026"/>
    <w:rsid w:val="001B7DE5"/>
    <w:rsid w:val="001C0692"/>
    <w:rsid w:val="001C0806"/>
    <w:rsid w:val="001C0D2B"/>
    <w:rsid w:val="001C2AF1"/>
    <w:rsid w:val="001C2CA9"/>
    <w:rsid w:val="001C414F"/>
    <w:rsid w:val="001C4A26"/>
    <w:rsid w:val="001D0E8A"/>
    <w:rsid w:val="001D2E07"/>
    <w:rsid w:val="001D5BDB"/>
    <w:rsid w:val="001D5EBC"/>
    <w:rsid w:val="001E028B"/>
    <w:rsid w:val="001E0D1F"/>
    <w:rsid w:val="001E0E38"/>
    <w:rsid w:val="001E1371"/>
    <w:rsid w:val="001E3FB9"/>
    <w:rsid w:val="001E5E85"/>
    <w:rsid w:val="001F2373"/>
    <w:rsid w:val="001F2E16"/>
    <w:rsid w:val="001F344A"/>
    <w:rsid w:val="001F6E1A"/>
    <w:rsid w:val="0020238B"/>
    <w:rsid w:val="002033C0"/>
    <w:rsid w:val="00206FB9"/>
    <w:rsid w:val="00212B05"/>
    <w:rsid w:val="00214D8A"/>
    <w:rsid w:val="002162C0"/>
    <w:rsid w:val="00222E65"/>
    <w:rsid w:val="00223182"/>
    <w:rsid w:val="002244DC"/>
    <w:rsid w:val="00225C40"/>
    <w:rsid w:val="00226289"/>
    <w:rsid w:val="00226B38"/>
    <w:rsid w:val="0022729A"/>
    <w:rsid w:val="00232004"/>
    <w:rsid w:val="002326C5"/>
    <w:rsid w:val="00233645"/>
    <w:rsid w:val="0023418B"/>
    <w:rsid w:val="002349C9"/>
    <w:rsid w:val="00236262"/>
    <w:rsid w:val="00240FB5"/>
    <w:rsid w:val="00242F78"/>
    <w:rsid w:val="0024411A"/>
    <w:rsid w:val="00247084"/>
    <w:rsid w:val="00247908"/>
    <w:rsid w:val="0025169E"/>
    <w:rsid w:val="002533AC"/>
    <w:rsid w:val="0025430D"/>
    <w:rsid w:val="00255538"/>
    <w:rsid w:val="0025632B"/>
    <w:rsid w:val="00257ECB"/>
    <w:rsid w:val="00261103"/>
    <w:rsid w:val="002625BE"/>
    <w:rsid w:val="00262696"/>
    <w:rsid w:val="00263B17"/>
    <w:rsid w:val="002703A0"/>
    <w:rsid w:val="00272291"/>
    <w:rsid w:val="0027326F"/>
    <w:rsid w:val="002768EC"/>
    <w:rsid w:val="002815BB"/>
    <w:rsid w:val="002822F3"/>
    <w:rsid w:val="002824B0"/>
    <w:rsid w:val="00283AF1"/>
    <w:rsid w:val="00285037"/>
    <w:rsid w:val="002904CF"/>
    <w:rsid w:val="00295A63"/>
    <w:rsid w:val="002A015E"/>
    <w:rsid w:val="002A3E14"/>
    <w:rsid w:val="002A4737"/>
    <w:rsid w:val="002A487A"/>
    <w:rsid w:val="002A4E1D"/>
    <w:rsid w:val="002A6796"/>
    <w:rsid w:val="002A67B8"/>
    <w:rsid w:val="002A7157"/>
    <w:rsid w:val="002B02EE"/>
    <w:rsid w:val="002B08B4"/>
    <w:rsid w:val="002B1914"/>
    <w:rsid w:val="002B36EE"/>
    <w:rsid w:val="002B51AE"/>
    <w:rsid w:val="002B56AE"/>
    <w:rsid w:val="002B5C19"/>
    <w:rsid w:val="002B5D1A"/>
    <w:rsid w:val="002B63EC"/>
    <w:rsid w:val="002B6742"/>
    <w:rsid w:val="002B7D5F"/>
    <w:rsid w:val="002C22C7"/>
    <w:rsid w:val="002C35B9"/>
    <w:rsid w:val="002C4457"/>
    <w:rsid w:val="002C5395"/>
    <w:rsid w:val="002C6218"/>
    <w:rsid w:val="002C65E3"/>
    <w:rsid w:val="002C71B3"/>
    <w:rsid w:val="002C7F36"/>
    <w:rsid w:val="002C7FE1"/>
    <w:rsid w:val="002D08F2"/>
    <w:rsid w:val="002D1DE5"/>
    <w:rsid w:val="002D3B91"/>
    <w:rsid w:val="002D425A"/>
    <w:rsid w:val="002D4761"/>
    <w:rsid w:val="002D5609"/>
    <w:rsid w:val="002D56D7"/>
    <w:rsid w:val="002E1C53"/>
    <w:rsid w:val="002E2A6C"/>
    <w:rsid w:val="002E60A9"/>
    <w:rsid w:val="002E764E"/>
    <w:rsid w:val="002E7A68"/>
    <w:rsid w:val="002F1540"/>
    <w:rsid w:val="002F3625"/>
    <w:rsid w:val="002F417D"/>
    <w:rsid w:val="002F4223"/>
    <w:rsid w:val="002F7148"/>
    <w:rsid w:val="003011F5"/>
    <w:rsid w:val="00301884"/>
    <w:rsid w:val="00301B48"/>
    <w:rsid w:val="00301D88"/>
    <w:rsid w:val="00306057"/>
    <w:rsid w:val="003069A5"/>
    <w:rsid w:val="00306CC0"/>
    <w:rsid w:val="003102BA"/>
    <w:rsid w:val="00313EAE"/>
    <w:rsid w:val="00314C6D"/>
    <w:rsid w:val="003163FB"/>
    <w:rsid w:val="00320AAE"/>
    <w:rsid w:val="0032300B"/>
    <w:rsid w:val="003237A1"/>
    <w:rsid w:val="00326D52"/>
    <w:rsid w:val="003321E8"/>
    <w:rsid w:val="00332F4D"/>
    <w:rsid w:val="00333091"/>
    <w:rsid w:val="0033453D"/>
    <w:rsid w:val="00336C84"/>
    <w:rsid w:val="00337DC8"/>
    <w:rsid w:val="003400DB"/>
    <w:rsid w:val="003419E1"/>
    <w:rsid w:val="00342065"/>
    <w:rsid w:val="0034270A"/>
    <w:rsid w:val="003447E1"/>
    <w:rsid w:val="00344BD5"/>
    <w:rsid w:val="00345097"/>
    <w:rsid w:val="00345DEE"/>
    <w:rsid w:val="00346152"/>
    <w:rsid w:val="00346E94"/>
    <w:rsid w:val="0035150A"/>
    <w:rsid w:val="0035220C"/>
    <w:rsid w:val="003535B2"/>
    <w:rsid w:val="003564B4"/>
    <w:rsid w:val="003568DB"/>
    <w:rsid w:val="00360444"/>
    <w:rsid w:val="00362C69"/>
    <w:rsid w:val="00364635"/>
    <w:rsid w:val="00365469"/>
    <w:rsid w:val="003700A7"/>
    <w:rsid w:val="00371B31"/>
    <w:rsid w:val="00372728"/>
    <w:rsid w:val="00373697"/>
    <w:rsid w:val="0037405B"/>
    <w:rsid w:val="00375BC7"/>
    <w:rsid w:val="00376D4E"/>
    <w:rsid w:val="003774D6"/>
    <w:rsid w:val="00380AAF"/>
    <w:rsid w:val="003815D8"/>
    <w:rsid w:val="003828DB"/>
    <w:rsid w:val="00383F03"/>
    <w:rsid w:val="003853FF"/>
    <w:rsid w:val="0038733C"/>
    <w:rsid w:val="00387AE5"/>
    <w:rsid w:val="00390753"/>
    <w:rsid w:val="003925A2"/>
    <w:rsid w:val="00394C8F"/>
    <w:rsid w:val="00397458"/>
    <w:rsid w:val="003A30E3"/>
    <w:rsid w:val="003A3F94"/>
    <w:rsid w:val="003A4408"/>
    <w:rsid w:val="003A62F1"/>
    <w:rsid w:val="003A7A68"/>
    <w:rsid w:val="003B2C69"/>
    <w:rsid w:val="003B313D"/>
    <w:rsid w:val="003B325C"/>
    <w:rsid w:val="003B3283"/>
    <w:rsid w:val="003B42D2"/>
    <w:rsid w:val="003B460C"/>
    <w:rsid w:val="003B5856"/>
    <w:rsid w:val="003C2A9B"/>
    <w:rsid w:val="003C4608"/>
    <w:rsid w:val="003C6172"/>
    <w:rsid w:val="003C77FF"/>
    <w:rsid w:val="003D0D63"/>
    <w:rsid w:val="003D1850"/>
    <w:rsid w:val="003D35D3"/>
    <w:rsid w:val="003D42C2"/>
    <w:rsid w:val="003D4FE7"/>
    <w:rsid w:val="003D57BB"/>
    <w:rsid w:val="003D7831"/>
    <w:rsid w:val="003E088D"/>
    <w:rsid w:val="003E2289"/>
    <w:rsid w:val="003E277C"/>
    <w:rsid w:val="003E41AE"/>
    <w:rsid w:val="003E5440"/>
    <w:rsid w:val="003E59E5"/>
    <w:rsid w:val="003E5A5B"/>
    <w:rsid w:val="003E6A20"/>
    <w:rsid w:val="003E7D57"/>
    <w:rsid w:val="003F5D8D"/>
    <w:rsid w:val="00400AEE"/>
    <w:rsid w:val="0040112B"/>
    <w:rsid w:val="0040209E"/>
    <w:rsid w:val="0040236B"/>
    <w:rsid w:val="00404285"/>
    <w:rsid w:val="004060A2"/>
    <w:rsid w:val="00410DBA"/>
    <w:rsid w:val="00410F08"/>
    <w:rsid w:val="00411877"/>
    <w:rsid w:val="004149CC"/>
    <w:rsid w:val="00414E25"/>
    <w:rsid w:val="00416344"/>
    <w:rsid w:val="004207D2"/>
    <w:rsid w:val="00423D68"/>
    <w:rsid w:val="00424487"/>
    <w:rsid w:val="00427B67"/>
    <w:rsid w:val="0043185B"/>
    <w:rsid w:val="004333B1"/>
    <w:rsid w:val="00433742"/>
    <w:rsid w:val="004346F2"/>
    <w:rsid w:val="004353E7"/>
    <w:rsid w:val="00435DA3"/>
    <w:rsid w:val="00436A39"/>
    <w:rsid w:val="00436E02"/>
    <w:rsid w:val="004374D0"/>
    <w:rsid w:val="00437B3A"/>
    <w:rsid w:val="00440B6D"/>
    <w:rsid w:val="004414C1"/>
    <w:rsid w:val="00446CD2"/>
    <w:rsid w:val="00447339"/>
    <w:rsid w:val="00447A3B"/>
    <w:rsid w:val="00451125"/>
    <w:rsid w:val="0045174B"/>
    <w:rsid w:val="0045289D"/>
    <w:rsid w:val="00456D60"/>
    <w:rsid w:val="00457A5C"/>
    <w:rsid w:val="00461D77"/>
    <w:rsid w:val="00464896"/>
    <w:rsid w:val="00464C95"/>
    <w:rsid w:val="00465101"/>
    <w:rsid w:val="004654CA"/>
    <w:rsid w:val="00466F1B"/>
    <w:rsid w:val="004700EF"/>
    <w:rsid w:val="004706E1"/>
    <w:rsid w:val="00472D08"/>
    <w:rsid w:val="00473CD7"/>
    <w:rsid w:val="004757C9"/>
    <w:rsid w:val="004772C6"/>
    <w:rsid w:val="00477377"/>
    <w:rsid w:val="00480443"/>
    <w:rsid w:val="00480D98"/>
    <w:rsid w:val="0048346D"/>
    <w:rsid w:val="004848C1"/>
    <w:rsid w:val="00486B72"/>
    <w:rsid w:val="00490316"/>
    <w:rsid w:val="004904B8"/>
    <w:rsid w:val="00492518"/>
    <w:rsid w:val="0049390D"/>
    <w:rsid w:val="004A115D"/>
    <w:rsid w:val="004A3138"/>
    <w:rsid w:val="004A524C"/>
    <w:rsid w:val="004A5C75"/>
    <w:rsid w:val="004A67F8"/>
    <w:rsid w:val="004B020A"/>
    <w:rsid w:val="004B035B"/>
    <w:rsid w:val="004B048D"/>
    <w:rsid w:val="004B33ED"/>
    <w:rsid w:val="004B477F"/>
    <w:rsid w:val="004B5A0A"/>
    <w:rsid w:val="004B6A57"/>
    <w:rsid w:val="004B6B27"/>
    <w:rsid w:val="004C188B"/>
    <w:rsid w:val="004C1CC2"/>
    <w:rsid w:val="004C29DC"/>
    <w:rsid w:val="004C3904"/>
    <w:rsid w:val="004C3A7C"/>
    <w:rsid w:val="004C3E08"/>
    <w:rsid w:val="004C4D90"/>
    <w:rsid w:val="004C5945"/>
    <w:rsid w:val="004C6554"/>
    <w:rsid w:val="004D0A9B"/>
    <w:rsid w:val="004D14A7"/>
    <w:rsid w:val="004D16C7"/>
    <w:rsid w:val="004D293A"/>
    <w:rsid w:val="004D2C50"/>
    <w:rsid w:val="004D7031"/>
    <w:rsid w:val="004E1BBC"/>
    <w:rsid w:val="004E1C1B"/>
    <w:rsid w:val="004E1D84"/>
    <w:rsid w:val="004E30E2"/>
    <w:rsid w:val="004E35C4"/>
    <w:rsid w:val="004E3925"/>
    <w:rsid w:val="004E652E"/>
    <w:rsid w:val="004E6DD1"/>
    <w:rsid w:val="004E7410"/>
    <w:rsid w:val="004E74BA"/>
    <w:rsid w:val="004F213A"/>
    <w:rsid w:val="004F4112"/>
    <w:rsid w:val="004F4B92"/>
    <w:rsid w:val="004F4C39"/>
    <w:rsid w:val="004F5004"/>
    <w:rsid w:val="004F709D"/>
    <w:rsid w:val="004F7FAB"/>
    <w:rsid w:val="00501D36"/>
    <w:rsid w:val="005039F6"/>
    <w:rsid w:val="00503F8D"/>
    <w:rsid w:val="00504328"/>
    <w:rsid w:val="00506116"/>
    <w:rsid w:val="00510442"/>
    <w:rsid w:val="00510A62"/>
    <w:rsid w:val="005124D2"/>
    <w:rsid w:val="005127C4"/>
    <w:rsid w:val="00515C86"/>
    <w:rsid w:val="00516537"/>
    <w:rsid w:val="00517116"/>
    <w:rsid w:val="00517E16"/>
    <w:rsid w:val="00522890"/>
    <w:rsid w:val="0052396B"/>
    <w:rsid w:val="00524746"/>
    <w:rsid w:val="005250D9"/>
    <w:rsid w:val="005257BB"/>
    <w:rsid w:val="005261A9"/>
    <w:rsid w:val="00527472"/>
    <w:rsid w:val="00527856"/>
    <w:rsid w:val="0053019E"/>
    <w:rsid w:val="00530D4C"/>
    <w:rsid w:val="005332F8"/>
    <w:rsid w:val="005350F8"/>
    <w:rsid w:val="0053628D"/>
    <w:rsid w:val="00537760"/>
    <w:rsid w:val="0054018C"/>
    <w:rsid w:val="00540893"/>
    <w:rsid w:val="005448CF"/>
    <w:rsid w:val="00545272"/>
    <w:rsid w:val="005461F2"/>
    <w:rsid w:val="00546BFA"/>
    <w:rsid w:val="00546F11"/>
    <w:rsid w:val="00547060"/>
    <w:rsid w:val="0054735B"/>
    <w:rsid w:val="00547E11"/>
    <w:rsid w:val="005510CF"/>
    <w:rsid w:val="0055165C"/>
    <w:rsid w:val="00552486"/>
    <w:rsid w:val="0055254B"/>
    <w:rsid w:val="005525A8"/>
    <w:rsid w:val="005566D4"/>
    <w:rsid w:val="0055740F"/>
    <w:rsid w:val="00557FC1"/>
    <w:rsid w:val="00560241"/>
    <w:rsid w:val="00562B25"/>
    <w:rsid w:val="005644B9"/>
    <w:rsid w:val="00564F41"/>
    <w:rsid w:val="005650CB"/>
    <w:rsid w:val="00565E14"/>
    <w:rsid w:val="00566C44"/>
    <w:rsid w:val="00567D27"/>
    <w:rsid w:val="0057099B"/>
    <w:rsid w:val="0057272C"/>
    <w:rsid w:val="0057279D"/>
    <w:rsid w:val="0057286B"/>
    <w:rsid w:val="00572D52"/>
    <w:rsid w:val="00573A79"/>
    <w:rsid w:val="0057419D"/>
    <w:rsid w:val="00580DD1"/>
    <w:rsid w:val="0058331D"/>
    <w:rsid w:val="0058517C"/>
    <w:rsid w:val="0058551A"/>
    <w:rsid w:val="00592A8A"/>
    <w:rsid w:val="00597250"/>
    <w:rsid w:val="00597545"/>
    <w:rsid w:val="005A0A6D"/>
    <w:rsid w:val="005A24BE"/>
    <w:rsid w:val="005A32ED"/>
    <w:rsid w:val="005A3EB3"/>
    <w:rsid w:val="005A436D"/>
    <w:rsid w:val="005B048F"/>
    <w:rsid w:val="005B46A2"/>
    <w:rsid w:val="005B57D0"/>
    <w:rsid w:val="005C10F1"/>
    <w:rsid w:val="005C4092"/>
    <w:rsid w:val="005C53C8"/>
    <w:rsid w:val="005C5594"/>
    <w:rsid w:val="005C62A0"/>
    <w:rsid w:val="005C6A06"/>
    <w:rsid w:val="005C702B"/>
    <w:rsid w:val="005C776F"/>
    <w:rsid w:val="005D0592"/>
    <w:rsid w:val="005D1CF2"/>
    <w:rsid w:val="005D1E86"/>
    <w:rsid w:val="005D20D6"/>
    <w:rsid w:val="005D2114"/>
    <w:rsid w:val="005D51D5"/>
    <w:rsid w:val="005D5B5F"/>
    <w:rsid w:val="005D72FF"/>
    <w:rsid w:val="005E1403"/>
    <w:rsid w:val="005E3B0C"/>
    <w:rsid w:val="005E51C0"/>
    <w:rsid w:val="005E6BD2"/>
    <w:rsid w:val="005F0A5E"/>
    <w:rsid w:val="005F281E"/>
    <w:rsid w:val="005F458C"/>
    <w:rsid w:val="005F4749"/>
    <w:rsid w:val="005F4E2B"/>
    <w:rsid w:val="005F5003"/>
    <w:rsid w:val="005F7055"/>
    <w:rsid w:val="005F7137"/>
    <w:rsid w:val="0060118A"/>
    <w:rsid w:val="0060304A"/>
    <w:rsid w:val="00603A7B"/>
    <w:rsid w:val="00604FE5"/>
    <w:rsid w:val="0060735D"/>
    <w:rsid w:val="00607E81"/>
    <w:rsid w:val="00614FDD"/>
    <w:rsid w:val="00616311"/>
    <w:rsid w:val="00617792"/>
    <w:rsid w:val="006179F7"/>
    <w:rsid w:val="00620086"/>
    <w:rsid w:val="006207FA"/>
    <w:rsid w:val="00622B7E"/>
    <w:rsid w:val="0062343F"/>
    <w:rsid w:val="0062477E"/>
    <w:rsid w:val="00624853"/>
    <w:rsid w:val="00624C3E"/>
    <w:rsid w:val="006253FD"/>
    <w:rsid w:val="00625C0C"/>
    <w:rsid w:val="0062669E"/>
    <w:rsid w:val="0063094B"/>
    <w:rsid w:val="006333A7"/>
    <w:rsid w:val="0063378B"/>
    <w:rsid w:val="00634610"/>
    <w:rsid w:val="00634972"/>
    <w:rsid w:val="006350AE"/>
    <w:rsid w:val="00635C2A"/>
    <w:rsid w:val="00636A81"/>
    <w:rsid w:val="0063751E"/>
    <w:rsid w:val="00637983"/>
    <w:rsid w:val="0064094E"/>
    <w:rsid w:val="0064128F"/>
    <w:rsid w:val="0064158E"/>
    <w:rsid w:val="006417AB"/>
    <w:rsid w:val="0064356A"/>
    <w:rsid w:val="00646A2B"/>
    <w:rsid w:val="00646D56"/>
    <w:rsid w:val="00647AD7"/>
    <w:rsid w:val="00652FC1"/>
    <w:rsid w:val="00653501"/>
    <w:rsid w:val="0065365F"/>
    <w:rsid w:val="006550CC"/>
    <w:rsid w:val="00656B76"/>
    <w:rsid w:val="00656E82"/>
    <w:rsid w:val="0066074B"/>
    <w:rsid w:val="00661FB7"/>
    <w:rsid w:val="0066294F"/>
    <w:rsid w:val="00664128"/>
    <w:rsid w:val="006649F6"/>
    <w:rsid w:val="00666EDE"/>
    <w:rsid w:val="00667311"/>
    <w:rsid w:val="00667641"/>
    <w:rsid w:val="006677B9"/>
    <w:rsid w:val="00667A4C"/>
    <w:rsid w:val="00670157"/>
    <w:rsid w:val="00672D9F"/>
    <w:rsid w:val="00673085"/>
    <w:rsid w:val="006731DB"/>
    <w:rsid w:val="00676351"/>
    <w:rsid w:val="00680B4E"/>
    <w:rsid w:val="006823E4"/>
    <w:rsid w:val="00683A15"/>
    <w:rsid w:val="00684F68"/>
    <w:rsid w:val="006856BD"/>
    <w:rsid w:val="00685D78"/>
    <w:rsid w:val="0068691E"/>
    <w:rsid w:val="00686B29"/>
    <w:rsid w:val="00687249"/>
    <w:rsid w:val="00687A1E"/>
    <w:rsid w:val="00690187"/>
    <w:rsid w:val="00690223"/>
    <w:rsid w:val="00690667"/>
    <w:rsid w:val="006919D6"/>
    <w:rsid w:val="0069513B"/>
    <w:rsid w:val="0069560B"/>
    <w:rsid w:val="006A051D"/>
    <w:rsid w:val="006A127F"/>
    <w:rsid w:val="006A1983"/>
    <w:rsid w:val="006A2E46"/>
    <w:rsid w:val="006A4E5E"/>
    <w:rsid w:val="006A53E9"/>
    <w:rsid w:val="006A54BD"/>
    <w:rsid w:val="006A7C15"/>
    <w:rsid w:val="006B0D96"/>
    <w:rsid w:val="006B1F24"/>
    <w:rsid w:val="006B2A02"/>
    <w:rsid w:val="006B4F2F"/>
    <w:rsid w:val="006B5D65"/>
    <w:rsid w:val="006B75E9"/>
    <w:rsid w:val="006C0A16"/>
    <w:rsid w:val="006C0AEB"/>
    <w:rsid w:val="006C1009"/>
    <w:rsid w:val="006C23E3"/>
    <w:rsid w:val="006C6272"/>
    <w:rsid w:val="006C753E"/>
    <w:rsid w:val="006D03AF"/>
    <w:rsid w:val="006D1526"/>
    <w:rsid w:val="006D1B3B"/>
    <w:rsid w:val="006D263D"/>
    <w:rsid w:val="006D457D"/>
    <w:rsid w:val="006D4AE6"/>
    <w:rsid w:val="006D592A"/>
    <w:rsid w:val="006D61C8"/>
    <w:rsid w:val="006D68A3"/>
    <w:rsid w:val="006D75A4"/>
    <w:rsid w:val="006E0BD6"/>
    <w:rsid w:val="006E23CB"/>
    <w:rsid w:val="006E2CA3"/>
    <w:rsid w:val="006E7977"/>
    <w:rsid w:val="006F0A7B"/>
    <w:rsid w:val="006F1FF4"/>
    <w:rsid w:val="006F3521"/>
    <w:rsid w:val="006F3539"/>
    <w:rsid w:val="006F5AA8"/>
    <w:rsid w:val="006F714D"/>
    <w:rsid w:val="007000AB"/>
    <w:rsid w:val="00700536"/>
    <w:rsid w:val="00701700"/>
    <w:rsid w:val="00702929"/>
    <w:rsid w:val="007042BB"/>
    <w:rsid w:val="007050FE"/>
    <w:rsid w:val="00706EF1"/>
    <w:rsid w:val="00710877"/>
    <w:rsid w:val="0071101B"/>
    <w:rsid w:val="007126EF"/>
    <w:rsid w:val="00712B97"/>
    <w:rsid w:val="00715F6C"/>
    <w:rsid w:val="00715FB6"/>
    <w:rsid w:val="007207C7"/>
    <w:rsid w:val="00720AE1"/>
    <w:rsid w:val="00720C34"/>
    <w:rsid w:val="00720F6D"/>
    <w:rsid w:val="00722A9B"/>
    <w:rsid w:val="0072479B"/>
    <w:rsid w:val="00725657"/>
    <w:rsid w:val="007257EE"/>
    <w:rsid w:val="00725F94"/>
    <w:rsid w:val="00726E13"/>
    <w:rsid w:val="00727949"/>
    <w:rsid w:val="00735734"/>
    <w:rsid w:val="00741400"/>
    <w:rsid w:val="00742D56"/>
    <w:rsid w:val="00743087"/>
    <w:rsid w:val="00743090"/>
    <w:rsid w:val="00743192"/>
    <w:rsid w:val="007459D6"/>
    <w:rsid w:val="00746EA9"/>
    <w:rsid w:val="007479A8"/>
    <w:rsid w:val="00750CD6"/>
    <w:rsid w:val="00751BE0"/>
    <w:rsid w:val="00752754"/>
    <w:rsid w:val="007536F2"/>
    <w:rsid w:val="00755D87"/>
    <w:rsid w:val="00756F30"/>
    <w:rsid w:val="007602E4"/>
    <w:rsid w:val="00760B23"/>
    <w:rsid w:val="007662BA"/>
    <w:rsid w:val="00767703"/>
    <w:rsid w:val="00770FEC"/>
    <w:rsid w:val="00771349"/>
    <w:rsid w:val="00771688"/>
    <w:rsid w:val="00772033"/>
    <w:rsid w:val="007723A4"/>
    <w:rsid w:val="0077509A"/>
    <w:rsid w:val="007769DC"/>
    <w:rsid w:val="00780C09"/>
    <w:rsid w:val="00781BF1"/>
    <w:rsid w:val="00783A94"/>
    <w:rsid w:val="00785243"/>
    <w:rsid w:val="00786B7D"/>
    <w:rsid w:val="007912CB"/>
    <w:rsid w:val="007930FE"/>
    <w:rsid w:val="00794AAC"/>
    <w:rsid w:val="00796A2A"/>
    <w:rsid w:val="007A1CD1"/>
    <w:rsid w:val="007A2664"/>
    <w:rsid w:val="007A31E7"/>
    <w:rsid w:val="007A3721"/>
    <w:rsid w:val="007A569A"/>
    <w:rsid w:val="007B098A"/>
    <w:rsid w:val="007B0E3C"/>
    <w:rsid w:val="007B2193"/>
    <w:rsid w:val="007B273B"/>
    <w:rsid w:val="007B5FBF"/>
    <w:rsid w:val="007C0DE5"/>
    <w:rsid w:val="007C1236"/>
    <w:rsid w:val="007C1BC8"/>
    <w:rsid w:val="007C2838"/>
    <w:rsid w:val="007C4307"/>
    <w:rsid w:val="007C59B7"/>
    <w:rsid w:val="007C7A2F"/>
    <w:rsid w:val="007D087B"/>
    <w:rsid w:val="007D0973"/>
    <w:rsid w:val="007D28AF"/>
    <w:rsid w:val="007D2A39"/>
    <w:rsid w:val="007D2A78"/>
    <w:rsid w:val="007D4432"/>
    <w:rsid w:val="007D5329"/>
    <w:rsid w:val="007D5EEB"/>
    <w:rsid w:val="007D6A57"/>
    <w:rsid w:val="007D7418"/>
    <w:rsid w:val="007E04EA"/>
    <w:rsid w:val="007E0832"/>
    <w:rsid w:val="007E14F0"/>
    <w:rsid w:val="007E1566"/>
    <w:rsid w:val="007E1629"/>
    <w:rsid w:val="007E2A69"/>
    <w:rsid w:val="007E50E3"/>
    <w:rsid w:val="007E59C1"/>
    <w:rsid w:val="007E5A9D"/>
    <w:rsid w:val="007E71A1"/>
    <w:rsid w:val="007E7E4F"/>
    <w:rsid w:val="007F07FE"/>
    <w:rsid w:val="007F277A"/>
    <w:rsid w:val="007F3BF1"/>
    <w:rsid w:val="007F6418"/>
    <w:rsid w:val="007F65E2"/>
    <w:rsid w:val="00800967"/>
    <w:rsid w:val="00801829"/>
    <w:rsid w:val="0080256B"/>
    <w:rsid w:val="0080347A"/>
    <w:rsid w:val="00803A3B"/>
    <w:rsid w:val="00805517"/>
    <w:rsid w:val="008066BF"/>
    <w:rsid w:val="008129CC"/>
    <w:rsid w:val="00812A28"/>
    <w:rsid w:val="0081457D"/>
    <w:rsid w:val="00814C9B"/>
    <w:rsid w:val="00816A1C"/>
    <w:rsid w:val="00816A92"/>
    <w:rsid w:val="00816AA2"/>
    <w:rsid w:val="00816B48"/>
    <w:rsid w:val="00817A8D"/>
    <w:rsid w:val="0082048C"/>
    <w:rsid w:val="008235AC"/>
    <w:rsid w:val="008254DE"/>
    <w:rsid w:val="00827DFF"/>
    <w:rsid w:val="008309C1"/>
    <w:rsid w:val="00830BEA"/>
    <w:rsid w:val="00831D4F"/>
    <w:rsid w:val="00833C4C"/>
    <w:rsid w:val="008346DD"/>
    <w:rsid w:val="00834A73"/>
    <w:rsid w:val="00834C8F"/>
    <w:rsid w:val="0083514F"/>
    <w:rsid w:val="00835E81"/>
    <w:rsid w:val="008376A2"/>
    <w:rsid w:val="00840944"/>
    <w:rsid w:val="0084192D"/>
    <w:rsid w:val="00841CE3"/>
    <w:rsid w:val="008433EF"/>
    <w:rsid w:val="00844BBE"/>
    <w:rsid w:val="00844E11"/>
    <w:rsid w:val="00845411"/>
    <w:rsid w:val="00847B4E"/>
    <w:rsid w:val="0085061B"/>
    <w:rsid w:val="00851218"/>
    <w:rsid w:val="00853613"/>
    <w:rsid w:val="00853E00"/>
    <w:rsid w:val="008545DB"/>
    <w:rsid w:val="00854C9F"/>
    <w:rsid w:val="008570E3"/>
    <w:rsid w:val="0086047A"/>
    <w:rsid w:val="00861551"/>
    <w:rsid w:val="00861BAB"/>
    <w:rsid w:val="00861F1F"/>
    <w:rsid w:val="0086411A"/>
    <w:rsid w:val="00865842"/>
    <w:rsid w:val="00865988"/>
    <w:rsid w:val="0086765D"/>
    <w:rsid w:val="008720DA"/>
    <w:rsid w:val="00872EE4"/>
    <w:rsid w:val="008749EE"/>
    <w:rsid w:val="00877FF1"/>
    <w:rsid w:val="00886970"/>
    <w:rsid w:val="0089001B"/>
    <w:rsid w:val="0089115F"/>
    <w:rsid w:val="00893579"/>
    <w:rsid w:val="00894A17"/>
    <w:rsid w:val="00894E8A"/>
    <w:rsid w:val="00895E16"/>
    <w:rsid w:val="00895E46"/>
    <w:rsid w:val="0089649F"/>
    <w:rsid w:val="00897091"/>
    <w:rsid w:val="00897C36"/>
    <w:rsid w:val="008A077C"/>
    <w:rsid w:val="008A0FEA"/>
    <w:rsid w:val="008A2807"/>
    <w:rsid w:val="008A31C6"/>
    <w:rsid w:val="008A3B48"/>
    <w:rsid w:val="008B1163"/>
    <w:rsid w:val="008B324B"/>
    <w:rsid w:val="008B3B43"/>
    <w:rsid w:val="008B4A7D"/>
    <w:rsid w:val="008B59BE"/>
    <w:rsid w:val="008B6D3C"/>
    <w:rsid w:val="008C0395"/>
    <w:rsid w:val="008C0CB1"/>
    <w:rsid w:val="008C1537"/>
    <w:rsid w:val="008C6141"/>
    <w:rsid w:val="008C67B9"/>
    <w:rsid w:val="008C6B35"/>
    <w:rsid w:val="008C6D86"/>
    <w:rsid w:val="008C77F3"/>
    <w:rsid w:val="008D0550"/>
    <w:rsid w:val="008D31BA"/>
    <w:rsid w:val="008D3FAF"/>
    <w:rsid w:val="008D4136"/>
    <w:rsid w:val="008D4ED1"/>
    <w:rsid w:val="008D5491"/>
    <w:rsid w:val="008D57C6"/>
    <w:rsid w:val="008E5A54"/>
    <w:rsid w:val="008E681B"/>
    <w:rsid w:val="008F09F2"/>
    <w:rsid w:val="008F2ED1"/>
    <w:rsid w:val="008F357B"/>
    <w:rsid w:val="008F35EE"/>
    <w:rsid w:val="008F3D2B"/>
    <w:rsid w:val="008F4552"/>
    <w:rsid w:val="008F60F0"/>
    <w:rsid w:val="008F7053"/>
    <w:rsid w:val="008F7DAF"/>
    <w:rsid w:val="0090181E"/>
    <w:rsid w:val="009027B9"/>
    <w:rsid w:val="00904145"/>
    <w:rsid w:val="00905C14"/>
    <w:rsid w:val="00906668"/>
    <w:rsid w:val="0090697E"/>
    <w:rsid w:val="00906B26"/>
    <w:rsid w:val="00906F3D"/>
    <w:rsid w:val="009072DC"/>
    <w:rsid w:val="0090795C"/>
    <w:rsid w:val="009079E6"/>
    <w:rsid w:val="00907BA9"/>
    <w:rsid w:val="009103E0"/>
    <w:rsid w:val="009115CC"/>
    <w:rsid w:val="00911BB0"/>
    <w:rsid w:val="00914A0E"/>
    <w:rsid w:val="00914E0B"/>
    <w:rsid w:val="00915301"/>
    <w:rsid w:val="009159FD"/>
    <w:rsid w:val="00916353"/>
    <w:rsid w:val="0091741D"/>
    <w:rsid w:val="009205AB"/>
    <w:rsid w:val="00920DEC"/>
    <w:rsid w:val="00921464"/>
    <w:rsid w:val="00921C49"/>
    <w:rsid w:val="009226E4"/>
    <w:rsid w:val="00922A72"/>
    <w:rsid w:val="0092339E"/>
    <w:rsid w:val="00924F99"/>
    <w:rsid w:val="00930A07"/>
    <w:rsid w:val="00931ADE"/>
    <w:rsid w:val="0093359B"/>
    <w:rsid w:val="009336EE"/>
    <w:rsid w:val="00933789"/>
    <w:rsid w:val="009339B8"/>
    <w:rsid w:val="00933AE8"/>
    <w:rsid w:val="00936CE4"/>
    <w:rsid w:val="0093727F"/>
    <w:rsid w:val="009373D7"/>
    <w:rsid w:val="00937872"/>
    <w:rsid w:val="00937FE9"/>
    <w:rsid w:val="00940045"/>
    <w:rsid w:val="00942E1A"/>
    <w:rsid w:val="00943466"/>
    <w:rsid w:val="009456DE"/>
    <w:rsid w:val="00945721"/>
    <w:rsid w:val="009515A9"/>
    <w:rsid w:val="009521D6"/>
    <w:rsid w:val="009533B5"/>
    <w:rsid w:val="00954298"/>
    <w:rsid w:val="00955A73"/>
    <w:rsid w:val="00955BB2"/>
    <w:rsid w:val="0095618A"/>
    <w:rsid w:val="0096065C"/>
    <w:rsid w:val="009611C0"/>
    <w:rsid w:val="0096460F"/>
    <w:rsid w:val="009648CB"/>
    <w:rsid w:val="00964F8B"/>
    <w:rsid w:val="00965D7F"/>
    <w:rsid w:val="009663C4"/>
    <w:rsid w:val="009705ED"/>
    <w:rsid w:val="00970F4E"/>
    <w:rsid w:val="009730DB"/>
    <w:rsid w:val="00976243"/>
    <w:rsid w:val="00977841"/>
    <w:rsid w:val="00977F7A"/>
    <w:rsid w:val="009830E7"/>
    <w:rsid w:val="00983429"/>
    <w:rsid w:val="009841DF"/>
    <w:rsid w:val="00991DE3"/>
    <w:rsid w:val="0099331C"/>
    <w:rsid w:val="00995238"/>
    <w:rsid w:val="0099628B"/>
    <w:rsid w:val="009969F0"/>
    <w:rsid w:val="009A1028"/>
    <w:rsid w:val="009A28D3"/>
    <w:rsid w:val="009A2915"/>
    <w:rsid w:val="009A3454"/>
    <w:rsid w:val="009A400F"/>
    <w:rsid w:val="009A6DD1"/>
    <w:rsid w:val="009B022C"/>
    <w:rsid w:val="009B0ECC"/>
    <w:rsid w:val="009B15E5"/>
    <w:rsid w:val="009B1BAB"/>
    <w:rsid w:val="009B35FA"/>
    <w:rsid w:val="009B63B4"/>
    <w:rsid w:val="009B7C4A"/>
    <w:rsid w:val="009B7D28"/>
    <w:rsid w:val="009C05A1"/>
    <w:rsid w:val="009C0FED"/>
    <w:rsid w:val="009C23E8"/>
    <w:rsid w:val="009C2A3D"/>
    <w:rsid w:val="009C32F6"/>
    <w:rsid w:val="009C33AC"/>
    <w:rsid w:val="009C35EA"/>
    <w:rsid w:val="009C46A4"/>
    <w:rsid w:val="009C4EFE"/>
    <w:rsid w:val="009C5303"/>
    <w:rsid w:val="009D004D"/>
    <w:rsid w:val="009D12FE"/>
    <w:rsid w:val="009D1EFC"/>
    <w:rsid w:val="009D37CA"/>
    <w:rsid w:val="009D4468"/>
    <w:rsid w:val="009D783D"/>
    <w:rsid w:val="009E295C"/>
    <w:rsid w:val="009E6021"/>
    <w:rsid w:val="009E6AC0"/>
    <w:rsid w:val="009E6C98"/>
    <w:rsid w:val="009F037D"/>
    <w:rsid w:val="009F0FE2"/>
    <w:rsid w:val="009F111B"/>
    <w:rsid w:val="009F16DB"/>
    <w:rsid w:val="009F2356"/>
    <w:rsid w:val="009F27AB"/>
    <w:rsid w:val="009F2C0C"/>
    <w:rsid w:val="009F5D81"/>
    <w:rsid w:val="009F71D5"/>
    <w:rsid w:val="00A015F1"/>
    <w:rsid w:val="00A0257C"/>
    <w:rsid w:val="00A02A22"/>
    <w:rsid w:val="00A031E0"/>
    <w:rsid w:val="00A0350B"/>
    <w:rsid w:val="00A04CC7"/>
    <w:rsid w:val="00A06FEB"/>
    <w:rsid w:val="00A0710C"/>
    <w:rsid w:val="00A07499"/>
    <w:rsid w:val="00A101A9"/>
    <w:rsid w:val="00A1133D"/>
    <w:rsid w:val="00A12A7B"/>
    <w:rsid w:val="00A1368E"/>
    <w:rsid w:val="00A13A43"/>
    <w:rsid w:val="00A13A91"/>
    <w:rsid w:val="00A13AB3"/>
    <w:rsid w:val="00A14653"/>
    <w:rsid w:val="00A15678"/>
    <w:rsid w:val="00A15C39"/>
    <w:rsid w:val="00A16FFC"/>
    <w:rsid w:val="00A21690"/>
    <w:rsid w:val="00A231D3"/>
    <w:rsid w:val="00A23290"/>
    <w:rsid w:val="00A24612"/>
    <w:rsid w:val="00A2510B"/>
    <w:rsid w:val="00A30C3E"/>
    <w:rsid w:val="00A311B1"/>
    <w:rsid w:val="00A32982"/>
    <w:rsid w:val="00A32A2B"/>
    <w:rsid w:val="00A32B47"/>
    <w:rsid w:val="00A36643"/>
    <w:rsid w:val="00A367F4"/>
    <w:rsid w:val="00A36FC3"/>
    <w:rsid w:val="00A3721C"/>
    <w:rsid w:val="00A37A81"/>
    <w:rsid w:val="00A41E8C"/>
    <w:rsid w:val="00A43D75"/>
    <w:rsid w:val="00A451F2"/>
    <w:rsid w:val="00A45D1D"/>
    <w:rsid w:val="00A466E0"/>
    <w:rsid w:val="00A4699E"/>
    <w:rsid w:val="00A507E2"/>
    <w:rsid w:val="00A51276"/>
    <w:rsid w:val="00A534A9"/>
    <w:rsid w:val="00A536F9"/>
    <w:rsid w:val="00A541A9"/>
    <w:rsid w:val="00A561B1"/>
    <w:rsid w:val="00A5699E"/>
    <w:rsid w:val="00A56E2C"/>
    <w:rsid w:val="00A57017"/>
    <w:rsid w:val="00A5779B"/>
    <w:rsid w:val="00A606F5"/>
    <w:rsid w:val="00A60E8E"/>
    <w:rsid w:val="00A61234"/>
    <w:rsid w:val="00A6142D"/>
    <w:rsid w:val="00A636B8"/>
    <w:rsid w:val="00A63BEC"/>
    <w:rsid w:val="00A64CCE"/>
    <w:rsid w:val="00A64D4F"/>
    <w:rsid w:val="00A650AF"/>
    <w:rsid w:val="00A6537D"/>
    <w:rsid w:val="00A661F8"/>
    <w:rsid w:val="00A66A0C"/>
    <w:rsid w:val="00A67E8D"/>
    <w:rsid w:val="00A706F1"/>
    <w:rsid w:val="00A711B9"/>
    <w:rsid w:val="00A7151A"/>
    <w:rsid w:val="00A727D6"/>
    <w:rsid w:val="00A7381E"/>
    <w:rsid w:val="00A73AEA"/>
    <w:rsid w:val="00A74ACA"/>
    <w:rsid w:val="00A76331"/>
    <w:rsid w:val="00A76453"/>
    <w:rsid w:val="00A81F11"/>
    <w:rsid w:val="00A8444B"/>
    <w:rsid w:val="00A84B32"/>
    <w:rsid w:val="00A861E4"/>
    <w:rsid w:val="00A86F9F"/>
    <w:rsid w:val="00A94035"/>
    <w:rsid w:val="00A94152"/>
    <w:rsid w:val="00A96F59"/>
    <w:rsid w:val="00AA2E41"/>
    <w:rsid w:val="00AA2E87"/>
    <w:rsid w:val="00AA2F57"/>
    <w:rsid w:val="00AA361F"/>
    <w:rsid w:val="00AA4D2A"/>
    <w:rsid w:val="00AA6162"/>
    <w:rsid w:val="00AB06A6"/>
    <w:rsid w:val="00AB13AA"/>
    <w:rsid w:val="00AB1A65"/>
    <w:rsid w:val="00AB1BCA"/>
    <w:rsid w:val="00AB1EA8"/>
    <w:rsid w:val="00AB22B2"/>
    <w:rsid w:val="00AB415A"/>
    <w:rsid w:val="00AB451E"/>
    <w:rsid w:val="00AB46F0"/>
    <w:rsid w:val="00AB4A15"/>
    <w:rsid w:val="00AB51D7"/>
    <w:rsid w:val="00AB5725"/>
    <w:rsid w:val="00AB7E15"/>
    <w:rsid w:val="00AC039A"/>
    <w:rsid w:val="00AC0A00"/>
    <w:rsid w:val="00AC0E18"/>
    <w:rsid w:val="00AC27CD"/>
    <w:rsid w:val="00AC4D44"/>
    <w:rsid w:val="00AC4E75"/>
    <w:rsid w:val="00AC5ABA"/>
    <w:rsid w:val="00AD26A2"/>
    <w:rsid w:val="00AD2E9A"/>
    <w:rsid w:val="00AD37D5"/>
    <w:rsid w:val="00AD3AE5"/>
    <w:rsid w:val="00AD5C98"/>
    <w:rsid w:val="00AD6195"/>
    <w:rsid w:val="00AE0440"/>
    <w:rsid w:val="00AE07CE"/>
    <w:rsid w:val="00AE1B08"/>
    <w:rsid w:val="00AE213B"/>
    <w:rsid w:val="00AE3348"/>
    <w:rsid w:val="00AE4A0B"/>
    <w:rsid w:val="00AE52B4"/>
    <w:rsid w:val="00AE799F"/>
    <w:rsid w:val="00AF06F1"/>
    <w:rsid w:val="00AF28F9"/>
    <w:rsid w:val="00AF2D4A"/>
    <w:rsid w:val="00AF36D9"/>
    <w:rsid w:val="00AF3AA2"/>
    <w:rsid w:val="00AF7AC3"/>
    <w:rsid w:val="00AF7B97"/>
    <w:rsid w:val="00B02987"/>
    <w:rsid w:val="00B04882"/>
    <w:rsid w:val="00B06223"/>
    <w:rsid w:val="00B07E88"/>
    <w:rsid w:val="00B101CA"/>
    <w:rsid w:val="00B11F41"/>
    <w:rsid w:val="00B16128"/>
    <w:rsid w:val="00B1719E"/>
    <w:rsid w:val="00B17B3C"/>
    <w:rsid w:val="00B21F5A"/>
    <w:rsid w:val="00B24B15"/>
    <w:rsid w:val="00B24C16"/>
    <w:rsid w:val="00B25253"/>
    <w:rsid w:val="00B2538C"/>
    <w:rsid w:val="00B26688"/>
    <w:rsid w:val="00B27AED"/>
    <w:rsid w:val="00B27C8F"/>
    <w:rsid w:val="00B30D6A"/>
    <w:rsid w:val="00B31F04"/>
    <w:rsid w:val="00B328A7"/>
    <w:rsid w:val="00B33E46"/>
    <w:rsid w:val="00B34D5A"/>
    <w:rsid w:val="00B352BB"/>
    <w:rsid w:val="00B378C8"/>
    <w:rsid w:val="00B37FA6"/>
    <w:rsid w:val="00B42585"/>
    <w:rsid w:val="00B4331E"/>
    <w:rsid w:val="00B500CC"/>
    <w:rsid w:val="00B536FE"/>
    <w:rsid w:val="00B53C14"/>
    <w:rsid w:val="00B53FF7"/>
    <w:rsid w:val="00B54912"/>
    <w:rsid w:val="00B55B0D"/>
    <w:rsid w:val="00B55FB5"/>
    <w:rsid w:val="00B63CA3"/>
    <w:rsid w:val="00B65093"/>
    <w:rsid w:val="00B6668C"/>
    <w:rsid w:val="00B67DB6"/>
    <w:rsid w:val="00B70312"/>
    <w:rsid w:val="00B713EA"/>
    <w:rsid w:val="00B720DE"/>
    <w:rsid w:val="00B73216"/>
    <w:rsid w:val="00B768C8"/>
    <w:rsid w:val="00B82D08"/>
    <w:rsid w:val="00B847AE"/>
    <w:rsid w:val="00B850E6"/>
    <w:rsid w:val="00B856F9"/>
    <w:rsid w:val="00B85C9A"/>
    <w:rsid w:val="00B868D8"/>
    <w:rsid w:val="00B86944"/>
    <w:rsid w:val="00B86A12"/>
    <w:rsid w:val="00B92712"/>
    <w:rsid w:val="00B92A78"/>
    <w:rsid w:val="00B92F89"/>
    <w:rsid w:val="00B93654"/>
    <w:rsid w:val="00B9371E"/>
    <w:rsid w:val="00B948BA"/>
    <w:rsid w:val="00B9557C"/>
    <w:rsid w:val="00B95D9A"/>
    <w:rsid w:val="00B977EB"/>
    <w:rsid w:val="00BA0C47"/>
    <w:rsid w:val="00BA13C3"/>
    <w:rsid w:val="00BA1743"/>
    <w:rsid w:val="00BA311C"/>
    <w:rsid w:val="00BA3209"/>
    <w:rsid w:val="00BA398B"/>
    <w:rsid w:val="00BA3AA0"/>
    <w:rsid w:val="00BA4449"/>
    <w:rsid w:val="00BB0809"/>
    <w:rsid w:val="00BB2F88"/>
    <w:rsid w:val="00BB40A5"/>
    <w:rsid w:val="00BB43CC"/>
    <w:rsid w:val="00BC1EA7"/>
    <w:rsid w:val="00BC276D"/>
    <w:rsid w:val="00BC33C2"/>
    <w:rsid w:val="00BC4A5F"/>
    <w:rsid w:val="00BC50FC"/>
    <w:rsid w:val="00BC5DCD"/>
    <w:rsid w:val="00BC661D"/>
    <w:rsid w:val="00BD00F1"/>
    <w:rsid w:val="00BD0D6F"/>
    <w:rsid w:val="00BD2A05"/>
    <w:rsid w:val="00BD4D8A"/>
    <w:rsid w:val="00BD5228"/>
    <w:rsid w:val="00BD6828"/>
    <w:rsid w:val="00BE10EB"/>
    <w:rsid w:val="00BE2402"/>
    <w:rsid w:val="00BE2EB8"/>
    <w:rsid w:val="00BE2F25"/>
    <w:rsid w:val="00BE4B9A"/>
    <w:rsid w:val="00BE519E"/>
    <w:rsid w:val="00BE52CE"/>
    <w:rsid w:val="00BE61AD"/>
    <w:rsid w:val="00BE71D1"/>
    <w:rsid w:val="00BE751F"/>
    <w:rsid w:val="00BF3604"/>
    <w:rsid w:val="00BF3A11"/>
    <w:rsid w:val="00BF3A84"/>
    <w:rsid w:val="00BF5D15"/>
    <w:rsid w:val="00BF6542"/>
    <w:rsid w:val="00C0183C"/>
    <w:rsid w:val="00C04842"/>
    <w:rsid w:val="00C04E22"/>
    <w:rsid w:val="00C06A7E"/>
    <w:rsid w:val="00C07462"/>
    <w:rsid w:val="00C11F64"/>
    <w:rsid w:val="00C12514"/>
    <w:rsid w:val="00C1295F"/>
    <w:rsid w:val="00C12C7B"/>
    <w:rsid w:val="00C135E4"/>
    <w:rsid w:val="00C14027"/>
    <w:rsid w:val="00C1696C"/>
    <w:rsid w:val="00C172B3"/>
    <w:rsid w:val="00C231C6"/>
    <w:rsid w:val="00C2338E"/>
    <w:rsid w:val="00C2587B"/>
    <w:rsid w:val="00C259B7"/>
    <w:rsid w:val="00C25D90"/>
    <w:rsid w:val="00C26D08"/>
    <w:rsid w:val="00C26EBD"/>
    <w:rsid w:val="00C274D3"/>
    <w:rsid w:val="00C275E8"/>
    <w:rsid w:val="00C27B68"/>
    <w:rsid w:val="00C30070"/>
    <w:rsid w:val="00C308C1"/>
    <w:rsid w:val="00C31554"/>
    <w:rsid w:val="00C3168D"/>
    <w:rsid w:val="00C322F6"/>
    <w:rsid w:val="00C32865"/>
    <w:rsid w:val="00C32F8C"/>
    <w:rsid w:val="00C33877"/>
    <w:rsid w:val="00C338B8"/>
    <w:rsid w:val="00C340AC"/>
    <w:rsid w:val="00C36281"/>
    <w:rsid w:val="00C42627"/>
    <w:rsid w:val="00C43ED0"/>
    <w:rsid w:val="00C456B5"/>
    <w:rsid w:val="00C468B2"/>
    <w:rsid w:val="00C46DC0"/>
    <w:rsid w:val="00C50006"/>
    <w:rsid w:val="00C517EF"/>
    <w:rsid w:val="00C54AE8"/>
    <w:rsid w:val="00C56A24"/>
    <w:rsid w:val="00C5732C"/>
    <w:rsid w:val="00C57BCD"/>
    <w:rsid w:val="00C57D5B"/>
    <w:rsid w:val="00C615EA"/>
    <w:rsid w:val="00C627D3"/>
    <w:rsid w:val="00C630BC"/>
    <w:rsid w:val="00C650E3"/>
    <w:rsid w:val="00C72F30"/>
    <w:rsid w:val="00C7535D"/>
    <w:rsid w:val="00C756B0"/>
    <w:rsid w:val="00C771B0"/>
    <w:rsid w:val="00C80395"/>
    <w:rsid w:val="00C81A14"/>
    <w:rsid w:val="00C847DB"/>
    <w:rsid w:val="00C86541"/>
    <w:rsid w:val="00C872A7"/>
    <w:rsid w:val="00C872FB"/>
    <w:rsid w:val="00C90705"/>
    <w:rsid w:val="00C91DF6"/>
    <w:rsid w:val="00C93348"/>
    <w:rsid w:val="00C933AF"/>
    <w:rsid w:val="00C94080"/>
    <w:rsid w:val="00C9492E"/>
    <w:rsid w:val="00C94C7D"/>
    <w:rsid w:val="00C9674E"/>
    <w:rsid w:val="00CA1F0E"/>
    <w:rsid w:val="00CA1FEF"/>
    <w:rsid w:val="00CA2C7B"/>
    <w:rsid w:val="00CA2E60"/>
    <w:rsid w:val="00CA4696"/>
    <w:rsid w:val="00CA493F"/>
    <w:rsid w:val="00CB1BF5"/>
    <w:rsid w:val="00CB30C7"/>
    <w:rsid w:val="00CB429D"/>
    <w:rsid w:val="00CB472A"/>
    <w:rsid w:val="00CB5659"/>
    <w:rsid w:val="00CB60E1"/>
    <w:rsid w:val="00CB6521"/>
    <w:rsid w:val="00CB6CDB"/>
    <w:rsid w:val="00CC2F77"/>
    <w:rsid w:val="00CC5011"/>
    <w:rsid w:val="00CD0573"/>
    <w:rsid w:val="00CD0E32"/>
    <w:rsid w:val="00CD14A4"/>
    <w:rsid w:val="00CD18ED"/>
    <w:rsid w:val="00CD19C2"/>
    <w:rsid w:val="00CD1F10"/>
    <w:rsid w:val="00CD256C"/>
    <w:rsid w:val="00CD343C"/>
    <w:rsid w:val="00CD580F"/>
    <w:rsid w:val="00CD704F"/>
    <w:rsid w:val="00CE0D0D"/>
    <w:rsid w:val="00CE10E9"/>
    <w:rsid w:val="00CE1F99"/>
    <w:rsid w:val="00CE2288"/>
    <w:rsid w:val="00CE4F08"/>
    <w:rsid w:val="00CE564C"/>
    <w:rsid w:val="00CE5CDB"/>
    <w:rsid w:val="00CF1011"/>
    <w:rsid w:val="00CF48E2"/>
    <w:rsid w:val="00CF4B03"/>
    <w:rsid w:val="00CF53D7"/>
    <w:rsid w:val="00CF5D55"/>
    <w:rsid w:val="00D004BD"/>
    <w:rsid w:val="00D0106C"/>
    <w:rsid w:val="00D025C8"/>
    <w:rsid w:val="00D048D9"/>
    <w:rsid w:val="00D121ED"/>
    <w:rsid w:val="00D1304D"/>
    <w:rsid w:val="00D140E0"/>
    <w:rsid w:val="00D1421B"/>
    <w:rsid w:val="00D149BE"/>
    <w:rsid w:val="00D16F5E"/>
    <w:rsid w:val="00D2024C"/>
    <w:rsid w:val="00D2108F"/>
    <w:rsid w:val="00D21286"/>
    <w:rsid w:val="00D22136"/>
    <w:rsid w:val="00D24ED3"/>
    <w:rsid w:val="00D253A6"/>
    <w:rsid w:val="00D26FE8"/>
    <w:rsid w:val="00D2767F"/>
    <w:rsid w:val="00D27F07"/>
    <w:rsid w:val="00D300BF"/>
    <w:rsid w:val="00D313CB"/>
    <w:rsid w:val="00D31A37"/>
    <w:rsid w:val="00D325E9"/>
    <w:rsid w:val="00D32714"/>
    <w:rsid w:val="00D32D67"/>
    <w:rsid w:val="00D3303C"/>
    <w:rsid w:val="00D33ED8"/>
    <w:rsid w:val="00D3653A"/>
    <w:rsid w:val="00D36B7D"/>
    <w:rsid w:val="00D3783F"/>
    <w:rsid w:val="00D40128"/>
    <w:rsid w:val="00D40EEB"/>
    <w:rsid w:val="00D43355"/>
    <w:rsid w:val="00D47EEF"/>
    <w:rsid w:val="00D5069D"/>
    <w:rsid w:val="00D52EB4"/>
    <w:rsid w:val="00D53AA1"/>
    <w:rsid w:val="00D54167"/>
    <w:rsid w:val="00D5448B"/>
    <w:rsid w:val="00D55A99"/>
    <w:rsid w:val="00D6043C"/>
    <w:rsid w:val="00D612ED"/>
    <w:rsid w:val="00D61FB2"/>
    <w:rsid w:val="00D63239"/>
    <w:rsid w:val="00D63B77"/>
    <w:rsid w:val="00D63D1E"/>
    <w:rsid w:val="00D64C04"/>
    <w:rsid w:val="00D67734"/>
    <w:rsid w:val="00D705F3"/>
    <w:rsid w:val="00D728EB"/>
    <w:rsid w:val="00D75388"/>
    <w:rsid w:val="00D755EF"/>
    <w:rsid w:val="00D80F27"/>
    <w:rsid w:val="00D81156"/>
    <w:rsid w:val="00D83950"/>
    <w:rsid w:val="00D858AD"/>
    <w:rsid w:val="00D86E20"/>
    <w:rsid w:val="00D91582"/>
    <w:rsid w:val="00D93661"/>
    <w:rsid w:val="00D9443C"/>
    <w:rsid w:val="00D9460A"/>
    <w:rsid w:val="00D950B5"/>
    <w:rsid w:val="00D961B2"/>
    <w:rsid w:val="00D963A8"/>
    <w:rsid w:val="00D97EBE"/>
    <w:rsid w:val="00DA0B83"/>
    <w:rsid w:val="00DA414F"/>
    <w:rsid w:val="00DA56EA"/>
    <w:rsid w:val="00DA7285"/>
    <w:rsid w:val="00DB0330"/>
    <w:rsid w:val="00DB03A6"/>
    <w:rsid w:val="00DB07CF"/>
    <w:rsid w:val="00DB1006"/>
    <w:rsid w:val="00DB318F"/>
    <w:rsid w:val="00DB4B9A"/>
    <w:rsid w:val="00DC1732"/>
    <w:rsid w:val="00DC401B"/>
    <w:rsid w:val="00DC4654"/>
    <w:rsid w:val="00DC5476"/>
    <w:rsid w:val="00DD3BE4"/>
    <w:rsid w:val="00DD512F"/>
    <w:rsid w:val="00DD5BBE"/>
    <w:rsid w:val="00DD6A06"/>
    <w:rsid w:val="00DE2113"/>
    <w:rsid w:val="00DE4224"/>
    <w:rsid w:val="00DE4934"/>
    <w:rsid w:val="00DF02B3"/>
    <w:rsid w:val="00DF0559"/>
    <w:rsid w:val="00DF0AE6"/>
    <w:rsid w:val="00DF2BAC"/>
    <w:rsid w:val="00DF48B6"/>
    <w:rsid w:val="00DF598B"/>
    <w:rsid w:val="00DF5BF3"/>
    <w:rsid w:val="00DF7A91"/>
    <w:rsid w:val="00E00F09"/>
    <w:rsid w:val="00E0230B"/>
    <w:rsid w:val="00E023CF"/>
    <w:rsid w:val="00E02CA9"/>
    <w:rsid w:val="00E0556F"/>
    <w:rsid w:val="00E0704A"/>
    <w:rsid w:val="00E10159"/>
    <w:rsid w:val="00E11E92"/>
    <w:rsid w:val="00E12774"/>
    <w:rsid w:val="00E151BF"/>
    <w:rsid w:val="00E15CFC"/>
    <w:rsid w:val="00E160BB"/>
    <w:rsid w:val="00E203C5"/>
    <w:rsid w:val="00E20B6E"/>
    <w:rsid w:val="00E217AF"/>
    <w:rsid w:val="00E21E68"/>
    <w:rsid w:val="00E25D21"/>
    <w:rsid w:val="00E276C6"/>
    <w:rsid w:val="00E27C7D"/>
    <w:rsid w:val="00E337B0"/>
    <w:rsid w:val="00E367D3"/>
    <w:rsid w:val="00E40166"/>
    <w:rsid w:val="00E445E4"/>
    <w:rsid w:val="00E459A9"/>
    <w:rsid w:val="00E467EE"/>
    <w:rsid w:val="00E4737E"/>
    <w:rsid w:val="00E47B62"/>
    <w:rsid w:val="00E504FB"/>
    <w:rsid w:val="00E52A43"/>
    <w:rsid w:val="00E55EF9"/>
    <w:rsid w:val="00E6250D"/>
    <w:rsid w:val="00E625FB"/>
    <w:rsid w:val="00E62954"/>
    <w:rsid w:val="00E62A7E"/>
    <w:rsid w:val="00E63F6A"/>
    <w:rsid w:val="00E63FA2"/>
    <w:rsid w:val="00E6498E"/>
    <w:rsid w:val="00E65AA9"/>
    <w:rsid w:val="00E6769C"/>
    <w:rsid w:val="00E70090"/>
    <w:rsid w:val="00E70691"/>
    <w:rsid w:val="00E71C9B"/>
    <w:rsid w:val="00E74226"/>
    <w:rsid w:val="00E75115"/>
    <w:rsid w:val="00E75149"/>
    <w:rsid w:val="00E75230"/>
    <w:rsid w:val="00E753BE"/>
    <w:rsid w:val="00E76C1E"/>
    <w:rsid w:val="00E770F4"/>
    <w:rsid w:val="00E775AB"/>
    <w:rsid w:val="00E77934"/>
    <w:rsid w:val="00E77C68"/>
    <w:rsid w:val="00E80FC3"/>
    <w:rsid w:val="00E812C5"/>
    <w:rsid w:val="00E83DBE"/>
    <w:rsid w:val="00E841F6"/>
    <w:rsid w:val="00E86862"/>
    <w:rsid w:val="00E86B4D"/>
    <w:rsid w:val="00E94343"/>
    <w:rsid w:val="00E954F2"/>
    <w:rsid w:val="00E978D1"/>
    <w:rsid w:val="00EA15CD"/>
    <w:rsid w:val="00EA34D6"/>
    <w:rsid w:val="00EA3636"/>
    <w:rsid w:val="00EA38D8"/>
    <w:rsid w:val="00EA47B0"/>
    <w:rsid w:val="00EA5A2E"/>
    <w:rsid w:val="00EA74C1"/>
    <w:rsid w:val="00EA7DD6"/>
    <w:rsid w:val="00EB0AA2"/>
    <w:rsid w:val="00EB1A18"/>
    <w:rsid w:val="00EB1B29"/>
    <w:rsid w:val="00EB1C64"/>
    <w:rsid w:val="00EB30B2"/>
    <w:rsid w:val="00EB3CC8"/>
    <w:rsid w:val="00EB4901"/>
    <w:rsid w:val="00EB5839"/>
    <w:rsid w:val="00EB61D9"/>
    <w:rsid w:val="00EB6874"/>
    <w:rsid w:val="00EC04CF"/>
    <w:rsid w:val="00EC07BF"/>
    <w:rsid w:val="00EC2173"/>
    <w:rsid w:val="00EC23CC"/>
    <w:rsid w:val="00EC40BB"/>
    <w:rsid w:val="00EC6E58"/>
    <w:rsid w:val="00ED1346"/>
    <w:rsid w:val="00ED3CEA"/>
    <w:rsid w:val="00ED4562"/>
    <w:rsid w:val="00EE119C"/>
    <w:rsid w:val="00EE20A2"/>
    <w:rsid w:val="00EE2196"/>
    <w:rsid w:val="00EE22F1"/>
    <w:rsid w:val="00EE3827"/>
    <w:rsid w:val="00EE4632"/>
    <w:rsid w:val="00EE4AB8"/>
    <w:rsid w:val="00EF02DC"/>
    <w:rsid w:val="00EF1C79"/>
    <w:rsid w:val="00EF1E33"/>
    <w:rsid w:val="00EF2165"/>
    <w:rsid w:val="00EF250B"/>
    <w:rsid w:val="00EF286B"/>
    <w:rsid w:val="00EF41D5"/>
    <w:rsid w:val="00EF70F6"/>
    <w:rsid w:val="00F005CC"/>
    <w:rsid w:val="00F00BFD"/>
    <w:rsid w:val="00F0116B"/>
    <w:rsid w:val="00F01BA7"/>
    <w:rsid w:val="00F01CB5"/>
    <w:rsid w:val="00F025B3"/>
    <w:rsid w:val="00F0458F"/>
    <w:rsid w:val="00F0628C"/>
    <w:rsid w:val="00F07720"/>
    <w:rsid w:val="00F07DFD"/>
    <w:rsid w:val="00F11817"/>
    <w:rsid w:val="00F12016"/>
    <w:rsid w:val="00F13051"/>
    <w:rsid w:val="00F13556"/>
    <w:rsid w:val="00F14842"/>
    <w:rsid w:val="00F14893"/>
    <w:rsid w:val="00F14A49"/>
    <w:rsid w:val="00F14AA5"/>
    <w:rsid w:val="00F150FF"/>
    <w:rsid w:val="00F15748"/>
    <w:rsid w:val="00F1798B"/>
    <w:rsid w:val="00F20594"/>
    <w:rsid w:val="00F20B84"/>
    <w:rsid w:val="00F243A3"/>
    <w:rsid w:val="00F24DB6"/>
    <w:rsid w:val="00F25DE8"/>
    <w:rsid w:val="00F27853"/>
    <w:rsid w:val="00F34438"/>
    <w:rsid w:val="00F34612"/>
    <w:rsid w:val="00F37391"/>
    <w:rsid w:val="00F4145C"/>
    <w:rsid w:val="00F43062"/>
    <w:rsid w:val="00F441DD"/>
    <w:rsid w:val="00F45FF5"/>
    <w:rsid w:val="00F47828"/>
    <w:rsid w:val="00F52A8D"/>
    <w:rsid w:val="00F538C6"/>
    <w:rsid w:val="00F54885"/>
    <w:rsid w:val="00F559D2"/>
    <w:rsid w:val="00F56CB1"/>
    <w:rsid w:val="00F56CE1"/>
    <w:rsid w:val="00F61206"/>
    <w:rsid w:val="00F613DC"/>
    <w:rsid w:val="00F6214A"/>
    <w:rsid w:val="00F63897"/>
    <w:rsid w:val="00F6411C"/>
    <w:rsid w:val="00F657A2"/>
    <w:rsid w:val="00F66B70"/>
    <w:rsid w:val="00F71032"/>
    <w:rsid w:val="00F71290"/>
    <w:rsid w:val="00F729C1"/>
    <w:rsid w:val="00F7374A"/>
    <w:rsid w:val="00F73AF8"/>
    <w:rsid w:val="00F812C2"/>
    <w:rsid w:val="00F8300A"/>
    <w:rsid w:val="00F83A76"/>
    <w:rsid w:val="00F83E98"/>
    <w:rsid w:val="00F84690"/>
    <w:rsid w:val="00F86813"/>
    <w:rsid w:val="00F86C6F"/>
    <w:rsid w:val="00F86E0B"/>
    <w:rsid w:val="00F90124"/>
    <w:rsid w:val="00F90ABE"/>
    <w:rsid w:val="00F90EC6"/>
    <w:rsid w:val="00F91B7C"/>
    <w:rsid w:val="00F94316"/>
    <w:rsid w:val="00F944A6"/>
    <w:rsid w:val="00F9578E"/>
    <w:rsid w:val="00F966FC"/>
    <w:rsid w:val="00FA0CC7"/>
    <w:rsid w:val="00FA1BC0"/>
    <w:rsid w:val="00FA1E01"/>
    <w:rsid w:val="00FA2C02"/>
    <w:rsid w:val="00FA3439"/>
    <w:rsid w:val="00FA3783"/>
    <w:rsid w:val="00FA3BBB"/>
    <w:rsid w:val="00FA5D49"/>
    <w:rsid w:val="00FA6426"/>
    <w:rsid w:val="00FA77E6"/>
    <w:rsid w:val="00FB13FE"/>
    <w:rsid w:val="00FB70ED"/>
    <w:rsid w:val="00FB769F"/>
    <w:rsid w:val="00FB7A31"/>
    <w:rsid w:val="00FC2FD9"/>
    <w:rsid w:val="00FC349E"/>
    <w:rsid w:val="00FC4580"/>
    <w:rsid w:val="00FC4685"/>
    <w:rsid w:val="00FC4769"/>
    <w:rsid w:val="00FC528C"/>
    <w:rsid w:val="00FC59A3"/>
    <w:rsid w:val="00FC5C4C"/>
    <w:rsid w:val="00FD168B"/>
    <w:rsid w:val="00FD2104"/>
    <w:rsid w:val="00FD2A51"/>
    <w:rsid w:val="00FD2C21"/>
    <w:rsid w:val="00FD3191"/>
    <w:rsid w:val="00FD4151"/>
    <w:rsid w:val="00FD48C0"/>
    <w:rsid w:val="00FD5EA6"/>
    <w:rsid w:val="00FD6410"/>
    <w:rsid w:val="00FD6777"/>
    <w:rsid w:val="00FD7D02"/>
    <w:rsid w:val="00FE0A1C"/>
    <w:rsid w:val="00FE1742"/>
    <w:rsid w:val="00FE3C95"/>
    <w:rsid w:val="00FE4C7E"/>
    <w:rsid w:val="00FE7465"/>
    <w:rsid w:val="00FE7A86"/>
    <w:rsid w:val="00FF0954"/>
    <w:rsid w:val="00FF16C8"/>
    <w:rsid w:val="00FF536A"/>
    <w:rsid w:val="01DB7ECE"/>
    <w:rsid w:val="01E925F2"/>
    <w:rsid w:val="055B7735"/>
    <w:rsid w:val="09CA4C53"/>
    <w:rsid w:val="0A424FBD"/>
    <w:rsid w:val="0A695261"/>
    <w:rsid w:val="0D8321F2"/>
    <w:rsid w:val="0E8B67DF"/>
    <w:rsid w:val="101D0645"/>
    <w:rsid w:val="10A255AA"/>
    <w:rsid w:val="10FC376C"/>
    <w:rsid w:val="130F7D8D"/>
    <w:rsid w:val="13F13588"/>
    <w:rsid w:val="15EE60AA"/>
    <w:rsid w:val="1A174205"/>
    <w:rsid w:val="1C421CEE"/>
    <w:rsid w:val="1E7354F5"/>
    <w:rsid w:val="20CA2053"/>
    <w:rsid w:val="215678E9"/>
    <w:rsid w:val="21E169EA"/>
    <w:rsid w:val="23635580"/>
    <w:rsid w:val="23705540"/>
    <w:rsid w:val="23871575"/>
    <w:rsid w:val="238D3B77"/>
    <w:rsid w:val="26090F1F"/>
    <w:rsid w:val="2663236B"/>
    <w:rsid w:val="26C17FC9"/>
    <w:rsid w:val="29374301"/>
    <w:rsid w:val="2A0E523D"/>
    <w:rsid w:val="2C916D79"/>
    <w:rsid w:val="317C2B11"/>
    <w:rsid w:val="321E3FFA"/>
    <w:rsid w:val="324F5B44"/>
    <w:rsid w:val="327F1980"/>
    <w:rsid w:val="32F12432"/>
    <w:rsid w:val="346E09F2"/>
    <w:rsid w:val="349B09AA"/>
    <w:rsid w:val="35D044B2"/>
    <w:rsid w:val="36375735"/>
    <w:rsid w:val="378A4584"/>
    <w:rsid w:val="378C6D4A"/>
    <w:rsid w:val="390C7D35"/>
    <w:rsid w:val="39290B7B"/>
    <w:rsid w:val="39745F39"/>
    <w:rsid w:val="3D3C085F"/>
    <w:rsid w:val="3DF43CB0"/>
    <w:rsid w:val="3E8A5678"/>
    <w:rsid w:val="3F654A5D"/>
    <w:rsid w:val="426C4F0E"/>
    <w:rsid w:val="431C567C"/>
    <w:rsid w:val="44B63F1A"/>
    <w:rsid w:val="451654F4"/>
    <w:rsid w:val="48810F87"/>
    <w:rsid w:val="4A5B3B64"/>
    <w:rsid w:val="4AC01A61"/>
    <w:rsid w:val="4B42452F"/>
    <w:rsid w:val="4B820183"/>
    <w:rsid w:val="4B88547A"/>
    <w:rsid w:val="4BC01C90"/>
    <w:rsid w:val="4E1A1FF3"/>
    <w:rsid w:val="4F576EB4"/>
    <w:rsid w:val="50CF1F2E"/>
    <w:rsid w:val="51E031B4"/>
    <w:rsid w:val="531A4FAA"/>
    <w:rsid w:val="535C05BC"/>
    <w:rsid w:val="541B05CB"/>
    <w:rsid w:val="54A46742"/>
    <w:rsid w:val="56BD1493"/>
    <w:rsid w:val="5AE76118"/>
    <w:rsid w:val="5B197DCD"/>
    <w:rsid w:val="5BCE7D78"/>
    <w:rsid w:val="5C3A5466"/>
    <w:rsid w:val="5CE14FED"/>
    <w:rsid w:val="5DC51364"/>
    <w:rsid w:val="6014409A"/>
    <w:rsid w:val="621A06A3"/>
    <w:rsid w:val="649C1615"/>
    <w:rsid w:val="64B32B11"/>
    <w:rsid w:val="65962F5E"/>
    <w:rsid w:val="65A70431"/>
    <w:rsid w:val="65D84CB5"/>
    <w:rsid w:val="6646797E"/>
    <w:rsid w:val="665520F7"/>
    <w:rsid w:val="679805F2"/>
    <w:rsid w:val="682B70D6"/>
    <w:rsid w:val="68375C81"/>
    <w:rsid w:val="68DA1C74"/>
    <w:rsid w:val="699B4FBB"/>
    <w:rsid w:val="6A435B2F"/>
    <w:rsid w:val="6BF44DA3"/>
    <w:rsid w:val="6F8827C0"/>
    <w:rsid w:val="71993DE6"/>
    <w:rsid w:val="73CF0012"/>
    <w:rsid w:val="74A832A3"/>
    <w:rsid w:val="77B9721C"/>
    <w:rsid w:val="79002BED"/>
    <w:rsid w:val="7981580B"/>
    <w:rsid w:val="79F6726D"/>
    <w:rsid w:val="7A927884"/>
    <w:rsid w:val="7C77614F"/>
    <w:rsid w:val="7D551A87"/>
    <w:rsid w:val="7E290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6"/>
    <w:qFormat/>
    <w:uiPriority w:val="9"/>
    <w:pPr>
      <w:keepNext/>
      <w:keepLines/>
      <w:widowControl/>
      <w:spacing w:before="480" w:line="276" w:lineRule="auto"/>
      <w:jc w:val="left"/>
      <w:outlineLvl w:val="0"/>
    </w:pPr>
    <w:rPr>
      <w:rFonts w:ascii="Cambria" w:hAnsi="Cambria"/>
      <w:b/>
      <w:bCs/>
      <w:color w:val="21798E"/>
      <w:kern w:val="0"/>
      <w:sz w:val="28"/>
      <w:szCs w:val="28"/>
    </w:rPr>
  </w:style>
  <w:style w:type="paragraph" w:styleId="3">
    <w:name w:val="heading 2"/>
    <w:basedOn w:val="1"/>
    <w:next w:val="1"/>
    <w:link w:val="27"/>
    <w:semiHidden/>
    <w:unhideWhenUsed/>
    <w:qFormat/>
    <w:uiPriority w:val="9"/>
    <w:pPr>
      <w:keepNext/>
      <w:keepLines/>
      <w:widowControl/>
      <w:spacing w:before="200" w:line="276" w:lineRule="auto"/>
      <w:jc w:val="left"/>
      <w:outlineLvl w:val="1"/>
    </w:pPr>
    <w:rPr>
      <w:rFonts w:ascii="Cambria" w:hAnsi="Cambria"/>
      <w:b/>
      <w:bCs/>
      <w:color w:val="2DA2BF"/>
      <w:kern w:val="0"/>
      <w:sz w:val="26"/>
      <w:szCs w:val="26"/>
    </w:rPr>
  </w:style>
  <w:style w:type="paragraph" w:styleId="4">
    <w:name w:val="heading 3"/>
    <w:basedOn w:val="1"/>
    <w:next w:val="1"/>
    <w:link w:val="28"/>
    <w:semiHidden/>
    <w:unhideWhenUsed/>
    <w:qFormat/>
    <w:uiPriority w:val="9"/>
    <w:pPr>
      <w:keepNext/>
      <w:keepLines/>
      <w:widowControl/>
      <w:spacing w:before="200" w:line="276" w:lineRule="auto"/>
      <w:jc w:val="left"/>
      <w:outlineLvl w:val="2"/>
    </w:pPr>
    <w:rPr>
      <w:rFonts w:ascii="Cambria" w:hAnsi="Cambria"/>
      <w:b/>
      <w:bCs/>
      <w:color w:val="2DA2BF"/>
      <w:kern w:val="0"/>
      <w:sz w:val="22"/>
      <w:szCs w:val="22"/>
    </w:rPr>
  </w:style>
  <w:style w:type="paragraph" w:styleId="5">
    <w:name w:val="heading 4"/>
    <w:basedOn w:val="1"/>
    <w:next w:val="1"/>
    <w:link w:val="29"/>
    <w:semiHidden/>
    <w:unhideWhenUsed/>
    <w:qFormat/>
    <w:uiPriority w:val="9"/>
    <w:pPr>
      <w:keepNext/>
      <w:keepLines/>
      <w:widowControl/>
      <w:spacing w:before="200" w:line="276" w:lineRule="auto"/>
      <w:jc w:val="left"/>
      <w:outlineLvl w:val="3"/>
    </w:pPr>
    <w:rPr>
      <w:rFonts w:ascii="Cambria" w:hAnsi="Cambria"/>
      <w:b/>
      <w:bCs/>
      <w:i/>
      <w:iCs/>
      <w:color w:val="2DA2BF"/>
      <w:kern w:val="0"/>
      <w:sz w:val="22"/>
      <w:szCs w:val="22"/>
    </w:rPr>
  </w:style>
  <w:style w:type="paragraph" w:styleId="6">
    <w:name w:val="heading 5"/>
    <w:basedOn w:val="1"/>
    <w:next w:val="1"/>
    <w:link w:val="30"/>
    <w:semiHidden/>
    <w:unhideWhenUsed/>
    <w:qFormat/>
    <w:uiPriority w:val="9"/>
    <w:pPr>
      <w:keepNext/>
      <w:keepLines/>
      <w:widowControl/>
      <w:spacing w:before="200" w:line="276" w:lineRule="auto"/>
      <w:jc w:val="left"/>
      <w:outlineLvl w:val="4"/>
    </w:pPr>
    <w:rPr>
      <w:rFonts w:ascii="Cambria" w:hAnsi="Cambria"/>
      <w:color w:val="16505E"/>
      <w:kern w:val="0"/>
      <w:sz w:val="22"/>
      <w:szCs w:val="22"/>
    </w:rPr>
  </w:style>
  <w:style w:type="paragraph" w:styleId="7">
    <w:name w:val="heading 6"/>
    <w:basedOn w:val="1"/>
    <w:next w:val="1"/>
    <w:link w:val="31"/>
    <w:semiHidden/>
    <w:unhideWhenUsed/>
    <w:qFormat/>
    <w:uiPriority w:val="9"/>
    <w:pPr>
      <w:keepNext/>
      <w:keepLines/>
      <w:widowControl/>
      <w:spacing w:before="200" w:line="276" w:lineRule="auto"/>
      <w:jc w:val="left"/>
      <w:outlineLvl w:val="5"/>
    </w:pPr>
    <w:rPr>
      <w:rFonts w:ascii="Cambria" w:hAnsi="Cambria"/>
      <w:i/>
      <w:iCs/>
      <w:color w:val="16505E"/>
      <w:kern w:val="0"/>
      <w:sz w:val="22"/>
      <w:szCs w:val="22"/>
    </w:rPr>
  </w:style>
  <w:style w:type="paragraph" w:styleId="8">
    <w:name w:val="heading 7"/>
    <w:basedOn w:val="1"/>
    <w:next w:val="1"/>
    <w:link w:val="32"/>
    <w:semiHidden/>
    <w:unhideWhenUsed/>
    <w:qFormat/>
    <w:uiPriority w:val="9"/>
    <w:pPr>
      <w:keepNext/>
      <w:keepLines/>
      <w:widowControl/>
      <w:spacing w:before="200" w:line="276" w:lineRule="auto"/>
      <w:jc w:val="left"/>
      <w:outlineLvl w:val="6"/>
    </w:pPr>
    <w:rPr>
      <w:rFonts w:ascii="Cambria" w:hAnsi="Cambria"/>
      <w:i/>
      <w:iCs/>
      <w:color w:val="404040"/>
      <w:kern w:val="0"/>
      <w:sz w:val="22"/>
      <w:szCs w:val="22"/>
    </w:rPr>
  </w:style>
  <w:style w:type="paragraph" w:styleId="9">
    <w:name w:val="heading 8"/>
    <w:basedOn w:val="1"/>
    <w:next w:val="1"/>
    <w:link w:val="33"/>
    <w:semiHidden/>
    <w:unhideWhenUsed/>
    <w:qFormat/>
    <w:uiPriority w:val="9"/>
    <w:pPr>
      <w:keepNext/>
      <w:keepLines/>
      <w:widowControl/>
      <w:spacing w:before="200" w:line="276" w:lineRule="auto"/>
      <w:jc w:val="left"/>
      <w:outlineLvl w:val="7"/>
    </w:pPr>
    <w:rPr>
      <w:rFonts w:ascii="Cambria" w:hAnsi="Cambria"/>
      <w:color w:val="2DA2BF"/>
      <w:kern w:val="0"/>
      <w:sz w:val="20"/>
    </w:rPr>
  </w:style>
  <w:style w:type="paragraph" w:styleId="10">
    <w:name w:val="heading 9"/>
    <w:basedOn w:val="1"/>
    <w:next w:val="1"/>
    <w:link w:val="34"/>
    <w:semiHidden/>
    <w:unhideWhenUsed/>
    <w:qFormat/>
    <w:uiPriority w:val="9"/>
    <w:pPr>
      <w:keepNext/>
      <w:keepLines/>
      <w:widowControl/>
      <w:spacing w:before="200" w:line="276" w:lineRule="auto"/>
      <w:jc w:val="left"/>
      <w:outlineLvl w:val="8"/>
    </w:pPr>
    <w:rPr>
      <w:rFonts w:ascii="Cambria" w:hAnsi="Cambria"/>
      <w:i/>
      <w:iCs/>
      <w:color w:val="404040"/>
      <w:kern w:val="0"/>
      <w:sz w:val="20"/>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pPr>
      <w:widowControl/>
      <w:spacing w:after="200"/>
      <w:jc w:val="left"/>
    </w:pPr>
    <w:rPr>
      <w:rFonts w:asciiTheme="minorHAnsi" w:hAnsiTheme="minorHAnsi" w:eastAsiaTheme="minorEastAsia" w:cstheme="minorBidi"/>
      <w:b/>
      <w:bCs/>
      <w:color w:val="2DA2BF"/>
      <w:kern w:val="0"/>
      <w:sz w:val="18"/>
      <w:szCs w:val="18"/>
    </w:rPr>
  </w:style>
  <w:style w:type="paragraph" w:styleId="12">
    <w:name w:val="annotation text"/>
    <w:basedOn w:val="1"/>
    <w:link w:val="51"/>
    <w:semiHidden/>
    <w:unhideWhenUsed/>
    <w:qFormat/>
    <w:uiPriority w:val="99"/>
    <w:pPr>
      <w:jc w:val="left"/>
    </w:pPr>
  </w:style>
  <w:style w:type="paragraph" w:styleId="13">
    <w:name w:val="Balloon Text"/>
    <w:basedOn w:val="1"/>
    <w:link w:val="53"/>
    <w:semiHidden/>
    <w:unhideWhenUsed/>
    <w:qFormat/>
    <w:uiPriority w:val="99"/>
    <w:rPr>
      <w:sz w:val="18"/>
      <w:szCs w:val="18"/>
    </w:rPr>
  </w:style>
  <w:style w:type="paragraph" w:styleId="14">
    <w:name w:val="footer"/>
    <w:basedOn w:val="1"/>
    <w:link w:val="50"/>
    <w:unhideWhenUsed/>
    <w:qFormat/>
    <w:uiPriority w:val="99"/>
    <w:pPr>
      <w:tabs>
        <w:tab w:val="center" w:pos="4153"/>
        <w:tab w:val="right" w:pos="8306"/>
      </w:tabs>
      <w:snapToGrid w:val="0"/>
      <w:jc w:val="left"/>
    </w:pPr>
    <w:rPr>
      <w:sz w:val="18"/>
      <w:szCs w:val="18"/>
    </w:rPr>
  </w:style>
  <w:style w:type="paragraph" w:styleId="15">
    <w:name w:val="header"/>
    <w:basedOn w:val="1"/>
    <w:link w:val="49"/>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36"/>
    <w:qFormat/>
    <w:uiPriority w:val="11"/>
    <w:pPr>
      <w:widowControl/>
      <w:spacing w:after="200" w:line="276" w:lineRule="auto"/>
      <w:jc w:val="left"/>
    </w:pPr>
    <w:rPr>
      <w:rFonts w:ascii="Cambria" w:hAnsi="Cambria"/>
      <w:i/>
      <w:iCs/>
      <w:color w:val="2DA2BF"/>
      <w:spacing w:val="15"/>
      <w:kern w:val="0"/>
      <w:sz w:val="24"/>
      <w:szCs w:val="24"/>
    </w:rPr>
  </w:style>
  <w:style w:type="paragraph" w:styleId="1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8">
    <w:name w:val="Title"/>
    <w:basedOn w:val="1"/>
    <w:next w:val="1"/>
    <w:link w:val="35"/>
    <w:qFormat/>
    <w:uiPriority w:val="10"/>
    <w:pPr>
      <w:widowControl/>
      <w:pBdr>
        <w:bottom w:val="single" w:color="2DA2BF" w:sz="8" w:space="4"/>
      </w:pBdr>
      <w:spacing w:after="300"/>
      <w:contextualSpacing/>
      <w:jc w:val="left"/>
    </w:pPr>
    <w:rPr>
      <w:rFonts w:ascii="Cambria" w:hAnsi="Cambria"/>
      <w:color w:val="343434"/>
      <w:spacing w:val="5"/>
      <w:kern w:val="28"/>
      <w:sz w:val="52"/>
      <w:szCs w:val="52"/>
    </w:rPr>
  </w:style>
  <w:style w:type="paragraph" w:styleId="19">
    <w:name w:val="annotation subject"/>
    <w:basedOn w:val="12"/>
    <w:next w:val="12"/>
    <w:link w:val="52"/>
    <w:semiHidden/>
    <w:unhideWhenUsed/>
    <w:qFormat/>
    <w:uiPriority w:val="99"/>
    <w:rPr>
      <w:b/>
      <w:bCs/>
    </w:rPr>
  </w:style>
  <w:style w:type="character" w:styleId="22">
    <w:name w:val="Strong"/>
    <w:qFormat/>
    <w:uiPriority w:val="22"/>
    <w:rPr>
      <w:b/>
      <w:bCs/>
    </w:rPr>
  </w:style>
  <w:style w:type="character" w:styleId="23">
    <w:name w:val="Emphasis"/>
    <w:qFormat/>
    <w:uiPriority w:val="20"/>
    <w:rPr>
      <w:i/>
      <w:iCs/>
    </w:rPr>
  </w:style>
  <w:style w:type="character" w:styleId="24">
    <w:name w:val="Hyperlink"/>
    <w:basedOn w:val="21"/>
    <w:semiHidden/>
    <w:unhideWhenUsed/>
    <w:qFormat/>
    <w:uiPriority w:val="99"/>
    <w:rPr>
      <w:color w:val="0000FF"/>
      <w:u w:val="single"/>
    </w:rPr>
  </w:style>
  <w:style w:type="character" w:styleId="25">
    <w:name w:val="annotation reference"/>
    <w:basedOn w:val="21"/>
    <w:semiHidden/>
    <w:unhideWhenUsed/>
    <w:qFormat/>
    <w:uiPriority w:val="99"/>
    <w:rPr>
      <w:sz w:val="21"/>
      <w:szCs w:val="21"/>
    </w:rPr>
  </w:style>
  <w:style w:type="character" w:customStyle="1" w:styleId="26">
    <w:name w:val="标题 1 字符"/>
    <w:link w:val="2"/>
    <w:qFormat/>
    <w:uiPriority w:val="9"/>
    <w:rPr>
      <w:rFonts w:ascii="Cambria" w:hAnsi="Cambria" w:eastAsia="宋体" w:cs="Times New Roman"/>
      <w:b/>
      <w:bCs/>
      <w:color w:val="21798E"/>
      <w:sz w:val="28"/>
      <w:szCs w:val="28"/>
    </w:rPr>
  </w:style>
  <w:style w:type="character" w:customStyle="1" w:styleId="27">
    <w:name w:val="标题 2 字符"/>
    <w:link w:val="3"/>
    <w:semiHidden/>
    <w:qFormat/>
    <w:uiPriority w:val="9"/>
    <w:rPr>
      <w:rFonts w:ascii="Cambria" w:hAnsi="Cambria" w:eastAsia="宋体" w:cs="Times New Roman"/>
      <w:b/>
      <w:bCs/>
      <w:color w:val="2DA2BF"/>
      <w:sz w:val="26"/>
      <w:szCs w:val="26"/>
    </w:rPr>
  </w:style>
  <w:style w:type="character" w:customStyle="1" w:styleId="28">
    <w:name w:val="标题 3 字符"/>
    <w:link w:val="4"/>
    <w:semiHidden/>
    <w:qFormat/>
    <w:uiPriority w:val="9"/>
    <w:rPr>
      <w:rFonts w:ascii="Cambria" w:hAnsi="Cambria" w:eastAsia="宋体" w:cs="Times New Roman"/>
      <w:b/>
      <w:bCs/>
      <w:color w:val="2DA2BF"/>
    </w:rPr>
  </w:style>
  <w:style w:type="character" w:customStyle="1" w:styleId="29">
    <w:name w:val="标题 4 字符"/>
    <w:link w:val="5"/>
    <w:semiHidden/>
    <w:qFormat/>
    <w:uiPriority w:val="9"/>
    <w:rPr>
      <w:rFonts w:ascii="Cambria" w:hAnsi="Cambria" w:eastAsia="宋体" w:cs="Times New Roman"/>
      <w:b/>
      <w:bCs/>
      <w:i/>
      <w:iCs/>
      <w:color w:val="2DA2BF"/>
    </w:rPr>
  </w:style>
  <w:style w:type="character" w:customStyle="1" w:styleId="30">
    <w:name w:val="标题 5 字符"/>
    <w:link w:val="6"/>
    <w:semiHidden/>
    <w:qFormat/>
    <w:uiPriority w:val="9"/>
    <w:rPr>
      <w:rFonts w:ascii="Cambria" w:hAnsi="Cambria" w:eastAsia="宋体" w:cs="Times New Roman"/>
      <w:color w:val="16505E"/>
    </w:rPr>
  </w:style>
  <w:style w:type="character" w:customStyle="1" w:styleId="31">
    <w:name w:val="标题 6 字符"/>
    <w:link w:val="7"/>
    <w:semiHidden/>
    <w:qFormat/>
    <w:uiPriority w:val="9"/>
    <w:rPr>
      <w:rFonts w:ascii="Cambria" w:hAnsi="Cambria" w:eastAsia="宋体" w:cs="Times New Roman"/>
      <w:i/>
      <w:iCs/>
      <w:color w:val="16505E"/>
    </w:rPr>
  </w:style>
  <w:style w:type="character" w:customStyle="1" w:styleId="32">
    <w:name w:val="标题 7 字符"/>
    <w:link w:val="8"/>
    <w:semiHidden/>
    <w:qFormat/>
    <w:uiPriority w:val="9"/>
    <w:rPr>
      <w:rFonts w:ascii="Cambria" w:hAnsi="Cambria" w:eastAsia="宋体" w:cs="Times New Roman"/>
      <w:i/>
      <w:iCs/>
      <w:color w:val="404040"/>
    </w:rPr>
  </w:style>
  <w:style w:type="character" w:customStyle="1" w:styleId="33">
    <w:name w:val="标题 8 字符"/>
    <w:link w:val="9"/>
    <w:semiHidden/>
    <w:qFormat/>
    <w:uiPriority w:val="9"/>
    <w:rPr>
      <w:rFonts w:ascii="Cambria" w:hAnsi="Cambria" w:eastAsia="宋体" w:cs="Times New Roman"/>
      <w:color w:val="2DA2BF"/>
      <w:sz w:val="20"/>
      <w:szCs w:val="20"/>
    </w:rPr>
  </w:style>
  <w:style w:type="character" w:customStyle="1" w:styleId="34">
    <w:name w:val="标题 9 字符"/>
    <w:link w:val="10"/>
    <w:semiHidden/>
    <w:qFormat/>
    <w:uiPriority w:val="9"/>
    <w:rPr>
      <w:rFonts w:ascii="Cambria" w:hAnsi="Cambria" w:eastAsia="宋体" w:cs="Times New Roman"/>
      <w:i/>
      <w:iCs/>
      <w:color w:val="404040"/>
      <w:sz w:val="20"/>
      <w:szCs w:val="20"/>
    </w:rPr>
  </w:style>
  <w:style w:type="character" w:customStyle="1" w:styleId="35">
    <w:name w:val="标题 字符"/>
    <w:link w:val="18"/>
    <w:qFormat/>
    <w:uiPriority w:val="10"/>
    <w:rPr>
      <w:rFonts w:ascii="Cambria" w:hAnsi="Cambria" w:eastAsia="宋体" w:cs="Times New Roman"/>
      <w:color w:val="343434"/>
      <w:spacing w:val="5"/>
      <w:kern w:val="28"/>
      <w:sz w:val="52"/>
      <w:szCs w:val="52"/>
    </w:rPr>
  </w:style>
  <w:style w:type="character" w:customStyle="1" w:styleId="36">
    <w:name w:val="副标题 字符"/>
    <w:link w:val="16"/>
    <w:qFormat/>
    <w:uiPriority w:val="11"/>
    <w:rPr>
      <w:rFonts w:ascii="Cambria" w:hAnsi="Cambria" w:eastAsia="宋体" w:cs="Times New Roman"/>
      <w:i/>
      <w:iCs/>
      <w:color w:val="2DA2BF"/>
      <w:spacing w:val="15"/>
      <w:sz w:val="24"/>
      <w:szCs w:val="24"/>
    </w:rPr>
  </w:style>
  <w:style w:type="paragraph" w:styleId="37">
    <w:name w:val="No Spacing"/>
    <w:qFormat/>
    <w:uiPriority w:val="1"/>
    <w:rPr>
      <w:rFonts w:asciiTheme="minorHAnsi" w:hAnsiTheme="minorHAnsi" w:eastAsiaTheme="minorEastAsia" w:cstheme="minorBidi"/>
      <w:sz w:val="22"/>
      <w:szCs w:val="22"/>
      <w:lang w:val="en-US" w:eastAsia="zh-CN" w:bidi="ar-SA"/>
    </w:rPr>
  </w:style>
  <w:style w:type="paragraph" w:styleId="38">
    <w:name w:val="List Paragraph"/>
    <w:basedOn w:val="1"/>
    <w:qFormat/>
    <w:uiPriority w:val="34"/>
    <w:pPr>
      <w:widowControl/>
      <w:spacing w:after="200" w:line="276" w:lineRule="auto"/>
      <w:ind w:left="720"/>
      <w:contextualSpacing/>
      <w:jc w:val="left"/>
    </w:pPr>
    <w:rPr>
      <w:rFonts w:asciiTheme="minorHAnsi" w:hAnsiTheme="minorHAnsi" w:eastAsiaTheme="minorEastAsia" w:cstheme="minorBidi"/>
      <w:kern w:val="0"/>
      <w:sz w:val="22"/>
      <w:szCs w:val="22"/>
    </w:rPr>
  </w:style>
  <w:style w:type="paragraph" w:styleId="39">
    <w:name w:val="Quote"/>
    <w:basedOn w:val="1"/>
    <w:next w:val="1"/>
    <w:link w:val="40"/>
    <w:qFormat/>
    <w:uiPriority w:val="29"/>
    <w:pPr>
      <w:widowControl/>
      <w:spacing w:after="200" w:line="276" w:lineRule="auto"/>
      <w:jc w:val="left"/>
    </w:pPr>
    <w:rPr>
      <w:rFonts w:asciiTheme="minorHAnsi" w:hAnsiTheme="minorHAnsi" w:eastAsiaTheme="minorEastAsia" w:cstheme="minorBidi"/>
      <w:i/>
      <w:iCs/>
      <w:color w:val="000000"/>
      <w:kern w:val="0"/>
      <w:sz w:val="22"/>
      <w:szCs w:val="22"/>
    </w:rPr>
  </w:style>
  <w:style w:type="character" w:customStyle="1" w:styleId="40">
    <w:name w:val="引用 字符"/>
    <w:link w:val="39"/>
    <w:qFormat/>
    <w:uiPriority w:val="29"/>
    <w:rPr>
      <w:i/>
      <w:iCs/>
      <w:color w:val="000000"/>
    </w:rPr>
  </w:style>
  <w:style w:type="paragraph" w:styleId="41">
    <w:name w:val="Intense Quote"/>
    <w:basedOn w:val="1"/>
    <w:next w:val="1"/>
    <w:link w:val="42"/>
    <w:qFormat/>
    <w:uiPriority w:val="30"/>
    <w:pPr>
      <w:widowControl/>
      <w:pBdr>
        <w:bottom w:val="single" w:color="2DA2BF" w:sz="4" w:space="4"/>
      </w:pBdr>
      <w:spacing w:before="200" w:after="280" w:line="276" w:lineRule="auto"/>
      <w:ind w:left="936" w:right="936"/>
      <w:jc w:val="left"/>
    </w:pPr>
    <w:rPr>
      <w:rFonts w:asciiTheme="minorHAnsi" w:hAnsiTheme="minorHAnsi" w:eastAsiaTheme="minorEastAsia" w:cstheme="minorBidi"/>
      <w:b/>
      <w:bCs/>
      <w:i/>
      <w:iCs/>
      <w:color w:val="2DA2BF"/>
      <w:kern w:val="0"/>
      <w:sz w:val="22"/>
      <w:szCs w:val="22"/>
    </w:rPr>
  </w:style>
  <w:style w:type="character" w:customStyle="1" w:styleId="42">
    <w:name w:val="明显引用 字符"/>
    <w:link w:val="41"/>
    <w:qFormat/>
    <w:uiPriority w:val="30"/>
    <w:rPr>
      <w:b/>
      <w:bCs/>
      <w:i/>
      <w:iCs/>
      <w:color w:val="2DA2BF"/>
    </w:rPr>
  </w:style>
  <w:style w:type="character" w:customStyle="1" w:styleId="43">
    <w:name w:val="不明显强调1"/>
    <w:qFormat/>
    <w:uiPriority w:val="19"/>
    <w:rPr>
      <w:i/>
      <w:iCs/>
      <w:color w:val="808080"/>
    </w:rPr>
  </w:style>
  <w:style w:type="character" w:customStyle="1" w:styleId="44">
    <w:name w:val="明显强调1"/>
    <w:qFormat/>
    <w:uiPriority w:val="21"/>
    <w:rPr>
      <w:b/>
      <w:bCs/>
      <w:i/>
      <w:iCs/>
      <w:color w:val="2DA2BF"/>
    </w:rPr>
  </w:style>
  <w:style w:type="character" w:customStyle="1" w:styleId="45">
    <w:name w:val="不明显参考1"/>
    <w:qFormat/>
    <w:uiPriority w:val="31"/>
    <w:rPr>
      <w:smallCaps/>
      <w:color w:val="DA1F28"/>
      <w:u w:val="single"/>
    </w:rPr>
  </w:style>
  <w:style w:type="character" w:customStyle="1" w:styleId="46">
    <w:name w:val="明显参考1"/>
    <w:qFormat/>
    <w:uiPriority w:val="32"/>
    <w:rPr>
      <w:b/>
      <w:bCs/>
      <w:smallCaps/>
      <w:color w:val="DA1F28"/>
      <w:spacing w:val="5"/>
      <w:u w:val="single"/>
    </w:rPr>
  </w:style>
  <w:style w:type="character" w:customStyle="1" w:styleId="47">
    <w:name w:val="书籍标题1"/>
    <w:qFormat/>
    <w:uiPriority w:val="33"/>
    <w:rPr>
      <w:b/>
      <w:bCs/>
      <w:smallCaps/>
      <w:spacing w:val="5"/>
    </w:rPr>
  </w:style>
  <w:style w:type="paragraph" w:customStyle="1" w:styleId="48">
    <w:name w:val="TOC 标题1"/>
    <w:basedOn w:val="2"/>
    <w:next w:val="1"/>
    <w:semiHidden/>
    <w:unhideWhenUsed/>
    <w:qFormat/>
    <w:uiPriority w:val="39"/>
    <w:pPr>
      <w:outlineLvl w:val="9"/>
    </w:pPr>
  </w:style>
  <w:style w:type="character" w:customStyle="1" w:styleId="49">
    <w:name w:val="页眉 字符"/>
    <w:basedOn w:val="21"/>
    <w:link w:val="15"/>
    <w:qFormat/>
    <w:uiPriority w:val="99"/>
    <w:rPr>
      <w:rFonts w:ascii="Times New Roman" w:hAnsi="Times New Roman" w:eastAsia="宋体" w:cs="Times New Roman"/>
      <w:kern w:val="2"/>
      <w:sz w:val="18"/>
      <w:szCs w:val="18"/>
    </w:rPr>
  </w:style>
  <w:style w:type="character" w:customStyle="1" w:styleId="50">
    <w:name w:val="页脚 字符"/>
    <w:basedOn w:val="21"/>
    <w:link w:val="14"/>
    <w:qFormat/>
    <w:uiPriority w:val="99"/>
    <w:rPr>
      <w:rFonts w:ascii="Times New Roman" w:hAnsi="Times New Roman" w:eastAsia="宋体" w:cs="Times New Roman"/>
      <w:kern w:val="2"/>
      <w:sz w:val="18"/>
      <w:szCs w:val="18"/>
    </w:rPr>
  </w:style>
  <w:style w:type="character" w:customStyle="1" w:styleId="51">
    <w:name w:val="批注文字 字符"/>
    <w:basedOn w:val="21"/>
    <w:link w:val="12"/>
    <w:semiHidden/>
    <w:qFormat/>
    <w:uiPriority w:val="99"/>
    <w:rPr>
      <w:rFonts w:ascii="Times New Roman" w:hAnsi="Times New Roman" w:eastAsia="宋体" w:cs="Times New Roman"/>
      <w:kern w:val="2"/>
      <w:sz w:val="21"/>
      <w:szCs w:val="20"/>
    </w:rPr>
  </w:style>
  <w:style w:type="character" w:customStyle="1" w:styleId="52">
    <w:name w:val="批注主题 字符"/>
    <w:basedOn w:val="51"/>
    <w:link w:val="19"/>
    <w:semiHidden/>
    <w:qFormat/>
    <w:uiPriority w:val="99"/>
    <w:rPr>
      <w:rFonts w:ascii="Times New Roman" w:hAnsi="Times New Roman" w:eastAsia="宋体" w:cs="Times New Roman"/>
      <w:b/>
      <w:bCs/>
      <w:kern w:val="2"/>
      <w:sz w:val="21"/>
      <w:szCs w:val="20"/>
    </w:rPr>
  </w:style>
  <w:style w:type="character" w:customStyle="1" w:styleId="53">
    <w:name w:val="批注框文本 字符"/>
    <w:basedOn w:val="21"/>
    <w:link w:val="13"/>
    <w:semiHidden/>
    <w:qFormat/>
    <w:uiPriority w:val="99"/>
    <w:rPr>
      <w:rFonts w:ascii="Times New Roman" w:hAnsi="Times New Roman" w:eastAsia="宋体" w:cs="Times New Roman"/>
      <w:kern w:val="2"/>
      <w:sz w:val="18"/>
      <w:szCs w:val="18"/>
    </w:rPr>
  </w:style>
  <w:style w:type="paragraph" w:customStyle="1" w:styleId="54">
    <w:name w:val="修订1"/>
    <w:hidden/>
    <w:unhideWhenUsed/>
    <w:qFormat/>
    <w:uiPriority w:val="99"/>
    <w:rPr>
      <w:rFonts w:ascii="Times New Roman" w:hAnsi="Times New Roman" w:eastAsia="宋体" w:cs="Times New Roman"/>
      <w:kern w:val="2"/>
      <w:sz w:val="21"/>
      <w:lang w:val="en-US" w:eastAsia="zh-CN" w:bidi="ar-SA"/>
    </w:rPr>
  </w:style>
  <w:style w:type="character" w:customStyle="1" w:styleId="55">
    <w:name w:val="fontstyle01"/>
    <w:basedOn w:val="21"/>
    <w:qFormat/>
    <w:uiPriority w:val="0"/>
    <w:rPr>
      <w:rFonts w:hint="eastAsia" w:ascii="宋体" w:hAnsi="宋体" w:eastAsia="宋体"/>
      <w:color w:val="000000"/>
      <w:sz w:val="24"/>
      <w:szCs w:val="24"/>
    </w:rPr>
  </w:style>
  <w:style w:type="character" w:customStyle="1" w:styleId="56">
    <w:name w:val="keyword"/>
    <w:basedOn w:val="21"/>
    <w:qFormat/>
    <w:uiPriority w:val="0"/>
  </w:style>
  <w:style w:type="character" w:customStyle="1" w:styleId="57">
    <w:name w:val="activekeyword"/>
    <w:basedOn w:val="21"/>
    <w:qFormat/>
    <w:uiPriority w:val="0"/>
  </w:style>
  <w:style w:type="character" w:customStyle="1" w:styleId="58">
    <w:name w:val="highlight"/>
    <w:basedOn w:val="21"/>
    <w:qFormat/>
    <w:uiPriority w:val="0"/>
  </w:style>
  <w:style w:type="character" w:customStyle="1" w:styleId="59">
    <w:name w:val="text-only"/>
    <w:basedOn w:val="21"/>
    <w:qFormat/>
    <w:uiPriority w:val="0"/>
  </w:style>
  <w:style w:type="paragraph" w:customStyle="1" w:styleId="60">
    <w:name w:val="3090"/>
    <w:basedOn w:val="1"/>
    <w:qFormat/>
    <w:uiPriority w:val="0"/>
    <w:pPr>
      <w:spacing w:line="360" w:lineRule="auto"/>
      <w:ind w:firstLine="200" w:firstLineChars="200"/>
    </w:pPr>
    <w:rPr>
      <w:sz w:val="24"/>
      <w:szCs w:val="24"/>
    </w:rPr>
  </w:style>
  <w:style w:type="character" w:customStyle="1" w:styleId="61">
    <w:name w:val="font21"/>
    <w:basedOn w:val="21"/>
    <w:qFormat/>
    <w:uiPriority w:val="0"/>
    <w:rPr>
      <w:rFonts w:hint="eastAsia" w:ascii="宋体" w:hAnsi="宋体" w:eastAsia="宋体"/>
      <w:b/>
      <w:bCs/>
      <w:color w:val="000000"/>
      <w:sz w:val="21"/>
      <w:szCs w:val="21"/>
      <w:u w:val="none"/>
    </w:rPr>
  </w:style>
  <w:style w:type="character" w:customStyle="1" w:styleId="62">
    <w:name w:val="font41"/>
    <w:basedOn w:val="21"/>
    <w:qFormat/>
    <w:uiPriority w:val="0"/>
    <w:rPr>
      <w:rFonts w:hint="default" w:ascii="Times New Roman" w:hAnsi="Times New Roman" w:cs="Times New Roman"/>
      <w:color w:val="000000"/>
      <w:sz w:val="21"/>
      <w:szCs w:val="21"/>
      <w:u w:val="none"/>
    </w:rPr>
  </w:style>
  <w:style w:type="character" w:customStyle="1" w:styleId="63">
    <w:name w:val="font11"/>
    <w:basedOn w:val="21"/>
    <w:qFormat/>
    <w:uiPriority w:val="0"/>
    <w:rPr>
      <w:rFonts w:hint="eastAsia" w:ascii="宋体" w:hAnsi="宋体" w:eastAsia="宋体"/>
      <w:color w:val="000000"/>
      <w:sz w:val="21"/>
      <w:szCs w:val="21"/>
      <w:u w:val="none"/>
    </w:rPr>
  </w:style>
  <w:style w:type="character" w:customStyle="1" w:styleId="64">
    <w:name w:val="biaodian"/>
    <w:basedOn w:val="2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F1191-D2AE-4B2D-A192-BA65C073359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6017</Words>
  <Characters>6310</Characters>
  <Lines>46</Lines>
  <Paragraphs>13</Paragraphs>
  <TotalTime>399</TotalTime>
  <ScaleCrop>false</ScaleCrop>
  <LinksUpToDate>false</LinksUpToDate>
  <CharactersWithSpaces>6448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2023-06-02T09:16:00Z</dcterms:created>
  <dc:creator>Windows 用户</dc:creator>
  <cp:lastModifiedBy>pikaqiu0077</cp:lastModifiedBy>
  <cp:lastPrinted>2024-05-14T09:00:00Z</cp:lastPrinted>
  <dcterms:modified xsi:type="dcterms:W3CDTF">2026-05-11T06:23:16Z</dcterms:modified>
  <cp:revision>506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5B77E7CEEC58BC6AFAE8886BEB80DBEB">
    <vt:lpwstr>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</vt:lpwstr>
  </property>
  <property fmtid="{D5CDD505-2E9C-101B-9397-08002B2CF9AE}" pid="3" name="KSOProductBuildVer">
    <vt:lpwstr>2052-12.1.0.24034</vt:lpwstr>
  </property>
  <property fmtid="{D5CDD505-2E9C-101B-9397-08002B2CF9AE}" pid="4" name="ICV">
    <vt:lpwstr>4008ABD01AF747508157E4D0231EB8D4_13</vt:lpwstr>
  </property>
  <property fmtid="{D5CDD505-2E9C-101B-9397-08002B2CF9AE}" pid="5" name="KSOTemplateDocerSaveRecord">
    <vt:lpwstr>eyJoZGlkIjoiMWI2NjQxNWM0NGMxNTljNDhlZDNkN2YzMDE2MGVmZjciLCJ1c2VySWQiOiI1ODUzMDk2MjkifQ==</vt:lpwstr>
  </property>
</Properties>
</file>